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INTRODUCTION À LA MACROÉCONOMIE 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6"/>
          <w:szCs w:val="66"/>
          <w:rtl w:val="0"/>
        </w:rPr>
        <w:t xml:space="preserve">ECO 1502 C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HIVER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66"/>
          <w:szCs w:val="6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66"/>
          <w:szCs w:val="66"/>
        </w:rPr>
        <w:drawing>
          <wp:inline distB="114300" distT="114300" distL="114300" distR="114300">
            <wp:extent cx="1852529" cy="1382874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2529" cy="1382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TRAVAIL PRATIQUE 1 (TP1)</w:t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Nom de l'Étudiant: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GBEGBE DECAHO JACQUES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 Numéro etudian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t: 300094197 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1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 allant au concert d’Éric Clapton, nous perdons une valeur nette de 50$ - 45$ (coût du billet pour bob Dylan) =  5$ (le coût de renonciation).</w:t>
        <w:br w:type="textWrapping"/>
        <w:t xml:space="preserve">Si le billet du concert de Clapton vaut plus que 5$ alors cela est une bonne affaire.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2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Voir  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https://fr.surveymonkey.ca/r/L58K6PF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3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du TP dans brightspace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4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Voir le module sur brightspace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5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40557" cy="7348538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0557" cy="734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3143" cy="579596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3143" cy="5795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466414" cy="639603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6414" cy="639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6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Voir le module sur brightspace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329363" cy="37338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7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Graphe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86413" cy="2587297"/>
            <wp:effectExtent b="0" l="0" r="0" t="0"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25872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Question 8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7752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 fortune s'estimait 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1 117 236 842 105,26 $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c)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 avantages de cette méthode permet d’estimer le pouvoir d’achat des ménages d’une certaine époque à celles précédentes. Cela permet de voir comment est-ce que la monnaie à evoluer et fluctué au cours des années.</w:t>
      </w:r>
    </w:p>
    <w:p w:rsidR="00000000" w:rsidDel="00000000" w:rsidP="00000000" w:rsidRDefault="00000000" w:rsidRPr="00000000" w14:paraId="00000037">
      <w:pPr>
        <w:spacing w:after="24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Et permet de mieux observer les inflations qui se sont produites tout au long de cette évolution.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Les inconvénients de cette méthode est qu’elle est subjective car le coût de la vie des années antérieures n'était pas le même que ceux avec lesquels on les compare.</w:t>
        <w:br w:type="textWrapping"/>
        <w:t xml:space="preserve">Donc on ne peut dire si cela était peu ou beaucoup du point de vue de l’époque dans lequel elle est active.</w:t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3" Type="http://schemas.openxmlformats.org/officeDocument/2006/relationships/image" Target="media/image4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fr.surveymonkey.ca/r/L58K6PF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