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on the top panel —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bottom 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Click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on each and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sixteen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comments, R/T and L/S ruled and left for you to write in.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left empty against a single unit, which has nothing to split.</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runs to wherever that unit next berths </w:t>
      </w:r>
      <w:r>
        <w:rPr>
          <w:rFonts w:ascii="Calibri" w:cs="Calibri" w:eastAsia="Calibri" w:hAnsi="Calibri"/>
          <w:b/>
          <w:bCs/>
          <w:color w:val="262E33"/>
          <w:sz w:val="21"/>
          <w:szCs w:val="21"/>
        </w:rPr>
        <w:t xml:space="preserve">on the sheet</w:t>
      </w:r>
      <w:r>
        <w:rPr>
          <w:rFonts w:ascii="Calibri" w:cs="Calibri" w:eastAsia="Calibri" w:hAnsi="Calibri"/>
          <w:color w:val="262E33"/>
          <w:sz w:val="21"/>
          <w:szCs w:val="21"/>
        </w:rPr>
        <w:t xml:space="preserve"> — a unit that attaches to another diagram and stays out has no second row, so the row it does have carries the rest of its day, and a diagram's figures always add up to the day it runs.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High Speed book keeps the platform time; that one is a berthing sheet, not the allocations sheet.</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