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double line rules off the morning: it sits under the section's last entry before midday, where the gap that follows is two hours or more. A section worked steadily through midday has no line, and Grove Park is never ruled. On the weekend sheets the line is drawn where the section crosses midday and 20:00 instead — the three goes of a shift.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Sectional Appendix breach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marked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Sectional Appendix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front of the line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“a 12-car Networker must be three 4-car 465s with no 466 in the formation”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This one is the odd one out, and the marking is there so you can spot it: everything else on the list is the tool telling you what it could not settle, but this says a published document forbids the working. Take it back to the Appendix before acting on it. Weekday builds only.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mostly it is the tool showing its working.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Sectional Appendix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lines are the exception: those are a rule being broken, not a decision being explained.</w:t>
      </w:r>
    </w:p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About the Sectional Appendix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These are the only place the tool quotes the Appendix, and they are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prompt to go and look the rule up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not a copy of it. The tool holds no summary of the Appendix and is not a substitute for reading it.</w:t>
      </w: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WEEKDAY BUILDS ONLY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Appendix checks do not run on the weekend books: the prints do not carry the class and formation detail those rules are tested against. The Appendix applies just the same on a Saturday, so check a weekend book against it yourself.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Above each drop zone there is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alike, the way Victoria and Grove Park have always read.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 — and treat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Sectional Appendix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lines as a rule broken rather than a decision explained.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2026-08-15T15:33:57.558Z</dcterms:created>
  <dcterms:modified xsi:type="dcterms:W3CDTF">2026-08-15T15:33:57.558Z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