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799D" w:rsidRDefault="00CC1E6B">
      <w:r>
        <w:rPr>
          <w:noProof/>
        </w:rPr>
        <w:drawing>
          <wp:anchor distT="0" distB="0" distL="114300" distR="114300" simplePos="0" relativeHeight="251658240" behindDoc="0" locked="0" layoutInCell="1" hidden="0" allowOverlap="1" wp14:anchorId="5E790B64" wp14:editId="3350D385">
            <wp:simplePos x="0" y="0"/>
            <wp:positionH relativeFrom="page">
              <wp:posOffset>0</wp:posOffset>
            </wp:positionH>
            <wp:positionV relativeFrom="page">
              <wp:posOffset>-7815</wp:posOffset>
            </wp:positionV>
            <wp:extent cx="7764780" cy="5024755"/>
            <wp:effectExtent l="0" t="0" r="0" b="4445"/>
            <wp:wrapTopAndBottom distT="0" distB="0"/>
            <wp:docPr id="232" name="image2.jp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32" name="image2.jpg">
                      <a:extLst>
                        <a:ext uri="{C183D7F6-B498-43B3-948B-1728B52AA6E4}">
                          <adec:decorative xmlns:adec="http://schemas.microsoft.com/office/drawing/2017/decorative" val="1"/>
                        </a:ext>
                      </a:extLst>
                    </pic:cNvPr>
                    <pic:cNvPicPr preferRelativeResize="0"/>
                  </pic:nvPicPr>
                  <pic:blipFill>
                    <a:blip r:embed="rId11" cstate="print">
                      <a:extLst>
                        <a:ext uri="{28A0092B-C50C-407E-A947-70E740481C1C}">
                          <a14:useLocalDpi xmlns:a14="http://schemas.microsoft.com/office/drawing/2010/main" val="0"/>
                        </a:ext>
                      </a:extLst>
                    </a:blip>
                    <a:srcRect t="1424" b="1424"/>
                    <a:stretch>
                      <a:fillRect/>
                    </a:stretch>
                  </pic:blipFill>
                  <pic:spPr>
                    <a:xfrm>
                      <a:off x="0" y="0"/>
                      <a:ext cx="7764780" cy="5024755"/>
                    </a:xfrm>
                    <a:prstGeom prst="rect">
                      <a:avLst/>
                    </a:prstGeom>
                    <a:ln/>
                  </pic:spPr>
                </pic:pic>
              </a:graphicData>
            </a:graphic>
          </wp:anchor>
        </w:drawing>
      </w:r>
      <w:r>
        <w:rPr>
          <w:smallCaps/>
          <w:noProof/>
        </w:rPr>
        <w:drawing>
          <wp:anchor distT="0" distB="0" distL="114300" distR="114300" simplePos="0" relativeHeight="251658241" behindDoc="0" locked="0" layoutInCell="1" hidden="0" allowOverlap="1" wp14:anchorId="59E52D33" wp14:editId="3ECF6DCF">
            <wp:simplePos x="0" y="0"/>
            <wp:positionH relativeFrom="margin">
              <wp:posOffset>-278764</wp:posOffset>
            </wp:positionH>
            <wp:positionV relativeFrom="margin">
              <wp:posOffset>-931460</wp:posOffset>
            </wp:positionV>
            <wp:extent cx="1867535" cy="583565"/>
            <wp:effectExtent l="0" t="0" r="0" b="0"/>
            <wp:wrapSquare wrapText="bothSides" distT="0" distB="0" distL="114300" distR="114300"/>
            <wp:docPr id="231"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31" name="image1.png">
                      <a:extLst>
                        <a:ext uri="{C183D7F6-B498-43B3-948B-1728B52AA6E4}">
                          <adec:decorative xmlns:adec="http://schemas.microsoft.com/office/drawing/2017/decorative" val="1"/>
                        </a:ext>
                      </a:extLst>
                    </pic:cNvPr>
                    <pic:cNvPicPr preferRelativeResize="0"/>
                  </pic:nvPicPr>
                  <pic:blipFill>
                    <a:blip r:embed="rId12"/>
                    <a:srcRect l="9661" t="15654" r="8481" b="17223"/>
                    <a:stretch>
                      <a:fillRect/>
                    </a:stretch>
                  </pic:blipFill>
                  <pic:spPr>
                    <a:xfrm>
                      <a:off x="0" y="0"/>
                      <a:ext cx="1867535" cy="583565"/>
                    </a:xfrm>
                    <a:prstGeom prst="rect">
                      <a:avLst/>
                    </a:prstGeom>
                    <a:ln/>
                  </pic:spPr>
                </pic:pic>
              </a:graphicData>
            </a:graphic>
          </wp:anchor>
        </w:drawing>
      </w:r>
      <w:r>
        <w:rPr>
          <w:noProof/>
        </w:rPr>
        <mc:AlternateContent>
          <mc:Choice Requires="wps">
            <w:drawing>
              <wp:anchor distT="0" distB="0" distL="0" distR="0" simplePos="0" relativeHeight="251658242" behindDoc="1" locked="0" layoutInCell="1" hidden="0" allowOverlap="1" wp14:anchorId="57B773D1" wp14:editId="436FCE79">
                <wp:simplePos x="0" y="0"/>
                <wp:positionH relativeFrom="page">
                  <wp:posOffset>-17461</wp:posOffset>
                </wp:positionH>
                <wp:positionV relativeFrom="margin">
                  <wp:posOffset>2785728</wp:posOffset>
                </wp:positionV>
                <wp:extent cx="7790180" cy="6156325"/>
                <wp:effectExtent l="0" t="0" r="0" b="0"/>
                <wp:wrapNone/>
                <wp:docPr id="230" name="Rectangle 2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1455673" y="706600"/>
                          <a:ext cx="7780655" cy="6146800"/>
                        </a:xfrm>
                        <a:prstGeom prst="rect">
                          <a:avLst/>
                        </a:prstGeom>
                        <a:solidFill>
                          <a:srgbClr val="E9E9E8"/>
                        </a:solidFill>
                        <a:ln>
                          <a:noFill/>
                        </a:ln>
                      </wps:spPr>
                      <wps:txbx>
                        <w:txbxContent>
                          <w:p w14:paraId="05595EC0" w14:textId="77777777" w:rsidR="006B799D" w:rsidRDefault="006B799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7B773D1" id="Rectangle 230" o:spid="_x0000_s1026" alt="&quot;&quot;" style="position:absolute;margin-left:-1.35pt;margin-top:219.35pt;width:613.4pt;height:484.75pt;z-index:-251658238;visibility:visible;mso-wrap-style:square;mso-wrap-distance-left:0;mso-wrap-distance-top:0;mso-wrap-distance-right:0;mso-wrap-distance-bottom:0;mso-position-horizontal:absolute;mso-position-horizontal-relative:page;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" fillcolor="#e9e9e8" stroked="f">
                <v:textbox inset="2.53958mm,2.53958mm,2.53958mm,2.53958mm">
                  <w:txbxContent>
                    <w:p w14:paraId="05595EC0" w14:textId="77777777" w:rsidR="006B799D" w:rsidRDefault="006B799D">
                      <w:pPr>
                        <w:spacing w:after="0" w:line="240" w:lineRule="auto"/>
                        <w:textDirection w:val="btLr"/>
                      </w:pPr>
                    </w:p>
                  </w:txbxContent>
                </v:textbox>
                <w10:wrap anchorx="page" anchory="margin"/>
              </v:rect>
            </w:pict>
          </mc:Fallback>
        </mc:AlternateContent>
      </w:r>
    </w:p>
    <w:p w14:paraId="00000002" w14:textId="77777777" w:rsidR="006B799D" w:rsidRPr="00B50C2F" w:rsidRDefault="00CC1E6B">
      <w:pPr>
        <w:pBdr>
          <w:top w:val="nil"/>
          <w:left w:val="nil"/>
          <w:bottom w:val="nil"/>
          <w:right w:val="nil"/>
          <w:between w:val="nil"/>
        </w:pBdr>
        <w:spacing w:before="1920"/>
        <w:rPr>
          <w:rFonts w:asciiTheme="minorHAnsi" w:eastAsia="Gill Sans" w:hAnsiTheme="minorHAnsi" w:cs="Gill Sans"/>
          <w:color w:val="002F6C"/>
          <w:sz w:val="32"/>
          <w:szCs w:val="32"/>
        </w:rPr>
      </w:pPr>
      <w:r w:rsidRPr="00B50C2F">
        <w:rPr>
          <w:rFonts w:asciiTheme="minorHAnsi" w:eastAsia="Gill Sans" w:hAnsiTheme="minorHAnsi" w:cs="Gill Sans"/>
          <w:color w:val="002F6C"/>
          <w:sz w:val="32"/>
          <w:szCs w:val="32"/>
        </w:rPr>
        <w:t>Integrated Natural Resource Management (INRM)</w:t>
      </w:r>
    </w:p>
    <w:p w14:paraId="00000003" w14:textId="77777777" w:rsidR="006B799D" w:rsidRPr="00B50C2F" w:rsidRDefault="00CC1E6B">
      <w:pPr>
        <w:pStyle w:val="Title"/>
        <w:rPr>
          <w:rFonts w:asciiTheme="minorHAnsi" w:hAnsiTheme="minorHAnsi"/>
        </w:rPr>
      </w:pPr>
      <w:r w:rsidRPr="00B50C2F">
        <w:rPr>
          <w:rFonts w:asciiTheme="minorHAnsi" w:hAnsiTheme="minorHAnsi"/>
        </w:rPr>
        <w:t>HEARTH Monitoring and Evaluation Toolkit:</w:t>
      </w:r>
    </w:p>
    <w:p w14:paraId="00000004" w14:textId="665B82AC" w:rsidR="006B799D" w:rsidRPr="00B50C2F" w:rsidRDefault="00C95133" w:rsidP="009651C6">
      <w:pPr>
        <w:pBdr>
          <w:top w:val="nil"/>
          <w:left w:val="nil"/>
          <w:bottom w:val="nil"/>
          <w:right w:val="nil"/>
          <w:between w:val="nil"/>
        </w:pBdr>
        <w:spacing w:after="360"/>
        <w:rPr>
          <w:rFonts w:asciiTheme="minorHAnsi" w:eastAsia="Gill Sans" w:hAnsiTheme="minorHAnsi" w:cs="Gill Sans"/>
          <w:i/>
          <w:color w:val="002F6C"/>
          <w:sz w:val="56"/>
          <w:szCs w:val="56"/>
        </w:rPr>
      </w:pPr>
      <w:r w:rsidRPr="00B50C2F">
        <w:rPr>
          <w:rFonts w:asciiTheme="minorHAnsi" w:eastAsia="Gill Sans" w:hAnsiTheme="minorHAnsi" w:cs="Gill Sans"/>
          <w:i/>
          <w:color w:val="002F6C"/>
          <w:sz w:val="56"/>
          <w:szCs w:val="56"/>
        </w:rPr>
        <w:t>Socio</w:t>
      </w:r>
      <w:r w:rsidR="008759D3" w:rsidRPr="00B50C2F">
        <w:rPr>
          <w:rFonts w:asciiTheme="minorHAnsi" w:eastAsia="Gill Sans" w:hAnsiTheme="minorHAnsi" w:cs="Gill Sans"/>
          <w:i/>
          <w:color w:val="002F6C"/>
          <w:sz w:val="56"/>
          <w:szCs w:val="56"/>
        </w:rPr>
        <w:t>-economic Well-being</w:t>
      </w:r>
    </w:p>
    <w:p w14:paraId="00000005" w14:textId="640B68A8" w:rsidR="006B799D" w:rsidRPr="00B50C2F" w:rsidRDefault="00EA2E1B">
      <w:pPr>
        <w:pBdr>
          <w:top w:val="nil"/>
          <w:left w:val="nil"/>
          <w:bottom w:val="nil"/>
          <w:right w:val="nil"/>
          <w:between w:val="nil"/>
        </w:pBdr>
        <w:rPr>
          <w:rFonts w:asciiTheme="minorHAnsi" w:eastAsia="Gill Sans" w:hAnsiTheme="minorHAnsi" w:cs="Gill Sans"/>
          <w:color w:val="0064BB"/>
          <w:sz w:val="28"/>
          <w:szCs w:val="28"/>
        </w:rPr>
      </w:pPr>
      <w:r w:rsidRPr="00B50C2F">
        <w:rPr>
          <w:rFonts w:asciiTheme="minorHAnsi" w:eastAsia="Gill Sans" w:hAnsiTheme="minorHAnsi" w:cs="Gill Sans"/>
          <w:color w:val="0064BB"/>
          <w:sz w:val="28"/>
          <w:szCs w:val="28"/>
        </w:rPr>
        <w:t xml:space="preserve">APRIL </w:t>
      </w:r>
      <w:r w:rsidR="00CC1E6B" w:rsidRPr="00B50C2F">
        <w:rPr>
          <w:rFonts w:asciiTheme="minorHAnsi" w:eastAsia="Gill Sans" w:hAnsiTheme="minorHAnsi" w:cs="Gill Sans"/>
          <w:color w:val="0064BB"/>
          <w:sz w:val="28"/>
          <w:szCs w:val="28"/>
        </w:rPr>
        <w:t>2022</w:t>
      </w:r>
    </w:p>
    <w:p w14:paraId="249788E2" w14:textId="77777777" w:rsidR="00143666" w:rsidRDefault="00143666" w:rsidP="00143666">
      <w:pPr>
        <w:pBdr>
          <w:top w:val="nil"/>
          <w:left w:val="nil"/>
          <w:bottom w:val="nil"/>
          <w:right w:val="nil"/>
          <w:between w:val="nil"/>
        </w:pBdr>
        <w:rPr>
          <w:rFonts w:asciiTheme="majorHAnsi" w:eastAsia="Gill Sans" w:hAnsiTheme="majorHAnsi" w:cs="Gill Sans"/>
          <w:color w:val="0064BB"/>
          <w:sz w:val="28"/>
          <w:szCs w:val="28"/>
        </w:rPr>
      </w:pPr>
    </w:p>
    <w:p w14:paraId="646B15C0" w14:textId="77777777" w:rsidR="00143666" w:rsidRDefault="00143666" w:rsidP="00143666">
      <w:pPr>
        <w:pBdr>
          <w:top w:val="nil"/>
          <w:left w:val="nil"/>
          <w:bottom w:val="nil"/>
          <w:right w:val="nil"/>
          <w:between w:val="nil"/>
        </w:pBdr>
        <w:rPr>
          <w:rFonts w:asciiTheme="majorHAnsi" w:eastAsia="Gill Sans" w:hAnsiTheme="majorHAnsi" w:cs="Gill Sans"/>
          <w:color w:val="0064BB"/>
          <w:sz w:val="28"/>
          <w:szCs w:val="28"/>
        </w:rPr>
      </w:pPr>
    </w:p>
    <w:p w14:paraId="7B2E43CF" w14:textId="77777777" w:rsidR="00143666" w:rsidRDefault="00143666" w:rsidP="00143666">
      <w:pPr>
        <w:pBdr>
          <w:top w:val="nil"/>
          <w:left w:val="nil"/>
          <w:bottom w:val="nil"/>
          <w:right w:val="nil"/>
          <w:between w:val="nil"/>
        </w:pBdr>
        <w:rPr>
          <w:rFonts w:asciiTheme="majorHAnsi" w:eastAsia="Gill Sans" w:hAnsiTheme="majorHAnsi" w:cs="Gill Sans"/>
          <w:color w:val="0064BB"/>
          <w:sz w:val="28"/>
          <w:szCs w:val="28"/>
        </w:rPr>
      </w:pPr>
    </w:p>
    <w:p w14:paraId="38EC4CF8" w14:textId="77777777" w:rsidR="00143666" w:rsidRDefault="00143666" w:rsidP="00143666">
      <w:pPr>
        <w:pBdr>
          <w:top w:val="nil"/>
          <w:left w:val="nil"/>
          <w:bottom w:val="nil"/>
          <w:right w:val="nil"/>
          <w:between w:val="nil"/>
        </w:pBdr>
        <w:rPr>
          <w:rFonts w:asciiTheme="majorHAnsi" w:eastAsia="Gill Sans" w:hAnsiTheme="majorHAnsi" w:cs="Gill Sans"/>
          <w:color w:val="0064BB"/>
          <w:sz w:val="28"/>
          <w:szCs w:val="28"/>
        </w:rPr>
      </w:pPr>
    </w:p>
    <w:p w14:paraId="5C5187CE" w14:textId="77777777" w:rsidR="00143666" w:rsidRDefault="00143666" w:rsidP="00143666">
      <w:pPr>
        <w:pBdr>
          <w:top w:val="nil"/>
          <w:left w:val="nil"/>
          <w:bottom w:val="nil"/>
          <w:right w:val="nil"/>
          <w:between w:val="nil"/>
        </w:pBdr>
        <w:rPr>
          <w:rFonts w:asciiTheme="majorHAnsi" w:eastAsia="Gill Sans" w:hAnsiTheme="majorHAnsi" w:cs="Gill Sans"/>
          <w:color w:val="0064BB"/>
          <w:sz w:val="28"/>
          <w:szCs w:val="28"/>
        </w:rPr>
      </w:pPr>
    </w:p>
    <w:p w14:paraId="3ED3CF24" w14:textId="77777777" w:rsidR="00143666" w:rsidRDefault="00143666" w:rsidP="00143666">
      <w:pPr>
        <w:pBdr>
          <w:top w:val="nil"/>
          <w:left w:val="nil"/>
          <w:bottom w:val="nil"/>
          <w:right w:val="nil"/>
          <w:between w:val="nil"/>
        </w:pBdr>
        <w:rPr>
          <w:rFonts w:asciiTheme="majorHAnsi" w:eastAsia="Gill Sans" w:hAnsiTheme="majorHAnsi" w:cs="Gill Sans"/>
          <w:color w:val="0064BB"/>
          <w:sz w:val="28"/>
          <w:szCs w:val="28"/>
        </w:rPr>
      </w:pPr>
    </w:p>
    <w:p w14:paraId="5EBE61BB" w14:textId="77777777" w:rsidR="00143666" w:rsidRPr="00131ADD" w:rsidRDefault="00143666" w:rsidP="00143666">
      <w:pPr>
        <w:pBdr>
          <w:top w:val="nil"/>
          <w:left w:val="nil"/>
          <w:bottom w:val="nil"/>
          <w:right w:val="nil"/>
          <w:between w:val="nil"/>
        </w:pBdr>
        <w:rPr>
          <w:rFonts w:asciiTheme="majorHAnsi" w:eastAsia="Gill Sans" w:hAnsiTheme="majorHAnsi" w:cs="Gill Sans"/>
          <w:color w:val="0064BB"/>
          <w:sz w:val="28"/>
          <w:szCs w:val="28"/>
        </w:rPr>
      </w:pPr>
      <w:r>
        <w:rPr>
          <w:noProof/>
        </w:rPr>
        <mc:AlternateContent>
          <mc:Choice Requires="wps">
            <w:drawing>
              <wp:inline distT="0" distB="0" distL="0" distR="0" wp14:anchorId="226A7906" wp14:editId="69B1B2D8">
                <wp:extent cx="5901447" cy="2393004"/>
                <wp:effectExtent l="0" t="0" r="17145" b="7620"/>
                <wp:docPr id="10" name="Text Box 10"/>
                <wp:cNvGraphicFramePr/>
                <a:graphic xmlns:a="http://schemas.openxmlformats.org/drawingml/2006/main">
                  <a:graphicData uri="http://schemas.microsoft.com/office/word/2010/wordprocessingShape">
                    <wps:wsp>
                      <wps:cNvSpPr txBox="1"/>
                      <wps:spPr>
                        <a:xfrm>
                          <a:off x="0" y="0"/>
                          <a:ext cx="5901447" cy="2393004"/>
                        </a:xfrm>
                        <a:prstGeom prst="rect">
                          <a:avLst/>
                        </a:prstGeom>
                        <a:solidFill>
                          <a:schemeClr val="accent2">
                            <a:lumMod val="60000"/>
                            <a:lumOff val="40000"/>
                          </a:schemeClr>
                        </a:solidFill>
                        <a:ln w="6350">
                          <a:solidFill>
                            <a:prstClr val="black"/>
                          </a:solidFill>
                        </a:ln>
                      </wps:spPr>
                      <wps:txbx>
                        <w:txbxContent>
                          <w:p w14:paraId="33DB63C3" w14:textId="77777777" w:rsidR="00143666" w:rsidRPr="00592394" w:rsidRDefault="00143666" w:rsidP="00143666">
                            <w:pPr>
                              <w:pStyle w:val="Contractpage-INRMheading"/>
                            </w:pPr>
                            <w:r w:rsidRPr="00592394">
                              <w:t>Integrated Natural Resource Management (INRM)</w:t>
                            </w:r>
                          </w:p>
                          <w:p w14:paraId="028F0BDB" w14:textId="77777777" w:rsidR="00143666" w:rsidRPr="0003469D" w:rsidRDefault="00143666" w:rsidP="00143666">
                            <w:pPr>
                              <w:pStyle w:val="BasicParagraph"/>
                              <w:rPr>
                                <w:rFonts w:asciiTheme="minorHAnsi" w:hAnsiTheme="minorHAnsi"/>
                              </w:rPr>
                            </w:pPr>
                            <w:r w:rsidRPr="0003469D">
                              <w:rPr>
                                <w:rFonts w:asciiTheme="minorHAnsi" w:hAnsiTheme="minorHAnsi"/>
                              </w:rPr>
                              <w:t>Sound management of natural resources is central to long-term development and resilience. Faced with an urgent need to reduce environmental degradation while improving human well-being, solutions that effectively integrate investments in natural resource management with economic and social development are increasingly urgent. INRM promotes integrated programming across environment and non-environment sectors and across the Program Cycle. INRM supports USAID to amplify program impacts, strengthen gender equality and social inclusion, and identify best practices for integration.</w:t>
                            </w:r>
                          </w:p>
                          <w:p w14:paraId="44C68622" w14:textId="77777777" w:rsidR="00143666" w:rsidRPr="0003469D" w:rsidRDefault="00143666" w:rsidP="00143666">
                            <w:pPr>
                              <w:rPr>
                                <w:rFonts w:asciiTheme="minorHAnsi" w:hAnsiTheme="minorHAnsi"/>
                              </w:rPr>
                            </w:pPr>
                            <w:r w:rsidRPr="0003469D">
                              <w:rPr>
                                <w:rFonts w:asciiTheme="minorHAnsi" w:hAnsiTheme="minorHAnsi"/>
                              </w:rPr>
                              <w:t xml:space="preserve">For more information: </w:t>
                            </w:r>
                            <w:r>
                              <w:rPr>
                                <w:rFonts w:asciiTheme="minorHAnsi" w:hAnsiTheme="minorHAnsi"/>
                              </w:rPr>
                              <w:br/>
                            </w:r>
                            <w:r w:rsidRPr="0003469D">
                              <w:rPr>
                                <w:rStyle w:val="Hyperlink"/>
                              </w:rPr>
                              <w:t>https://land-links.org/project/integrated-natural-resource-management-inrm-activity/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26A7906" id="_x0000_t202" coordsize="21600,21600" o:spt="202" path="m,l,21600r21600,l21600,xe">
                <v:stroke joinstyle="miter"/>
                <v:path gradientshapeok="t" o:connecttype="rect"/>
              </v:shapetype>
              <v:shape id="Text Box 10" o:spid="_x0000_s1027" type="#_x0000_t202" style="width:464.7pt;height:1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" fillcolor="#c7dbf4 [1941]" strokeweight=".5pt">
                <v:textbox>
                  <w:txbxContent>
                    <w:p w14:paraId="33DB63C3" w14:textId="77777777" w:rsidR="00143666" w:rsidRPr="00592394" w:rsidRDefault="00143666" w:rsidP="00143666">
                      <w:pPr>
                        <w:pStyle w:val="Contractpage-INRMheading"/>
                      </w:pPr>
                      <w:r w:rsidRPr="00592394">
                        <w:t>Integrated Natural Resource Management (INRM)</w:t>
                      </w:r>
                    </w:p>
                    <w:p w14:paraId="028F0BDB" w14:textId="77777777" w:rsidR="00143666" w:rsidRPr="0003469D" w:rsidRDefault="00143666" w:rsidP="00143666">
                      <w:pPr>
                        <w:pStyle w:val="BasicParagraph"/>
                        <w:rPr>
                          <w:rFonts w:asciiTheme="minorHAnsi" w:hAnsiTheme="minorHAnsi"/>
                        </w:rPr>
                      </w:pPr>
                      <w:r w:rsidRPr="0003469D">
                        <w:rPr>
                          <w:rFonts w:asciiTheme="minorHAnsi" w:hAnsiTheme="minorHAnsi"/>
                        </w:rPr>
                        <w:t>Sound management of natural resources is central to long-term development and resilience. Faced with an urgent need to reduce environmental degradation while improving human well-being, solutions that effectively integrate investments in natural resource management with economic and social development are increasingly urgent. INRM promotes integrated programming across environment and non-environment sectors and across the Program Cycle. INRM supports USAID to amplify program impacts, strengthen gender equality and social inclusion, and identify best practices for integration.</w:t>
                      </w:r>
                    </w:p>
                    <w:p w14:paraId="44C68622" w14:textId="77777777" w:rsidR="00143666" w:rsidRPr="0003469D" w:rsidRDefault="00143666" w:rsidP="00143666">
                      <w:pPr>
                        <w:rPr>
                          <w:rFonts w:asciiTheme="minorHAnsi" w:hAnsiTheme="minorHAnsi"/>
                        </w:rPr>
                      </w:pPr>
                      <w:r w:rsidRPr="0003469D">
                        <w:rPr>
                          <w:rFonts w:asciiTheme="minorHAnsi" w:hAnsiTheme="minorHAnsi"/>
                        </w:rPr>
                        <w:t xml:space="preserve">For more information: </w:t>
                      </w:r>
                      <w:r>
                        <w:rPr>
                          <w:rFonts w:asciiTheme="minorHAnsi" w:hAnsiTheme="minorHAnsi"/>
                        </w:rPr>
                        <w:br/>
                      </w:r>
                      <w:r w:rsidRPr="0003469D">
                        <w:rPr>
                          <w:rStyle w:val="Hyperlink"/>
                        </w:rPr>
                        <w:t>https://land-links.org/project/integrated-natural-resource-management-inrm-activity/</w:t>
                      </w:r>
                    </w:p>
                  </w:txbxContent>
                </v:textbox>
                <w10:anchorlock/>
              </v:shape>
            </w:pict>
          </mc:Fallback>
        </mc:AlternateContent>
      </w:r>
    </w:p>
    <w:tbl>
      <w:tblPr>
        <w:tblW w:w="9350"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2965"/>
        <w:gridCol w:w="6385"/>
      </w:tblGrid>
      <w:tr w:rsidR="00143666" w:rsidRPr="00D42FAE" w14:paraId="19326165" w14:textId="77777777" w:rsidTr="0063691C">
        <w:tc>
          <w:tcPr>
            <w:tcW w:w="2965" w:type="dxa"/>
            <w:shd w:val="clear" w:color="auto" w:fill="auto"/>
          </w:tcPr>
          <w:p w14:paraId="48B831FA" w14:textId="77777777" w:rsidR="00143666" w:rsidRPr="00D42FAE" w:rsidRDefault="00143666" w:rsidP="0063691C">
            <w:pPr>
              <w:spacing w:before="60" w:after="60"/>
              <w:rPr>
                <w:rFonts w:asciiTheme="minorHAnsi" w:hAnsiTheme="minorHAnsi"/>
                <w:b/>
              </w:rPr>
            </w:pPr>
            <w:r w:rsidRPr="00D42FAE">
              <w:rPr>
                <w:rFonts w:asciiTheme="minorHAnsi" w:hAnsiTheme="minorHAnsi"/>
                <w:b/>
              </w:rPr>
              <w:t>Date of Publication:</w:t>
            </w:r>
          </w:p>
        </w:tc>
        <w:tc>
          <w:tcPr>
            <w:tcW w:w="6385" w:type="dxa"/>
            <w:shd w:val="clear" w:color="auto" w:fill="auto"/>
          </w:tcPr>
          <w:p w14:paraId="5D622500" w14:textId="77777777" w:rsidR="00143666" w:rsidRPr="00D42FAE" w:rsidRDefault="00143666" w:rsidP="0063691C">
            <w:pPr>
              <w:spacing w:before="60" w:after="60"/>
              <w:rPr>
                <w:rFonts w:asciiTheme="minorHAnsi" w:hAnsiTheme="minorHAnsi"/>
              </w:rPr>
            </w:pPr>
            <w:r w:rsidRPr="00D42FAE">
              <w:rPr>
                <w:rFonts w:asciiTheme="minorHAnsi" w:hAnsiTheme="minorHAnsi"/>
              </w:rPr>
              <w:t>April 2022</w:t>
            </w:r>
          </w:p>
        </w:tc>
      </w:tr>
      <w:tr w:rsidR="00143666" w:rsidRPr="00D42FAE" w14:paraId="428FF6D5" w14:textId="77777777" w:rsidTr="0063691C">
        <w:tc>
          <w:tcPr>
            <w:tcW w:w="2965" w:type="dxa"/>
            <w:shd w:val="clear" w:color="auto" w:fill="auto"/>
          </w:tcPr>
          <w:p w14:paraId="3CCF24DA" w14:textId="77777777" w:rsidR="00143666" w:rsidRPr="00D42FAE" w:rsidRDefault="00143666" w:rsidP="0063691C">
            <w:pPr>
              <w:spacing w:before="60" w:after="60"/>
              <w:rPr>
                <w:rFonts w:asciiTheme="minorHAnsi" w:hAnsiTheme="minorHAnsi"/>
                <w:b/>
              </w:rPr>
            </w:pPr>
            <w:r w:rsidRPr="00D42FAE">
              <w:rPr>
                <w:rFonts w:asciiTheme="minorHAnsi" w:hAnsiTheme="minorHAnsi"/>
                <w:b/>
              </w:rPr>
              <w:t xml:space="preserve">Authors: </w:t>
            </w:r>
          </w:p>
        </w:tc>
        <w:tc>
          <w:tcPr>
            <w:tcW w:w="6385" w:type="dxa"/>
            <w:shd w:val="clear" w:color="auto" w:fill="auto"/>
          </w:tcPr>
          <w:p w14:paraId="71C58BC5" w14:textId="77777777" w:rsidR="00143666" w:rsidRPr="00D42FAE" w:rsidRDefault="00143666" w:rsidP="0063691C">
            <w:pPr>
              <w:spacing w:before="60" w:after="60"/>
              <w:rPr>
                <w:rFonts w:asciiTheme="minorHAnsi" w:hAnsiTheme="minorHAnsi"/>
                <w:b/>
              </w:rPr>
            </w:pPr>
            <w:r w:rsidRPr="00D42FAE">
              <w:rPr>
                <w:rFonts w:asciiTheme="minorHAnsi" w:hAnsiTheme="minorHAnsi"/>
              </w:rPr>
              <w:t xml:space="preserve">Samantha Cheng, Mike Duthie, Daniel Evans, Aaron Ferguson, Andres Gomez, Scott Miller, Christina </w:t>
            </w:r>
            <w:proofErr w:type="spellStart"/>
            <w:r w:rsidRPr="00D42FAE">
              <w:rPr>
                <w:rFonts w:asciiTheme="minorHAnsi" w:hAnsiTheme="minorHAnsi"/>
              </w:rPr>
              <w:t>Seybolt</w:t>
            </w:r>
            <w:proofErr w:type="spellEnd"/>
            <w:r w:rsidRPr="00D42FAE">
              <w:rPr>
                <w:rFonts w:asciiTheme="minorHAnsi" w:hAnsiTheme="minorHAnsi"/>
              </w:rPr>
              <w:t>, and Meredith Wiggins</w:t>
            </w:r>
          </w:p>
        </w:tc>
      </w:tr>
      <w:tr w:rsidR="00143666" w:rsidRPr="00D42FAE" w14:paraId="59EA5F9F" w14:textId="77777777" w:rsidTr="0063691C">
        <w:tc>
          <w:tcPr>
            <w:tcW w:w="2965" w:type="dxa"/>
            <w:shd w:val="clear" w:color="auto" w:fill="auto"/>
          </w:tcPr>
          <w:p w14:paraId="27FD235F" w14:textId="77777777" w:rsidR="00143666" w:rsidRPr="00D42FAE" w:rsidRDefault="00143666" w:rsidP="0063691C">
            <w:pPr>
              <w:spacing w:before="60" w:after="60"/>
              <w:rPr>
                <w:rFonts w:asciiTheme="minorHAnsi" w:hAnsiTheme="minorHAnsi"/>
                <w:b/>
              </w:rPr>
            </w:pPr>
            <w:bookmarkStart w:id="0" w:name="_heading=h.3rdcrjn" w:colFirst="0" w:colLast="0"/>
            <w:bookmarkEnd w:id="0"/>
            <w:r w:rsidRPr="00D42FAE">
              <w:rPr>
                <w:rFonts w:asciiTheme="minorHAnsi" w:hAnsiTheme="minorHAnsi"/>
                <w:b/>
              </w:rPr>
              <w:t>Front Cover photo:</w:t>
            </w:r>
          </w:p>
        </w:tc>
        <w:tc>
          <w:tcPr>
            <w:tcW w:w="6385" w:type="dxa"/>
            <w:shd w:val="clear" w:color="auto" w:fill="auto"/>
          </w:tcPr>
          <w:p w14:paraId="3542ACC2" w14:textId="5B9DD3C3" w:rsidR="00143666" w:rsidRPr="00D42FAE" w:rsidRDefault="007E7FCC" w:rsidP="0063691C">
            <w:pPr>
              <w:spacing w:before="60" w:after="60"/>
              <w:rPr>
                <w:rFonts w:asciiTheme="minorHAnsi" w:hAnsiTheme="minorHAnsi"/>
                <w:b/>
              </w:rPr>
            </w:pPr>
            <w:r w:rsidRPr="007E7FCC">
              <w:rPr>
                <w:rFonts w:asciiTheme="minorHAnsi" w:hAnsiTheme="minorHAnsi"/>
              </w:rPr>
              <w:t xml:space="preserve">Local markets provide for wants and needs. Being able to purchase rice, fish, and other goods is a primary driver of desire to be involved in </w:t>
            </w:r>
            <w:r w:rsidR="00930B38">
              <w:rPr>
                <w:rFonts w:asciiTheme="minorHAnsi" w:hAnsiTheme="minorHAnsi"/>
              </w:rPr>
              <w:t xml:space="preserve">conservation </w:t>
            </w:r>
            <w:r w:rsidRPr="007E7FCC">
              <w:rPr>
                <w:rFonts w:asciiTheme="minorHAnsi" w:hAnsiTheme="minorHAnsi"/>
              </w:rPr>
              <w:t xml:space="preserve">enterprise projects. Puerto </w:t>
            </w:r>
            <w:proofErr w:type="spellStart"/>
            <w:r w:rsidRPr="007E7FCC">
              <w:rPr>
                <w:rFonts w:asciiTheme="minorHAnsi" w:hAnsiTheme="minorHAnsi"/>
              </w:rPr>
              <w:t>Princesa</w:t>
            </w:r>
            <w:proofErr w:type="spellEnd"/>
            <w:r w:rsidRPr="007E7FCC">
              <w:rPr>
                <w:rFonts w:asciiTheme="minorHAnsi" w:hAnsiTheme="minorHAnsi"/>
              </w:rPr>
              <w:t>, Palawan, Philippines. Photograph by Jason Houston for USAID</w:t>
            </w:r>
            <w:r w:rsidR="00DD7723">
              <w:rPr>
                <w:rFonts w:asciiTheme="minorHAnsi" w:hAnsiTheme="minorHAnsi"/>
              </w:rPr>
              <w:t>.</w:t>
            </w:r>
          </w:p>
        </w:tc>
      </w:tr>
    </w:tbl>
    <w:p w14:paraId="0F634C1A" w14:textId="77777777" w:rsidR="00143666" w:rsidRPr="00D42FAE" w:rsidRDefault="00143666" w:rsidP="00930B38">
      <w:pPr>
        <w:pBdr>
          <w:top w:val="nil"/>
          <w:left w:val="nil"/>
          <w:bottom w:val="nil"/>
          <w:right w:val="nil"/>
          <w:between w:val="nil"/>
        </w:pBdr>
        <w:spacing w:before="160" w:after="0" w:line="280" w:lineRule="auto"/>
        <w:rPr>
          <w:rFonts w:asciiTheme="minorHAnsi" w:eastAsia="Gill Sans" w:hAnsiTheme="minorHAnsi" w:cs="Gill Sans"/>
          <w:color w:val="000000"/>
          <w:sz w:val="20"/>
          <w:szCs w:val="20"/>
        </w:rPr>
      </w:pPr>
    </w:p>
    <w:p w14:paraId="6F6B4627" w14:textId="77777777" w:rsidR="00143666" w:rsidRPr="0003469D" w:rsidRDefault="00143666" w:rsidP="00143666">
      <w:pPr>
        <w:rPr>
          <w:sz w:val="21"/>
          <w:szCs w:val="21"/>
        </w:rPr>
      </w:pPr>
      <w:r w:rsidRPr="0003469D">
        <w:rPr>
          <w:sz w:val="21"/>
          <w:szCs w:val="21"/>
        </w:rPr>
        <w:t>This document was produced for review by the United States Agency for International Development under the Strengthening Tenure and Resource Rights II (STARR II) IDIQ contract number 7200AA20F00010</w:t>
      </w:r>
      <w:r>
        <w:rPr>
          <w:sz w:val="21"/>
          <w:szCs w:val="21"/>
        </w:rPr>
        <w:t>.</w:t>
      </w:r>
    </w:p>
    <w:p w14:paraId="0000002A" w14:textId="016F35AA" w:rsidR="006B799D" w:rsidRPr="00B50C2F" w:rsidRDefault="00143666" w:rsidP="00143666">
      <w:pPr>
        <w:rPr>
          <w:rFonts w:asciiTheme="minorHAnsi" w:hAnsiTheme="minorHAnsi"/>
        </w:rPr>
      </w:pPr>
      <w:r w:rsidRPr="00172F24">
        <w:rPr>
          <w:sz w:val="21"/>
          <w:szCs w:val="21"/>
        </w:rPr>
        <w:t>The authors’ views expressed in this publication do not necessarily reflect the views of the United States Agency for International Development or the United States Government.</w:t>
      </w:r>
      <w:r w:rsidR="00CC1E6B" w:rsidRPr="00B50C2F">
        <w:rPr>
          <w:rFonts w:asciiTheme="minorHAnsi" w:hAnsiTheme="minorHAnsi"/>
        </w:rPr>
        <w:br w:type="page"/>
      </w:r>
    </w:p>
    <w:p w14:paraId="0000002B" w14:textId="77777777" w:rsidR="006B799D" w:rsidRPr="00B50C2F" w:rsidRDefault="00CC1E6B">
      <w:pPr>
        <w:keepNext/>
        <w:keepLines/>
        <w:pBdr>
          <w:top w:val="nil"/>
          <w:left w:val="nil"/>
          <w:bottom w:val="nil"/>
          <w:right w:val="nil"/>
          <w:between w:val="nil"/>
        </w:pBdr>
        <w:spacing w:before="480" w:after="120" w:line="240" w:lineRule="auto"/>
        <w:rPr>
          <w:rFonts w:asciiTheme="minorHAnsi" w:eastAsia="Gill Sans" w:hAnsiTheme="minorHAnsi" w:cs="Gill Sans"/>
          <w:color w:val="002F6C"/>
          <w:sz w:val="70"/>
          <w:szCs w:val="70"/>
        </w:rPr>
      </w:pPr>
      <w:r w:rsidRPr="00B50C2F">
        <w:rPr>
          <w:rFonts w:asciiTheme="minorHAnsi" w:eastAsia="Gill Sans" w:hAnsiTheme="minorHAnsi" w:cs="Gill Sans"/>
          <w:color w:val="002F6C"/>
          <w:sz w:val="70"/>
          <w:szCs w:val="70"/>
        </w:rPr>
        <w:lastRenderedPageBreak/>
        <w:t>Contents</w:t>
      </w:r>
    </w:p>
    <w:sdt>
      <w:sdtPr>
        <w:rPr>
          <w:rFonts w:asciiTheme="minorHAnsi" w:eastAsia="Source Sans Pro" w:hAnsiTheme="minorHAnsi" w:cstheme="minorBidi"/>
          <w:noProof w:val="0"/>
          <w:sz w:val="22"/>
          <w:szCs w:val="22"/>
        </w:rPr>
        <w:id w:val="-276566084"/>
        <w:docPartObj>
          <w:docPartGallery w:val="Table of Contents"/>
          <w:docPartUnique/>
        </w:docPartObj>
      </w:sdtPr>
      <w:sdtEndPr/>
      <w:sdtContent>
        <w:p w14:paraId="2A171824" w14:textId="79465CB0" w:rsidR="004C51B1" w:rsidRDefault="00CC1E6B">
          <w:pPr>
            <w:pStyle w:val="TOC1"/>
            <w:rPr>
              <w:rFonts w:asciiTheme="minorHAnsi" w:eastAsiaTheme="minorEastAsia" w:hAnsiTheme="minorHAnsi" w:cstheme="minorBidi"/>
              <w:sz w:val="22"/>
              <w:szCs w:val="22"/>
            </w:rPr>
          </w:pPr>
          <w:r w:rsidRPr="00B50C2F">
            <w:rPr>
              <w:rFonts w:asciiTheme="minorHAnsi" w:hAnsiTheme="minorHAnsi"/>
            </w:rPr>
            <w:fldChar w:fldCharType="begin"/>
          </w:r>
          <w:r w:rsidRPr="00B50C2F">
            <w:rPr>
              <w:rFonts w:asciiTheme="minorHAnsi" w:hAnsiTheme="minorHAnsi"/>
            </w:rPr>
            <w:instrText xml:space="preserve"> TOC \h \u \z </w:instrText>
          </w:r>
          <w:r w:rsidRPr="00B50C2F">
            <w:rPr>
              <w:rFonts w:asciiTheme="minorHAnsi" w:hAnsiTheme="minorHAnsi"/>
            </w:rPr>
            <w:fldChar w:fldCharType="separate"/>
          </w:r>
          <w:hyperlink w:anchor="_Toc104984471" w:history="1">
            <w:r w:rsidR="004C51B1" w:rsidRPr="00A23559">
              <w:rPr>
                <w:rStyle w:val="Hyperlink"/>
              </w:rPr>
              <w:t>Acronyms</w:t>
            </w:r>
            <w:r w:rsidR="004C51B1">
              <w:rPr>
                <w:webHidden/>
              </w:rPr>
              <w:tab/>
            </w:r>
            <w:r w:rsidR="004C51B1">
              <w:rPr>
                <w:webHidden/>
              </w:rPr>
              <w:fldChar w:fldCharType="begin"/>
            </w:r>
            <w:r w:rsidR="004C51B1">
              <w:rPr>
                <w:webHidden/>
              </w:rPr>
              <w:instrText xml:space="preserve"> PAGEREF _Toc104984471 \h </w:instrText>
            </w:r>
            <w:r w:rsidR="004C51B1">
              <w:rPr>
                <w:webHidden/>
              </w:rPr>
            </w:r>
            <w:r w:rsidR="004C51B1">
              <w:rPr>
                <w:webHidden/>
              </w:rPr>
              <w:fldChar w:fldCharType="separate"/>
            </w:r>
            <w:r w:rsidR="00830B82">
              <w:rPr>
                <w:webHidden/>
              </w:rPr>
              <w:t>iv</w:t>
            </w:r>
            <w:r w:rsidR="004C51B1">
              <w:rPr>
                <w:webHidden/>
              </w:rPr>
              <w:fldChar w:fldCharType="end"/>
            </w:r>
          </w:hyperlink>
        </w:p>
        <w:p w14:paraId="5305E5D5" w14:textId="2214E059" w:rsidR="004C51B1" w:rsidRDefault="00907EC7">
          <w:pPr>
            <w:pStyle w:val="TOC1"/>
            <w:rPr>
              <w:rFonts w:asciiTheme="minorHAnsi" w:eastAsiaTheme="minorEastAsia" w:hAnsiTheme="minorHAnsi" w:cstheme="minorBidi"/>
              <w:sz w:val="22"/>
              <w:szCs w:val="22"/>
            </w:rPr>
          </w:pPr>
          <w:hyperlink w:anchor="_Toc104984472" w:history="1">
            <w:r w:rsidR="004C51B1" w:rsidRPr="00A23559">
              <w:rPr>
                <w:rStyle w:val="Hyperlink"/>
              </w:rPr>
              <w:t>Overview</w:t>
            </w:r>
            <w:r w:rsidR="004C51B1">
              <w:rPr>
                <w:webHidden/>
              </w:rPr>
              <w:tab/>
            </w:r>
            <w:r w:rsidR="004C51B1">
              <w:rPr>
                <w:webHidden/>
              </w:rPr>
              <w:fldChar w:fldCharType="begin"/>
            </w:r>
            <w:r w:rsidR="004C51B1">
              <w:rPr>
                <w:webHidden/>
              </w:rPr>
              <w:instrText xml:space="preserve"> PAGEREF _Toc104984472 \h </w:instrText>
            </w:r>
            <w:r w:rsidR="004C51B1">
              <w:rPr>
                <w:webHidden/>
              </w:rPr>
            </w:r>
            <w:r w:rsidR="004C51B1">
              <w:rPr>
                <w:webHidden/>
              </w:rPr>
              <w:fldChar w:fldCharType="separate"/>
            </w:r>
            <w:r w:rsidR="00830B82">
              <w:rPr>
                <w:webHidden/>
              </w:rPr>
              <w:t>1</w:t>
            </w:r>
            <w:r w:rsidR="004C51B1">
              <w:rPr>
                <w:webHidden/>
              </w:rPr>
              <w:fldChar w:fldCharType="end"/>
            </w:r>
          </w:hyperlink>
        </w:p>
        <w:p w14:paraId="244F0488" w14:textId="0944E318" w:rsidR="004C51B1" w:rsidRDefault="00907EC7">
          <w:pPr>
            <w:pStyle w:val="TOC2"/>
            <w:rPr>
              <w:rFonts w:asciiTheme="minorHAnsi" w:eastAsiaTheme="minorEastAsia" w:hAnsiTheme="minorHAnsi" w:cstheme="minorBidi"/>
              <w:sz w:val="22"/>
              <w:szCs w:val="22"/>
            </w:rPr>
          </w:pPr>
          <w:hyperlink w:anchor="_Toc104984473" w:history="1">
            <w:r w:rsidR="004C51B1" w:rsidRPr="00A23559">
              <w:rPr>
                <w:rStyle w:val="Hyperlink"/>
              </w:rPr>
              <w:t>How To Use This Toolkit</w:t>
            </w:r>
            <w:r w:rsidR="004C51B1">
              <w:rPr>
                <w:webHidden/>
              </w:rPr>
              <w:tab/>
            </w:r>
            <w:r w:rsidR="004C51B1">
              <w:rPr>
                <w:webHidden/>
              </w:rPr>
              <w:fldChar w:fldCharType="begin"/>
            </w:r>
            <w:r w:rsidR="004C51B1">
              <w:rPr>
                <w:webHidden/>
              </w:rPr>
              <w:instrText xml:space="preserve"> PAGEREF _Toc104984473 \h </w:instrText>
            </w:r>
            <w:r w:rsidR="004C51B1">
              <w:rPr>
                <w:webHidden/>
              </w:rPr>
            </w:r>
            <w:r w:rsidR="004C51B1">
              <w:rPr>
                <w:webHidden/>
              </w:rPr>
              <w:fldChar w:fldCharType="separate"/>
            </w:r>
            <w:r w:rsidR="00830B82">
              <w:rPr>
                <w:webHidden/>
              </w:rPr>
              <w:t>1</w:t>
            </w:r>
            <w:r w:rsidR="004C51B1">
              <w:rPr>
                <w:webHidden/>
              </w:rPr>
              <w:fldChar w:fldCharType="end"/>
            </w:r>
          </w:hyperlink>
        </w:p>
        <w:p w14:paraId="066D9B51" w14:textId="75C2CA87" w:rsidR="004C51B1" w:rsidRDefault="00907EC7">
          <w:pPr>
            <w:pStyle w:val="TOC2"/>
            <w:rPr>
              <w:rFonts w:asciiTheme="minorHAnsi" w:eastAsiaTheme="minorEastAsia" w:hAnsiTheme="minorHAnsi" w:cstheme="minorBidi"/>
              <w:sz w:val="22"/>
              <w:szCs w:val="22"/>
            </w:rPr>
          </w:pPr>
          <w:hyperlink w:anchor="_Toc104984474" w:history="1">
            <w:r w:rsidR="004C51B1" w:rsidRPr="00A23559">
              <w:rPr>
                <w:rStyle w:val="Hyperlink"/>
              </w:rPr>
              <w:t>Indicator Guidance and Core Household Questionnaire</w:t>
            </w:r>
            <w:r w:rsidR="004C51B1">
              <w:rPr>
                <w:webHidden/>
              </w:rPr>
              <w:tab/>
            </w:r>
            <w:r w:rsidR="004C51B1">
              <w:rPr>
                <w:webHidden/>
              </w:rPr>
              <w:fldChar w:fldCharType="begin"/>
            </w:r>
            <w:r w:rsidR="004C51B1">
              <w:rPr>
                <w:webHidden/>
              </w:rPr>
              <w:instrText xml:space="preserve"> PAGEREF _Toc104984474 \h </w:instrText>
            </w:r>
            <w:r w:rsidR="004C51B1">
              <w:rPr>
                <w:webHidden/>
              </w:rPr>
            </w:r>
            <w:r w:rsidR="004C51B1">
              <w:rPr>
                <w:webHidden/>
              </w:rPr>
              <w:fldChar w:fldCharType="separate"/>
            </w:r>
            <w:r w:rsidR="00830B82">
              <w:rPr>
                <w:webHidden/>
              </w:rPr>
              <w:t>2</w:t>
            </w:r>
            <w:r w:rsidR="004C51B1">
              <w:rPr>
                <w:webHidden/>
              </w:rPr>
              <w:fldChar w:fldCharType="end"/>
            </w:r>
          </w:hyperlink>
        </w:p>
        <w:p w14:paraId="35EC37F6" w14:textId="5071101D" w:rsidR="004C51B1" w:rsidRDefault="00907EC7">
          <w:pPr>
            <w:pStyle w:val="TOC2"/>
            <w:rPr>
              <w:rFonts w:asciiTheme="minorHAnsi" w:eastAsiaTheme="minorEastAsia" w:hAnsiTheme="minorHAnsi" w:cstheme="minorBidi"/>
              <w:sz w:val="22"/>
              <w:szCs w:val="22"/>
            </w:rPr>
          </w:pPr>
          <w:hyperlink w:anchor="_Toc104984475" w:history="1">
            <w:r w:rsidR="004C51B1" w:rsidRPr="00A23559">
              <w:rPr>
                <w:rStyle w:val="Hyperlink"/>
              </w:rPr>
              <w:t>Outcomes and Indicators for Socio-economic Well-being</w:t>
            </w:r>
            <w:r w:rsidR="004C51B1">
              <w:rPr>
                <w:webHidden/>
              </w:rPr>
              <w:tab/>
            </w:r>
            <w:r w:rsidR="004C51B1">
              <w:rPr>
                <w:webHidden/>
              </w:rPr>
              <w:fldChar w:fldCharType="begin"/>
            </w:r>
            <w:r w:rsidR="004C51B1">
              <w:rPr>
                <w:webHidden/>
              </w:rPr>
              <w:instrText xml:space="preserve"> PAGEREF _Toc104984475 \h </w:instrText>
            </w:r>
            <w:r w:rsidR="004C51B1">
              <w:rPr>
                <w:webHidden/>
              </w:rPr>
            </w:r>
            <w:r w:rsidR="004C51B1">
              <w:rPr>
                <w:webHidden/>
              </w:rPr>
              <w:fldChar w:fldCharType="separate"/>
            </w:r>
            <w:r w:rsidR="00830B82">
              <w:rPr>
                <w:webHidden/>
              </w:rPr>
              <w:t>3</w:t>
            </w:r>
            <w:r w:rsidR="004C51B1">
              <w:rPr>
                <w:webHidden/>
              </w:rPr>
              <w:fldChar w:fldCharType="end"/>
            </w:r>
          </w:hyperlink>
        </w:p>
        <w:p w14:paraId="422BA16C" w14:textId="1DA886C1" w:rsidR="004C51B1" w:rsidRDefault="00907EC7">
          <w:pPr>
            <w:pStyle w:val="TOC1"/>
            <w:rPr>
              <w:rFonts w:asciiTheme="minorHAnsi" w:eastAsiaTheme="minorEastAsia" w:hAnsiTheme="minorHAnsi" w:cstheme="minorBidi"/>
              <w:sz w:val="22"/>
              <w:szCs w:val="22"/>
            </w:rPr>
          </w:pPr>
          <w:hyperlink w:anchor="_Toc104984476" w:history="1">
            <w:r w:rsidR="004C51B1" w:rsidRPr="00A23559">
              <w:rPr>
                <w:rStyle w:val="Hyperlink"/>
              </w:rPr>
              <w:t>Socio-economic Well-being</w:t>
            </w:r>
            <w:r w:rsidR="004C51B1">
              <w:rPr>
                <w:webHidden/>
              </w:rPr>
              <w:tab/>
            </w:r>
            <w:r w:rsidR="004C51B1">
              <w:rPr>
                <w:webHidden/>
              </w:rPr>
              <w:fldChar w:fldCharType="begin"/>
            </w:r>
            <w:r w:rsidR="004C51B1">
              <w:rPr>
                <w:webHidden/>
              </w:rPr>
              <w:instrText xml:space="preserve"> PAGEREF _Toc104984476 \h </w:instrText>
            </w:r>
            <w:r w:rsidR="004C51B1">
              <w:rPr>
                <w:webHidden/>
              </w:rPr>
            </w:r>
            <w:r w:rsidR="004C51B1">
              <w:rPr>
                <w:webHidden/>
              </w:rPr>
              <w:fldChar w:fldCharType="separate"/>
            </w:r>
            <w:r w:rsidR="00830B82">
              <w:rPr>
                <w:webHidden/>
              </w:rPr>
              <w:t>4</w:t>
            </w:r>
            <w:r w:rsidR="004C51B1">
              <w:rPr>
                <w:webHidden/>
              </w:rPr>
              <w:fldChar w:fldCharType="end"/>
            </w:r>
          </w:hyperlink>
        </w:p>
        <w:p w14:paraId="1EDC89E6" w14:textId="3F5904E3" w:rsidR="004C51B1" w:rsidRDefault="00907EC7">
          <w:pPr>
            <w:pStyle w:val="TOC2"/>
            <w:rPr>
              <w:rFonts w:asciiTheme="minorHAnsi" w:eastAsiaTheme="minorEastAsia" w:hAnsiTheme="minorHAnsi" w:cstheme="minorBidi"/>
              <w:sz w:val="22"/>
              <w:szCs w:val="22"/>
            </w:rPr>
          </w:pPr>
          <w:hyperlink w:anchor="_Toc104984477" w:history="1">
            <w:r w:rsidR="004C51B1" w:rsidRPr="00A23559">
              <w:rPr>
                <w:rStyle w:val="Hyperlink"/>
              </w:rPr>
              <w:t>Pathways To Change</w:t>
            </w:r>
            <w:r w:rsidR="004C51B1">
              <w:rPr>
                <w:webHidden/>
              </w:rPr>
              <w:tab/>
            </w:r>
            <w:r w:rsidR="004C51B1">
              <w:rPr>
                <w:webHidden/>
              </w:rPr>
              <w:fldChar w:fldCharType="begin"/>
            </w:r>
            <w:r w:rsidR="004C51B1">
              <w:rPr>
                <w:webHidden/>
              </w:rPr>
              <w:instrText xml:space="preserve"> PAGEREF _Toc104984477 \h </w:instrText>
            </w:r>
            <w:r w:rsidR="004C51B1">
              <w:rPr>
                <w:webHidden/>
              </w:rPr>
            </w:r>
            <w:r w:rsidR="004C51B1">
              <w:rPr>
                <w:webHidden/>
              </w:rPr>
              <w:fldChar w:fldCharType="separate"/>
            </w:r>
            <w:r w:rsidR="00830B82">
              <w:rPr>
                <w:webHidden/>
              </w:rPr>
              <w:t>4</w:t>
            </w:r>
            <w:r w:rsidR="004C51B1">
              <w:rPr>
                <w:webHidden/>
              </w:rPr>
              <w:fldChar w:fldCharType="end"/>
            </w:r>
          </w:hyperlink>
        </w:p>
        <w:p w14:paraId="0DA2F1FB" w14:textId="3E0DFC55" w:rsidR="004C51B1" w:rsidRDefault="00907EC7">
          <w:pPr>
            <w:pStyle w:val="TOC2"/>
            <w:rPr>
              <w:rFonts w:asciiTheme="minorHAnsi" w:eastAsiaTheme="minorEastAsia" w:hAnsiTheme="minorHAnsi" w:cstheme="minorBidi"/>
              <w:sz w:val="22"/>
              <w:szCs w:val="22"/>
            </w:rPr>
          </w:pPr>
          <w:hyperlink w:anchor="_Toc104984478" w:history="1">
            <w:r w:rsidR="004C51B1" w:rsidRPr="00A23559">
              <w:rPr>
                <w:rStyle w:val="Hyperlink"/>
              </w:rPr>
              <w:t>Recommended Outcomes and Indicators</w:t>
            </w:r>
            <w:r w:rsidR="004C51B1">
              <w:rPr>
                <w:webHidden/>
              </w:rPr>
              <w:tab/>
            </w:r>
            <w:r w:rsidR="004C51B1">
              <w:rPr>
                <w:webHidden/>
              </w:rPr>
              <w:fldChar w:fldCharType="begin"/>
            </w:r>
            <w:r w:rsidR="004C51B1">
              <w:rPr>
                <w:webHidden/>
              </w:rPr>
              <w:instrText xml:space="preserve"> PAGEREF _Toc104984478 \h </w:instrText>
            </w:r>
            <w:r w:rsidR="004C51B1">
              <w:rPr>
                <w:webHidden/>
              </w:rPr>
            </w:r>
            <w:r w:rsidR="004C51B1">
              <w:rPr>
                <w:webHidden/>
              </w:rPr>
              <w:fldChar w:fldCharType="separate"/>
            </w:r>
            <w:r w:rsidR="00830B82">
              <w:rPr>
                <w:webHidden/>
              </w:rPr>
              <w:t>4</w:t>
            </w:r>
            <w:r w:rsidR="004C51B1">
              <w:rPr>
                <w:webHidden/>
              </w:rPr>
              <w:fldChar w:fldCharType="end"/>
            </w:r>
          </w:hyperlink>
        </w:p>
        <w:p w14:paraId="3F29F137" w14:textId="2D087561" w:rsidR="004C51B1" w:rsidRDefault="00907EC7">
          <w:pPr>
            <w:pStyle w:val="TOC2"/>
            <w:rPr>
              <w:rFonts w:asciiTheme="minorHAnsi" w:eastAsiaTheme="minorEastAsia" w:hAnsiTheme="minorHAnsi" w:cstheme="minorBidi"/>
              <w:sz w:val="22"/>
              <w:szCs w:val="22"/>
            </w:rPr>
          </w:pPr>
          <w:hyperlink w:anchor="_Toc104984479" w:history="1">
            <w:r w:rsidR="004C51B1" w:rsidRPr="00A23559">
              <w:rPr>
                <w:rStyle w:val="Hyperlink"/>
              </w:rPr>
              <w:t>Performance Indicator Reference Sheets</w:t>
            </w:r>
            <w:r w:rsidR="004C51B1">
              <w:rPr>
                <w:webHidden/>
              </w:rPr>
              <w:tab/>
            </w:r>
            <w:r w:rsidR="004C51B1">
              <w:rPr>
                <w:webHidden/>
              </w:rPr>
              <w:fldChar w:fldCharType="begin"/>
            </w:r>
            <w:r w:rsidR="004C51B1">
              <w:rPr>
                <w:webHidden/>
              </w:rPr>
              <w:instrText xml:space="preserve"> PAGEREF _Toc104984479 \h </w:instrText>
            </w:r>
            <w:r w:rsidR="004C51B1">
              <w:rPr>
                <w:webHidden/>
              </w:rPr>
            </w:r>
            <w:r w:rsidR="004C51B1">
              <w:rPr>
                <w:webHidden/>
              </w:rPr>
              <w:fldChar w:fldCharType="separate"/>
            </w:r>
            <w:r w:rsidR="00830B82">
              <w:rPr>
                <w:webHidden/>
              </w:rPr>
              <w:t>7</w:t>
            </w:r>
            <w:r w:rsidR="004C51B1">
              <w:rPr>
                <w:webHidden/>
              </w:rPr>
              <w:fldChar w:fldCharType="end"/>
            </w:r>
          </w:hyperlink>
        </w:p>
        <w:p w14:paraId="4717AC50" w14:textId="62DEA5C2" w:rsidR="004C51B1" w:rsidRDefault="00907EC7">
          <w:pPr>
            <w:pStyle w:val="TOC1"/>
            <w:rPr>
              <w:rFonts w:asciiTheme="minorHAnsi" w:eastAsiaTheme="minorEastAsia" w:hAnsiTheme="minorHAnsi" w:cstheme="minorBidi"/>
              <w:sz w:val="22"/>
              <w:szCs w:val="22"/>
            </w:rPr>
          </w:pPr>
          <w:hyperlink w:anchor="_Toc104984480" w:history="1">
            <w:r w:rsidR="004C51B1" w:rsidRPr="00A23559">
              <w:rPr>
                <w:rStyle w:val="Hyperlink"/>
              </w:rPr>
              <w:t>Annex 1. Socioeconomic Status</w:t>
            </w:r>
            <w:r w:rsidR="004C51B1">
              <w:rPr>
                <w:webHidden/>
              </w:rPr>
              <w:tab/>
            </w:r>
            <w:r w:rsidR="004C51B1">
              <w:rPr>
                <w:webHidden/>
              </w:rPr>
              <w:fldChar w:fldCharType="begin"/>
            </w:r>
            <w:r w:rsidR="004C51B1">
              <w:rPr>
                <w:webHidden/>
              </w:rPr>
              <w:instrText xml:space="preserve"> PAGEREF _Toc104984480 \h </w:instrText>
            </w:r>
            <w:r w:rsidR="004C51B1">
              <w:rPr>
                <w:webHidden/>
              </w:rPr>
            </w:r>
            <w:r w:rsidR="004C51B1">
              <w:rPr>
                <w:webHidden/>
              </w:rPr>
              <w:fldChar w:fldCharType="separate"/>
            </w:r>
            <w:r w:rsidR="00830B82">
              <w:rPr>
                <w:webHidden/>
              </w:rPr>
              <w:t>13</w:t>
            </w:r>
            <w:r w:rsidR="004C51B1">
              <w:rPr>
                <w:webHidden/>
              </w:rPr>
              <w:fldChar w:fldCharType="end"/>
            </w:r>
          </w:hyperlink>
        </w:p>
        <w:p w14:paraId="723A5107" w14:textId="4A66D761" w:rsidR="004C51B1" w:rsidRDefault="00907EC7">
          <w:pPr>
            <w:pStyle w:val="TOC2"/>
            <w:rPr>
              <w:rFonts w:asciiTheme="minorHAnsi" w:eastAsiaTheme="minorEastAsia" w:hAnsiTheme="minorHAnsi" w:cstheme="minorBidi"/>
              <w:sz w:val="22"/>
              <w:szCs w:val="22"/>
            </w:rPr>
          </w:pPr>
          <w:hyperlink w:anchor="_Toc104984481" w:history="1">
            <w:r w:rsidR="004C51B1" w:rsidRPr="00A23559">
              <w:rPr>
                <w:rStyle w:val="Hyperlink"/>
              </w:rPr>
              <w:t>Income and Consumption</w:t>
            </w:r>
            <w:r w:rsidR="004C51B1">
              <w:rPr>
                <w:webHidden/>
              </w:rPr>
              <w:tab/>
            </w:r>
            <w:r w:rsidR="004C51B1">
              <w:rPr>
                <w:webHidden/>
              </w:rPr>
              <w:fldChar w:fldCharType="begin"/>
            </w:r>
            <w:r w:rsidR="004C51B1">
              <w:rPr>
                <w:webHidden/>
              </w:rPr>
              <w:instrText xml:space="preserve"> PAGEREF _Toc104984481 \h </w:instrText>
            </w:r>
            <w:r w:rsidR="004C51B1">
              <w:rPr>
                <w:webHidden/>
              </w:rPr>
            </w:r>
            <w:r w:rsidR="004C51B1">
              <w:rPr>
                <w:webHidden/>
              </w:rPr>
              <w:fldChar w:fldCharType="separate"/>
            </w:r>
            <w:r w:rsidR="00830B82">
              <w:rPr>
                <w:webHidden/>
              </w:rPr>
              <w:t>13</w:t>
            </w:r>
            <w:r w:rsidR="004C51B1">
              <w:rPr>
                <w:webHidden/>
              </w:rPr>
              <w:fldChar w:fldCharType="end"/>
            </w:r>
          </w:hyperlink>
        </w:p>
        <w:p w14:paraId="42435CD3" w14:textId="3EEEADFC" w:rsidR="004C51B1" w:rsidRDefault="00907EC7">
          <w:pPr>
            <w:pStyle w:val="TOC2"/>
            <w:rPr>
              <w:rFonts w:asciiTheme="minorHAnsi" w:eastAsiaTheme="minorEastAsia" w:hAnsiTheme="minorHAnsi" w:cstheme="minorBidi"/>
              <w:sz w:val="22"/>
              <w:szCs w:val="22"/>
            </w:rPr>
          </w:pPr>
          <w:hyperlink w:anchor="_Toc104984482" w:history="1">
            <w:r w:rsidR="004C51B1" w:rsidRPr="00A23559">
              <w:rPr>
                <w:rStyle w:val="Hyperlink"/>
              </w:rPr>
              <w:t>Wealth Indices</w:t>
            </w:r>
            <w:r w:rsidR="004C51B1">
              <w:rPr>
                <w:webHidden/>
              </w:rPr>
              <w:tab/>
            </w:r>
            <w:r w:rsidR="004C51B1">
              <w:rPr>
                <w:webHidden/>
              </w:rPr>
              <w:fldChar w:fldCharType="begin"/>
            </w:r>
            <w:r w:rsidR="004C51B1">
              <w:rPr>
                <w:webHidden/>
              </w:rPr>
              <w:instrText xml:space="preserve"> PAGEREF _Toc104984482 \h </w:instrText>
            </w:r>
            <w:r w:rsidR="004C51B1">
              <w:rPr>
                <w:webHidden/>
              </w:rPr>
            </w:r>
            <w:r w:rsidR="004C51B1">
              <w:rPr>
                <w:webHidden/>
              </w:rPr>
              <w:fldChar w:fldCharType="separate"/>
            </w:r>
            <w:r w:rsidR="00830B82">
              <w:rPr>
                <w:webHidden/>
              </w:rPr>
              <w:t>13</w:t>
            </w:r>
            <w:r w:rsidR="004C51B1">
              <w:rPr>
                <w:webHidden/>
              </w:rPr>
              <w:fldChar w:fldCharType="end"/>
            </w:r>
          </w:hyperlink>
        </w:p>
        <w:p w14:paraId="2D4CD80E" w14:textId="64935797" w:rsidR="004C51B1" w:rsidRDefault="00907EC7">
          <w:pPr>
            <w:pStyle w:val="TOC2"/>
            <w:rPr>
              <w:rFonts w:asciiTheme="minorHAnsi" w:eastAsiaTheme="minorEastAsia" w:hAnsiTheme="minorHAnsi" w:cstheme="minorBidi"/>
              <w:sz w:val="22"/>
              <w:szCs w:val="22"/>
            </w:rPr>
          </w:pPr>
          <w:hyperlink w:anchor="_Toc104984483" w:history="1">
            <w:r w:rsidR="004C51B1" w:rsidRPr="00A23559">
              <w:rPr>
                <w:rStyle w:val="Hyperlink"/>
              </w:rPr>
              <w:t>Poverty Probability Index</w:t>
            </w:r>
            <w:r w:rsidR="004C51B1">
              <w:rPr>
                <w:webHidden/>
              </w:rPr>
              <w:tab/>
            </w:r>
            <w:r w:rsidR="004C51B1">
              <w:rPr>
                <w:webHidden/>
              </w:rPr>
              <w:fldChar w:fldCharType="begin"/>
            </w:r>
            <w:r w:rsidR="004C51B1">
              <w:rPr>
                <w:webHidden/>
              </w:rPr>
              <w:instrText xml:space="preserve"> PAGEREF _Toc104984483 \h </w:instrText>
            </w:r>
            <w:r w:rsidR="004C51B1">
              <w:rPr>
                <w:webHidden/>
              </w:rPr>
            </w:r>
            <w:r w:rsidR="004C51B1">
              <w:rPr>
                <w:webHidden/>
              </w:rPr>
              <w:fldChar w:fldCharType="separate"/>
            </w:r>
            <w:r w:rsidR="00830B82">
              <w:rPr>
                <w:webHidden/>
              </w:rPr>
              <w:t>14</w:t>
            </w:r>
            <w:r w:rsidR="004C51B1">
              <w:rPr>
                <w:webHidden/>
              </w:rPr>
              <w:fldChar w:fldCharType="end"/>
            </w:r>
          </w:hyperlink>
        </w:p>
        <w:p w14:paraId="00000034" w14:textId="78095CE9" w:rsidR="006B799D" w:rsidRPr="00B50C2F" w:rsidRDefault="00CC1E6B">
          <w:pPr>
            <w:rPr>
              <w:rFonts w:asciiTheme="minorHAnsi" w:hAnsiTheme="minorHAnsi"/>
            </w:rPr>
          </w:pPr>
          <w:r w:rsidRPr="00B50C2F">
            <w:rPr>
              <w:rFonts w:asciiTheme="minorHAnsi" w:hAnsiTheme="minorHAnsi"/>
            </w:rPr>
            <w:fldChar w:fldCharType="end"/>
          </w:r>
        </w:p>
      </w:sdtContent>
    </w:sdt>
    <w:p w14:paraId="00000035" w14:textId="77777777" w:rsidR="006B799D" w:rsidRPr="00B50C2F" w:rsidRDefault="006B799D">
      <w:pPr>
        <w:spacing w:after="120"/>
        <w:rPr>
          <w:rFonts w:asciiTheme="minorHAnsi" w:hAnsiTheme="minorHAnsi"/>
        </w:rPr>
      </w:pPr>
    </w:p>
    <w:p w14:paraId="4549C00E" w14:textId="30BDADA4" w:rsidR="00D278CC" w:rsidRPr="00B50C2F" w:rsidRDefault="00CC1E6B" w:rsidP="002214AB">
      <w:pPr>
        <w:pStyle w:val="Heading1"/>
        <w:rPr>
          <w:rFonts w:asciiTheme="minorHAnsi" w:eastAsia="Gill Sans" w:hAnsiTheme="minorHAnsi" w:cs="Gill Sans"/>
          <w:color w:val="000000"/>
        </w:rPr>
      </w:pPr>
      <w:r w:rsidRPr="00B50C2F">
        <w:rPr>
          <w:rFonts w:asciiTheme="minorHAnsi" w:hAnsiTheme="minorHAnsi"/>
        </w:rPr>
        <w:br w:type="page"/>
      </w:r>
      <w:bookmarkStart w:id="1" w:name="_Toc104984471"/>
      <w:sdt>
        <w:sdtPr>
          <w:rPr>
            <w:rFonts w:asciiTheme="minorHAnsi" w:hAnsiTheme="minorHAnsi"/>
          </w:rPr>
          <w:tag w:val="goog_rdk_0"/>
          <w:id w:val="2099986905"/>
        </w:sdtPr>
        <w:sdtEndPr/>
        <w:sdtContent/>
      </w:sdt>
      <w:r w:rsidRPr="00B50C2F">
        <w:rPr>
          <w:rFonts w:asciiTheme="minorHAnsi" w:hAnsiTheme="minorHAnsi"/>
        </w:rPr>
        <w:t>Acronyms</w:t>
      </w:r>
      <w:bookmarkEnd w:id="1"/>
    </w:p>
    <w:tbl>
      <w:tblPr>
        <w:tblStyle w:val="affffffffffff7"/>
        <w:tblW w:w="9355" w:type="dxa"/>
        <w:tblBorders>
          <w:top w:val="nil"/>
          <w:left w:val="nil"/>
          <w:bottom w:val="nil"/>
          <w:right w:val="nil"/>
          <w:insideH w:val="nil"/>
          <w:insideV w:val="nil"/>
        </w:tblBorders>
        <w:tblLayout w:type="fixed"/>
        <w:tblLook w:val="0420" w:firstRow="1" w:lastRow="0" w:firstColumn="0" w:lastColumn="0" w:noHBand="0" w:noVBand="1"/>
      </w:tblPr>
      <w:tblGrid>
        <w:gridCol w:w="1435"/>
        <w:gridCol w:w="7920"/>
      </w:tblGrid>
      <w:tr w:rsidR="002214AB" w:rsidRPr="00B50C2F" w14:paraId="29E4B7DF" w14:textId="77777777" w:rsidTr="00907EC7">
        <w:tc>
          <w:tcPr>
            <w:tcW w:w="1435" w:type="dxa"/>
          </w:tcPr>
          <w:p w14:paraId="519153CB" w14:textId="77777777" w:rsidR="002214AB" w:rsidRPr="00B50C2F" w:rsidRDefault="002214AB" w:rsidP="00503C85">
            <w:pPr>
              <w:rPr>
                <w:rFonts w:asciiTheme="minorHAnsi" w:hAnsiTheme="minorHAnsi"/>
              </w:rPr>
            </w:pPr>
            <w:r w:rsidRPr="00B50C2F">
              <w:rPr>
                <w:rFonts w:asciiTheme="minorHAnsi" w:hAnsiTheme="minorHAnsi"/>
              </w:rPr>
              <w:t>AWI</w:t>
            </w:r>
          </w:p>
        </w:tc>
        <w:tc>
          <w:tcPr>
            <w:tcW w:w="7920" w:type="dxa"/>
          </w:tcPr>
          <w:p w14:paraId="4F487607" w14:textId="77777777" w:rsidR="002214AB" w:rsidRPr="00B50C2F" w:rsidRDefault="002214AB" w:rsidP="00503C85">
            <w:pPr>
              <w:rPr>
                <w:rFonts w:asciiTheme="minorHAnsi" w:hAnsiTheme="minorHAnsi"/>
              </w:rPr>
            </w:pPr>
            <w:r w:rsidRPr="00B50C2F">
              <w:rPr>
                <w:rFonts w:asciiTheme="minorHAnsi" w:hAnsiTheme="minorHAnsi"/>
              </w:rPr>
              <w:t>Absolute Wealth Index</w:t>
            </w:r>
          </w:p>
        </w:tc>
      </w:tr>
      <w:tr w:rsidR="00B50C2F" w:rsidRPr="00B50C2F" w14:paraId="2F4378FF" w14:textId="77777777" w:rsidTr="00907EC7">
        <w:tc>
          <w:tcPr>
            <w:tcW w:w="1435" w:type="dxa"/>
          </w:tcPr>
          <w:p w14:paraId="076B6D98" w14:textId="6A95889D" w:rsidR="00B50C2F" w:rsidRPr="00B50C2F" w:rsidRDefault="00B50C2F" w:rsidP="00503C85">
            <w:pPr>
              <w:rPr>
                <w:rFonts w:asciiTheme="minorHAnsi" w:hAnsiTheme="minorHAnsi"/>
              </w:rPr>
            </w:pPr>
            <w:r w:rsidRPr="00B50C2F">
              <w:rPr>
                <w:rFonts w:asciiTheme="minorHAnsi" w:hAnsiTheme="minorHAnsi"/>
              </w:rPr>
              <w:t>CWI</w:t>
            </w:r>
          </w:p>
        </w:tc>
        <w:tc>
          <w:tcPr>
            <w:tcW w:w="7920" w:type="dxa"/>
          </w:tcPr>
          <w:p w14:paraId="3F58084E" w14:textId="7E7F4966" w:rsidR="00B50C2F" w:rsidRPr="00B50C2F" w:rsidRDefault="00B50C2F" w:rsidP="00503C85">
            <w:pPr>
              <w:rPr>
                <w:rFonts w:asciiTheme="minorHAnsi" w:hAnsiTheme="minorHAnsi"/>
              </w:rPr>
            </w:pPr>
            <w:r w:rsidRPr="00B50C2F">
              <w:rPr>
                <w:rFonts w:asciiTheme="minorHAnsi" w:hAnsiTheme="minorHAnsi"/>
              </w:rPr>
              <w:t>Comparative Wealth Index</w:t>
            </w:r>
          </w:p>
        </w:tc>
      </w:tr>
      <w:tr w:rsidR="002214AB" w:rsidRPr="00B50C2F" w14:paraId="5CDC6C30" w14:textId="77777777" w:rsidTr="00907EC7">
        <w:tc>
          <w:tcPr>
            <w:tcW w:w="1435" w:type="dxa"/>
          </w:tcPr>
          <w:p w14:paraId="1EEE9B57" w14:textId="77777777" w:rsidR="002214AB" w:rsidRPr="00B50C2F" w:rsidRDefault="002214AB" w:rsidP="00503C85">
            <w:pPr>
              <w:rPr>
                <w:rFonts w:asciiTheme="minorHAnsi" w:hAnsiTheme="minorHAnsi"/>
              </w:rPr>
            </w:pPr>
            <w:r w:rsidRPr="00B50C2F">
              <w:rPr>
                <w:rFonts w:asciiTheme="minorHAnsi" w:hAnsiTheme="minorHAnsi"/>
              </w:rPr>
              <w:t>DHS</w:t>
            </w:r>
          </w:p>
        </w:tc>
        <w:tc>
          <w:tcPr>
            <w:tcW w:w="7920" w:type="dxa"/>
          </w:tcPr>
          <w:p w14:paraId="42CA1034" w14:textId="77777777" w:rsidR="002214AB" w:rsidRPr="00B50C2F" w:rsidRDefault="002214AB" w:rsidP="00503C85">
            <w:pPr>
              <w:rPr>
                <w:rFonts w:asciiTheme="minorHAnsi" w:hAnsiTheme="minorHAnsi"/>
              </w:rPr>
            </w:pPr>
            <w:r w:rsidRPr="00B50C2F">
              <w:rPr>
                <w:rFonts w:asciiTheme="minorHAnsi" w:hAnsiTheme="minorHAnsi"/>
              </w:rPr>
              <w:t>Demographic and Health Surveys</w:t>
            </w:r>
          </w:p>
        </w:tc>
      </w:tr>
      <w:tr w:rsidR="002214AB" w:rsidRPr="00B50C2F" w14:paraId="23F85EA5" w14:textId="77777777" w:rsidTr="00907EC7">
        <w:tc>
          <w:tcPr>
            <w:tcW w:w="1435" w:type="dxa"/>
          </w:tcPr>
          <w:p w14:paraId="657C5CCF" w14:textId="77777777" w:rsidR="002214AB" w:rsidRPr="00B50C2F" w:rsidRDefault="002214AB" w:rsidP="00503C85">
            <w:pPr>
              <w:rPr>
                <w:rFonts w:asciiTheme="minorHAnsi" w:hAnsiTheme="minorHAnsi"/>
              </w:rPr>
            </w:pPr>
            <w:r w:rsidRPr="00B50C2F">
              <w:rPr>
                <w:rFonts w:asciiTheme="minorHAnsi" w:hAnsiTheme="minorHAnsi"/>
              </w:rPr>
              <w:t>FTF</w:t>
            </w:r>
          </w:p>
        </w:tc>
        <w:tc>
          <w:tcPr>
            <w:tcW w:w="7920" w:type="dxa"/>
          </w:tcPr>
          <w:p w14:paraId="6F0167CF" w14:textId="77777777" w:rsidR="002214AB" w:rsidRPr="00B50C2F" w:rsidRDefault="002214AB" w:rsidP="00503C85">
            <w:pPr>
              <w:rPr>
                <w:rFonts w:asciiTheme="minorHAnsi" w:hAnsiTheme="minorHAnsi"/>
              </w:rPr>
            </w:pPr>
            <w:r w:rsidRPr="00B50C2F">
              <w:rPr>
                <w:rFonts w:asciiTheme="minorHAnsi" w:hAnsiTheme="minorHAnsi"/>
              </w:rPr>
              <w:t>Feed the Future</w:t>
            </w:r>
          </w:p>
        </w:tc>
      </w:tr>
      <w:tr w:rsidR="002214AB" w:rsidRPr="00B50C2F" w14:paraId="6A699AC5" w14:textId="77777777" w:rsidTr="00907EC7">
        <w:tc>
          <w:tcPr>
            <w:tcW w:w="1435" w:type="dxa"/>
          </w:tcPr>
          <w:p w14:paraId="19E6A01B" w14:textId="77777777" w:rsidR="002214AB" w:rsidRPr="00B50C2F" w:rsidRDefault="002214AB" w:rsidP="00503C85">
            <w:pPr>
              <w:rPr>
                <w:rFonts w:asciiTheme="minorHAnsi" w:hAnsiTheme="minorHAnsi"/>
              </w:rPr>
            </w:pPr>
            <w:r w:rsidRPr="00B50C2F">
              <w:rPr>
                <w:rFonts w:asciiTheme="minorHAnsi" w:hAnsiTheme="minorHAnsi"/>
              </w:rPr>
              <w:t>HEARTH</w:t>
            </w:r>
          </w:p>
        </w:tc>
        <w:tc>
          <w:tcPr>
            <w:tcW w:w="7920" w:type="dxa"/>
          </w:tcPr>
          <w:p w14:paraId="3F98F7DC" w14:textId="77777777" w:rsidR="002214AB" w:rsidRPr="00B50C2F" w:rsidRDefault="002214AB" w:rsidP="00503C85">
            <w:pPr>
              <w:rPr>
                <w:rFonts w:asciiTheme="minorHAnsi" w:hAnsiTheme="minorHAnsi"/>
              </w:rPr>
            </w:pPr>
            <w:r w:rsidRPr="00B50C2F">
              <w:rPr>
                <w:rFonts w:asciiTheme="minorHAnsi" w:hAnsiTheme="minorHAnsi"/>
              </w:rPr>
              <w:t>Health, Ecosystems, and Agriculture for Resilient Thriving Societies</w:t>
            </w:r>
          </w:p>
        </w:tc>
      </w:tr>
      <w:tr w:rsidR="002214AB" w:rsidRPr="00B50C2F" w14:paraId="7439B775" w14:textId="77777777" w:rsidTr="00907EC7">
        <w:tc>
          <w:tcPr>
            <w:tcW w:w="1435" w:type="dxa"/>
          </w:tcPr>
          <w:p w14:paraId="346E58F3" w14:textId="77777777" w:rsidR="002214AB" w:rsidRPr="00B50C2F" w:rsidRDefault="002214AB" w:rsidP="00503C85">
            <w:pPr>
              <w:rPr>
                <w:rFonts w:asciiTheme="minorHAnsi" w:hAnsiTheme="minorHAnsi"/>
              </w:rPr>
            </w:pPr>
            <w:r w:rsidRPr="00B50C2F">
              <w:rPr>
                <w:rFonts w:asciiTheme="minorHAnsi" w:hAnsiTheme="minorHAnsi"/>
              </w:rPr>
              <w:t>INRM</w:t>
            </w:r>
          </w:p>
          <w:p w14:paraId="74890AF3" w14:textId="118B2C09" w:rsidR="00D4662B" w:rsidRPr="00B50C2F" w:rsidRDefault="00D4662B" w:rsidP="00503C85">
            <w:pPr>
              <w:rPr>
                <w:rFonts w:asciiTheme="minorHAnsi" w:hAnsiTheme="minorHAnsi"/>
              </w:rPr>
            </w:pPr>
            <w:r w:rsidRPr="00B50C2F">
              <w:rPr>
                <w:rFonts w:asciiTheme="minorHAnsi" w:hAnsiTheme="minorHAnsi"/>
              </w:rPr>
              <w:t>IP</w:t>
            </w:r>
          </w:p>
        </w:tc>
        <w:tc>
          <w:tcPr>
            <w:tcW w:w="7920" w:type="dxa"/>
          </w:tcPr>
          <w:p w14:paraId="4B4FD311" w14:textId="77777777" w:rsidR="002214AB" w:rsidRPr="00B50C2F" w:rsidRDefault="002214AB" w:rsidP="00503C85">
            <w:pPr>
              <w:rPr>
                <w:rFonts w:asciiTheme="minorHAnsi" w:hAnsiTheme="minorHAnsi"/>
              </w:rPr>
            </w:pPr>
            <w:r w:rsidRPr="00B50C2F">
              <w:rPr>
                <w:rFonts w:asciiTheme="minorHAnsi" w:hAnsiTheme="minorHAnsi"/>
              </w:rPr>
              <w:t>Integrated Natural Resource Management</w:t>
            </w:r>
          </w:p>
          <w:p w14:paraId="48760F67" w14:textId="67627221" w:rsidR="00D4662B" w:rsidRPr="00B50C2F" w:rsidRDefault="00D4662B" w:rsidP="00503C85">
            <w:pPr>
              <w:rPr>
                <w:rFonts w:asciiTheme="minorHAnsi" w:hAnsiTheme="minorHAnsi"/>
              </w:rPr>
            </w:pPr>
            <w:r w:rsidRPr="00B50C2F">
              <w:rPr>
                <w:rFonts w:asciiTheme="minorHAnsi" w:hAnsiTheme="minorHAnsi"/>
              </w:rPr>
              <w:t>Implementing Partner</w:t>
            </w:r>
          </w:p>
        </w:tc>
      </w:tr>
      <w:tr w:rsidR="002214AB" w:rsidRPr="00B50C2F" w14:paraId="5151E878" w14:textId="77777777" w:rsidTr="00907EC7">
        <w:tc>
          <w:tcPr>
            <w:tcW w:w="1435" w:type="dxa"/>
          </w:tcPr>
          <w:p w14:paraId="33A6478E" w14:textId="77777777" w:rsidR="002214AB" w:rsidRPr="00B50C2F" w:rsidRDefault="002214AB" w:rsidP="00503C85">
            <w:pPr>
              <w:rPr>
                <w:rFonts w:asciiTheme="minorHAnsi" w:hAnsiTheme="minorHAnsi"/>
              </w:rPr>
            </w:pPr>
            <w:r w:rsidRPr="00B50C2F">
              <w:rPr>
                <w:rFonts w:asciiTheme="minorHAnsi" w:hAnsiTheme="minorHAnsi"/>
              </w:rPr>
              <w:t>IWI</w:t>
            </w:r>
          </w:p>
        </w:tc>
        <w:tc>
          <w:tcPr>
            <w:tcW w:w="7920" w:type="dxa"/>
          </w:tcPr>
          <w:p w14:paraId="0D13F2AF" w14:textId="77777777" w:rsidR="002214AB" w:rsidRPr="00B50C2F" w:rsidRDefault="002214AB" w:rsidP="00503C85">
            <w:pPr>
              <w:rPr>
                <w:rFonts w:asciiTheme="minorHAnsi" w:hAnsiTheme="minorHAnsi"/>
              </w:rPr>
            </w:pPr>
            <w:r w:rsidRPr="00B50C2F">
              <w:rPr>
                <w:rFonts w:asciiTheme="minorHAnsi" w:hAnsiTheme="minorHAnsi"/>
              </w:rPr>
              <w:t>International Wealth Index</w:t>
            </w:r>
          </w:p>
        </w:tc>
      </w:tr>
      <w:tr w:rsidR="00A53026" w:rsidRPr="00B50C2F" w14:paraId="3C3CA7D3" w14:textId="77777777" w:rsidTr="00907EC7">
        <w:tc>
          <w:tcPr>
            <w:tcW w:w="1435" w:type="dxa"/>
          </w:tcPr>
          <w:p w14:paraId="013AF0C3" w14:textId="12F2CC63" w:rsidR="00A53026" w:rsidRPr="00B50C2F" w:rsidRDefault="00A53026" w:rsidP="00503C85">
            <w:pPr>
              <w:rPr>
                <w:rFonts w:asciiTheme="minorHAnsi" w:hAnsiTheme="minorHAnsi"/>
              </w:rPr>
            </w:pPr>
            <w:r w:rsidRPr="00B50C2F">
              <w:rPr>
                <w:rFonts w:asciiTheme="minorHAnsi" w:hAnsiTheme="minorHAnsi"/>
              </w:rPr>
              <w:t>MERL</w:t>
            </w:r>
          </w:p>
        </w:tc>
        <w:tc>
          <w:tcPr>
            <w:tcW w:w="7920" w:type="dxa"/>
          </w:tcPr>
          <w:p w14:paraId="4D33186B" w14:textId="15570968" w:rsidR="00A53026" w:rsidRPr="00B50C2F" w:rsidRDefault="00A53026" w:rsidP="00503C85">
            <w:pPr>
              <w:rPr>
                <w:rFonts w:asciiTheme="minorHAnsi" w:hAnsiTheme="minorHAnsi"/>
              </w:rPr>
            </w:pPr>
            <w:r w:rsidRPr="00B50C2F">
              <w:rPr>
                <w:rFonts w:asciiTheme="minorHAnsi" w:hAnsiTheme="minorHAnsi"/>
              </w:rPr>
              <w:t>Monitoring, Evaluation, Research, and Learning</w:t>
            </w:r>
          </w:p>
        </w:tc>
      </w:tr>
      <w:tr w:rsidR="002214AB" w:rsidRPr="00B50C2F" w14:paraId="29ED8D90" w14:textId="77777777" w:rsidTr="00907EC7">
        <w:tc>
          <w:tcPr>
            <w:tcW w:w="1435" w:type="dxa"/>
          </w:tcPr>
          <w:p w14:paraId="2F533362" w14:textId="77777777" w:rsidR="002214AB" w:rsidRPr="00B50C2F" w:rsidRDefault="002214AB" w:rsidP="00503C85">
            <w:pPr>
              <w:rPr>
                <w:rFonts w:asciiTheme="minorHAnsi" w:hAnsiTheme="minorHAnsi"/>
              </w:rPr>
            </w:pPr>
            <w:r w:rsidRPr="00B50C2F">
              <w:rPr>
                <w:rFonts w:asciiTheme="minorHAnsi" w:hAnsiTheme="minorHAnsi"/>
              </w:rPr>
              <w:t>NGO</w:t>
            </w:r>
          </w:p>
        </w:tc>
        <w:tc>
          <w:tcPr>
            <w:tcW w:w="7920" w:type="dxa"/>
          </w:tcPr>
          <w:p w14:paraId="25E6FFBC" w14:textId="77777777" w:rsidR="002214AB" w:rsidRPr="00B50C2F" w:rsidRDefault="002214AB" w:rsidP="00503C85">
            <w:pPr>
              <w:rPr>
                <w:rFonts w:asciiTheme="minorHAnsi" w:hAnsiTheme="minorHAnsi"/>
              </w:rPr>
            </w:pPr>
            <w:r w:rsidRPr="00B50C2F">
              <w:rPr>
                <w:rFonts w:asciiTheme="minorHAnsi" w:hAnsiTheme="minorHAnsi"/>
              </w:rPr>
              <w:t>Non-Government Organization</w:t>
            </w:r>
          </w:p>
        </w:tc>
      </w:tr>
      <w:tr w:rsidR="002214AB" w:rsidRPr="00B50C2F" w14:paraId="3DD406B9" w14:textId="77777777" w:rsidTr="00907EC7">
        <w:tc>
          <w:tcPr>
            <w:tcW w:w="1435" w:type="dxa"/>
          </w:tcPr>
          <w:p w14:paraId="17490785" w14:textId="77777777" w:rsidR="002214AB" w:rsidRPr="00B50C2F" w:rsidRDefault="002214AB" w:rsidP="00503C85">
            <w:pPr>
              <w:rPr>
                <w:rFonts w:asciiTheme="minorHAnsi" w:hAnsiTheme="minorHAnsi"/>
              </w:rPr>
            </w:pPr>
            <w:r w:rsidRPr="00B50C2F">
              <w:rPr>
                <w:rFonts w:asciiTheme="minorHAnsi" w:hAnsiTheme="minorHAnsi"/>
              </w:rPr>
              <w:t>PII</w:t>
            </w:r>
          </w:p>
        </w:tc>
        <w:tc>
          <w:tcPr>
            <w:tcW w:w="7920" w:type="dxa"/>
          </w:tcPr>
          <w:p w14:paraId="67B24A29" w14:textId="77777777" w:rsidR="002214AB" w:rsidRPr="00B50C2F" w:rsidRDefault="002214AB" w:rsidP="00503C85">
            <w:pPr>
              <w:rPr>
                <w:rFonts w:asciiTheme="minorHAnsi" w:hAnsiTheme="minorHAnsi"/>
              </w:rPr>
            </w:pPr>
            <w:r w:rsidRPr="00B50C2F">
              <w:rPr>
                <w:rFonts w:asciiTheme="minorHAnsi" w:hAnsiTheme="minorHAnsi"/>
              </w:rPr>
              <w:t>Personally Identifiable Information</w:t>
            </w:r>
          </w:p>
        </w:tc>
      </w:tr>
      <w:tr w:rsidR="002214AB" w:rsidRPr="00B50C2F" w14:paraId="4164A5A8" w14:textId="77777777" w:rsidTr="00907EC7">
        <w:tc>
          <w:tcPr>
            <w:tcW w:w="1435" w:type="dxa"/>
          </w:tcPr>
          <w:p w14:paraId="70B718D7" w14:textId="77777777" w:rsidR="002214AB" w:rsidRPr="00B50C2F" w:rsidRDefault="002214AB" w:rsidP="00503C85">
            <w:pPr>
              <w:rPr>
                <w:rFonts w:asciiTheme="minorHAnsi" w:hAnsiTheme="minorHAnsi"/>
              </w:rPr>
            </w:pPr>
            <w:r w:rsidRPr="00B50C2F">
              <w:rPr>
                <w:rFonts w:asciiTheme="minorHAnsi" w:hAnsiTheme="minorHAnsi"/>
              </w:rPr>
              <w:t>PPI</w:t>
            </w:r>
          </w:p>
        </w:tc>
        <w:tc>
          <w:tcPr>
            <w:tcW w:w="7920" w:type="dxa"/>
          </w:tcPr>
          <w:p w14:paraId="3B40D629" w14:textId="77777777" w:rsidR="002214AB" w:rsidRPr="00B50C2F" w:rsidRDefault="002214AB" w:rsidP="00503C85">
            <w:pPr>
              <w:rPr>
                <w:rFonts w:asciiTheme="minorHAnsi" w:hAnsiTheme="minorHAnsi"/>
              </w:rPr>
            </w:pPr>
            <w:r w:rsidRPr="00B50C2F">
              <w:rPr>
                <w:rFonts w:asciiTheme="minorHAnsi" w:hAnsiTheme="minorHAnsi"/>
              </w:rPr>
              <w:t>Poverty Probability Index</w:t>
            </w:r>
          </w:p>
        </w:tc>
      </w:tr>
      <w:tr w:rsidR="002214AB" w:rsidRPr="00B50C2F" w14:paraId="37BB4CD2" w14:textId="77777777" w:rsidTr="00907EC7">
        <w:tc>
          <w:tcPr>
            <w:tcW w:w="1435" w:type="dxa"/>
          </w:tcPr>
          <w:p w14:paraId="4D33F1CD" w14:textId="77777777" w:rsidR="002214AB" w:rsidRPr="00B50C2F" w:rsidRDefault="002214AB" w:rsidP="00503C85">
            <w:pPr>
              <w:rPr>
                <w:rFonts w:asciiTheme="minorHAnsi" w:hAnsiTheme="minorHAnsi"/>
              </w:rPr>
            </w:pPr>
            <w:r w:rsidRPr="00B50C2F">
              <w:rPr>
                <w:rFonts w:asciiTheme="minorHAnsi" w:hAnsiTheme="minorHAnsi"/>
              </w:rPr>
              <w:t>PPP</w:t>
            </w:r>
          </w:p>
        </w:tc>
        <w:tc>
          <w:tcPr>
            <w:tcW w:w="7920" w:type="dxa"/>
          </w:tcPr>
          <w:p w14:paraId="5CD02228" w14:textId="77777777" w:rsidR="002214AB" w:rsidRPr="00B50C2F" w:rsidRDefault="002214AB" w:rsidP="00503C85">
            <w:pPr>
              <w:rPr>
                <w:rFonts w:asciiTheme="minorHAnsi" w:hAnsiTheme="minorHAnsi"/>
              </w:rPr>
            </w:pPr>
            <w:r w:rsidRPr="00B50C2F">
              <w:rPr>
                <w:rFonts w:asciiTheme="minorHAnsi" w:hAnsiTheme="minorHAnsi"/>
              </w:rPr>
              <w:t xml:space="preserve">Purchasing Power Parity </w:t>
            </w:r>
          </w:p>
        </w:tc>
      </w:tr>
      <w:tr w:rsidR="002214AB" w:rsidRPr="00B50C2F" w14:paraId="36F68F15" w14:textId="77777777" w:rsidTr="00907EC7">
        <w:tc>
          <w:tcPr>
            <w:tcW w:w="1435" w:type="dxa"/>
          </w:tcPr>
          <w:p w14:paraId="302851D9" w14:textId="77777777" w:rsidR="002214AB" w:rsidRPr="00B50C2F" w:rsidRDefault="002214AB" w:rsidP="00503C85">
            <w:pPr>
              <w:rPr>
                <w:rFonts w:asciiTheme="minorHAnsi" w:hAnsiTheme="minorHAnsi"/>
              </w:rPr>
            </w:pPr>
            <w:r w:rsidRPr="00B50C2F">
              <w:rPr>
                <w:rFonts w:asciiTheme="minorHAnsi" w:hAnsiTheme="minorHAnsi"/>
              </w:rPr>
              <w:t>SES</w:t>
            </w:r>
          </w:p>
        </w:tc>
        <w:tc>
          <w:tcPr>
            <w:tcW w:w="7920" w:type="dxa"/>
          </w:tcPr>
          <w:p w14:paraId="15D8BDD0" w14:textId="77777777" w:rsidR="002214AB" w:rsidRPr="00B50C2F" w:rsidRDefault="002214AB" w:rsidP="00503C85">
            <w:pPr>
              <w:rPr>
                <w:rFonts w:asciiTheme="minorHAnsi" w:hAnsiTheme="minorHAnsi"/>
              </w:rPr>
            </w:pPr>
            <w:r w:rsidRPr="00B50C2F">
              <w:rPr>
                <w:rFonts w:asciiTheme="minorHAnsi" w:hAnsiTheme="minorHAnsi"/>
              </w:rPr>
              <w:t>Socioeconomic Status</w:t>
            </w:r>
          </w:p>
        </w:tc>
      </w:tr>
      <w:tr w:rsidR="00E55BB3" w:rsidRPr="00B50C2F" w14:paraId="307845CA" w14:textId="77777777" w:rsidTr="00907EC7">
        <w:tc>
          <w:tcPr>
            <w:tcW w:w="1435" w:type="dxa"/>
          </w:tcPr>
          <w:p w14:paraId="133A23A6" w14:textId="0EBB9E02" w:rsidR="00E55BB3" w:rsidRPr="00B50C2F" w:rsidRDefault="00E55BB3" w:rsidP="00503C85">
            <w:pPr>
              <w:rPr>
                <w:rFonts w:asciiTheme="minorHAnsi" w:hAnsiTheme="minorHAnsi"/>
              </w:rPr>
            </w:pPr>
            <w:r w:rsidRPr="00B50C2F">
              <w:rPr>
                <w:rFonts w:asciiTheme="minorHAnsi" w:hAnsiTheme="minorHAnsi"/>
              </w:rPr>
              <w:t>STARR II</w:t>
            </w:r>
          </w:p>
        </w:tc>
        <w:tc>
          <w:tcPr>
            <w:tcW w:w="7920" w:type="dxa"/>
          </w:tcPr>
          <w:p w14:paraId="3876611C" w14:textId="4EA96AB3" w:rsidR="00E55BB3" w:rsidRPr="00B50C2F" w:rsidRDefault="00E55BB3" w:rsidP="00503C85">
            <w:pPr>
              <w:rPr>
                <w:rFonts w:asciiTheme="minorHAnsi" w:hAnsiTheme="minorHAnsi"/>
              </w:rPr>
            </w:pPr>
            <w:r w:rsidRPr="00B50C2F">
              <w:rPr>
                <w:rFonts w:asciiTheme="minorHAnsi" w:hAnsiTheme="minorHAnsi"/>
              </w:rPr>
              <w:t>Strengthening Tenure and Resource Rights II</w:t>
            </w:r>
          </w:p>
        </w:tc>
      </w:tr>
      <w:tr w:rsidR="002214AB" w:rsidRPr="00B50C2F" w14:paraId="29E7C640" w14:textId="77777777" w:rsidTr="00907EC7">
        <w:tc>
          <w:tcPr>
            <w:tcW w:w="1435" w:type="dxa"/>
          </w:tcPr>
          <w:p w14:paraId="1EE5EB00" w14:textId="77777777" w:rsidR="002214AB" w:rsidRPr="00B50C2F" w:rsidRDefault="002214AB" w:rsidP="00503C85">
            <w:pPr>
              <w:rPr>
                <w:rFonts w:asciiTheme="minorHAnsi" w:hAnsiTheme="minorHAnsi"/>
              </w:rPr>
            </w:pPr>
            <w:r w:rsidRPr="00B50C2F">
              <w:rPr>
                <w:rFonts w:asciiTheme="minorHAnsi" w:hAnsiTheme="minorHAnsi"/>
              </w:rPr>
              <w:t>USAID</w:t>
            </w:r>
          </w:p>
        </w:tc>
        <w:tc>
          <w:tcPr>
            <w:tcW w:w="7920" w:type="dxa"/>
          </w:tcPr>
          <w:p w14:paraId="757523B5" w14:textId="77777777" w:rsidR="002214AB" w:rsidRPr="00B50C2F" w:rsidRDefault="002214AB" w:rsidP="00503C85">
            <w:pPr>
              <w:rPr>
                <w:rFonts w:asciiTheme="minorHAnsi" w:hAnsiTheme="minorHAnsi"/>
              </w:rPr>
            </w:pPr>
            <w:r w:rsidRPr="00B50C2F">
              <w:rPr>
                <w:rFonts w:asciiTheme="minorHAnsi" w:hAnsiTheme="minorHAnsi"/>
              </w:rPr>
              <w:t>United States Agency for International Development</w:t>
            </w:r>
          </w:p>
        </w:tc>
      </w:tr>
      <w:tr w:rsidR="002214AB" w:rsidRPr="00B50C2F" w14:paraId="560CEFE0" w14:textId="77777777" w:rsidTr="00907EC7">
        <w:tc>
          <w:tcPr>
            <w:tcW w:w="1435" w:type="dxa"/>
          </w:tcPr>
          <w:p w14:paraId="291BC46F" w14:textId="77777777" w:rsidR="002214AB" w:rsidRPr="00B50C2F" w:rsidRDefault="002214AB" w:rsidP="00503C85">
            <w:pPr>
              <w:rPr>
                <w:rFonts w:asciiTheme="minorHAnsi" w:hAnsiTheme="minorHAnsi"/>
              </w:rPr>
            </w:pPr>
            <w:r w:rsidRPr="00B50C2F">
              <w:rPr>
                <w:rFonts w:asciiTheme="minorHAnsi" w:hAnsiTheme="minorHAnsi"/>
              </w:rPr>
              <w:t xml:space="preserve">USG </w:t>
            </w:r>
          </w:p>
        </w:tc>
        <w:tc>
          <w:tcPr>
            <w:tcW w:w="7920" w:type="dxa"/>
          </w:tcPr>
          <w:p w14:paraId="294BA530" w14:textId="77777777" w:rsidR="002214AB" w:rsidRPr="00B50C2F" w:rsidRDefault="002214AB" w:rsidP="00503C85">
            <w:pPr>
              <w:rPr>
                <w:rFonts w:asciiTheme="minorHAnsi" w:hAnsiTheme="minorHAnsi"/>
              </w:rPr>
            </w:pPr>
            <w:r w:rsidRPr="00B50C2F">
              <w:rPr>
                <w:rFonts w:asciiTheme="minorHAnsi" w:hAnsiTheme="minorHAnsi"/>
              </w:rPr>
              <w:t>United States Government</w:t>
            </w:r>
          </w:p>
        </w:tc>
      </w:tr>
      <w:tr w:rsidR="002214AB" w:rsidRPr="00B50C2F" w14:paraId="113432F3" w14:textId="77777777" w:rsidTr="00907EC7">
        <w:tc>
          <w:tcPr>
            <w:tcW w:w="1435" w:type="dxa"/>
          </w:tcPr>
          <w:p w14:paraId="3B129157" w14:textId="77777777" w:rsidR="002214AB" w:rsidRPr="00B50C2F" w:rsidRDefault="002214AB" w:rsidP="00503C85">
            <w:pPr>
              <w:rPr>
                <w:rFonts w:asciiTheme="minorHAnsi" w:hAnsiTheme="minorHAnsi"/>
              </w:rPr>
            </w:pPr>
            <w:r w:rsidRPr="00B50C2F">
              <w:rPr>
                <w:rFonts w:asciiTheme="minorHAnsi" w:hAnsiTheme="minorHAnsi"/>
              </w:rPr>
              <w:t>ZOI</w:t>
            </w:r>
          </w:p>
        </w:tc>
        <w:tc>
          <w:tcPr>
            <w:tcW w:w="7920" w:type="dxa"/>
          </w:tcPr>
          <w:p w14:paraId="525E92D7" w14:textId="77777777" w:rsidR="002214AB" w:rsidRPr="00B50C2F" w:rsidRDefault="002214AB" w:rsidP="00503C85">
            <w:pPr>
              <w:rPr>
                <w:rFonts w:asciiTheme="minorHAnsi" w:hAnsiTheme="minorHAnsi"/>
              </w:rPr>
            </w:pPr>
            <w:r w:rsidRPr="00B50C2F">
              <w:rPr>
                <w:rFonts w:asciiTheme="minorHAnsi" w:hAnsiTheme="minorHAnsi"/>
              </w:rPr>
              <w:t>Zone of Influence</w:t>
            </w:r>
          </w:p>
        </w:tc>
      </w:tr>
    </w:tbl>
    <w:p w14:paraId="000000C9" w14:textId="220C19E2" w:rsidR="006C625D" w:rsidRPr="00B50C2F" w:rsidRDefault="006C625D">
      <w:pPr>
        <w:rPr>
          <w:rFonts w:asciiTheme="minorHAnsi" w:hAnsiTheme="minorHAnsi"/>
        </w:rPr>
        <w:sectPr w:rsidR="006C625D" w:rsidRPr="00B50C2F" w:rsidSect="00127212">
          <w:footerReference w:type="even" r:id="rId13"/>
          <w:footerReference w:type="default" r:id="rId14"/>
          <w:headerReference w:type="first" r:id="rId15"/>
          <w:footerReference w:type="first" r:id="rId16"/>
          <w:pgSz w:w="12240" w:h="15840"/>
          <w:pgMar w:top="1440" w:right="1440" w:bottom="1440" w:left="1440" w:header="720" w:footer="720" w:gutter="0"/>
          <w:pgNumType w:fmt="lowerRoman" w:start="1"/>
          <w:cols w:space="720"/>
          <w:titlePg/>
        </w:sectPr>
      </w:pPr>
    </w:p>
    <w:p w14:paraId="34B68AB5" w14:textId="77777777" w:rsidR="009701CC" w:rsidRPr="00896A0B" w:rsidRDefault="009701CC" w:rsidP="009701CC">
      <w:pPr>
        <w:pStyle w:val="Heading1"/>
        <w:spacing w:before="240"/>
        <w:rPr>
          <w:rFonts w:asciiTheme="minorHAnsi" w:hAnsiTheme="minorHAnsi"/>
        </w:rPr>
      </w:pPr>
      <w:bookmarkStart w:id="2" w:name="_Toc103793318"/>
      <w:bookmarkStart w:id="3" w:name="_Toc104892217"/>
      <w:bookmarkStart w:id="4" w:name="_Toc104984472"/>
      <w:r w:rsidRPr="00896A0B">
        <w:rPr>
          <w:rFonts w:asciiTheme="minorHAnsi" w:hAnsiTheme="minorHAnsi"/>
        </w:rPr>
        <w:lastRenderedPageBreak/>
        <w:t>Overview</w:t>
      </w:r>
      <w:bookmarkEnd w:id="2"/>
      <w:bookmarkEnd w:id="3"/>
      <w:bookmarkEnd w:id="4"/>
    </w:p>
    <w:p w14:paraId="59F40BB5" w14:textId="77777777" w:rsidR="009701CC" w:rsidRPr="00896A0B" w:rsidRDefault="009701CC" w:rsidP="009701CC">
      <w:pPr>
        <w:rPr>
          <w:rFonts w:asciiTheme="minorHAnsi" w:hAnsiTheme="minorHAnsi"/>
        </w:rPr>
      </w:pPr>
      <w:r w:rsidRPr="00896A0B">
        <w:rPr>
          <w:rFonts w:asciiTheme="minorHAnsi" w:hAnsiTheme="minorHAnsi"/>
        </w:rPr>
        <w:t xml:space="preserve">Together, Health, Ecosystems, and Agriculture for Resilient Thriving Societies (HEARTH) and INRM have created the HEARTH Monitoring and Evaluation Toolkit, a suite of indicators and guidance that will help United States Agency for International Development (USAID) Missions and implementing partners (IPs) monitor progress and aggregate common metrics to build the evidence base around the effectiveness of integrated strategic approaches. This document is an individual module from the toolkit, presented separately to facilitate use by individual HEARTH activities. Before using this module, we recommend first accessing the full toolkit and reviewing the list of sectors covered by each module, and determining which are most relevant for your activity: </w:t>
      </w:r>
    </w:p>
    <w:p w14:paraId="02720350" w14:textId="77777777" w:rsidR="009701CC" w:rsidRPr="00F878B8" w:rsidRDefault="00907EC7" w:rsidP="009701CC">
      <w:pPr>
        <w:rPr>
          <w:rFonts w:asciiTheme="minorHAnsi" w:hAnsiTheme="minorHAnsi"/>
        </w:rPr>
      </w:pPr>
      <w:hyperlink r:id="rId17">
        <w:r w:rsidR="009701CC" w:rsidRPr="00F878B8">
          <w:rPr>
            <w:rFonts w:asciiTheme="minorHAnsi" w:hAnsiTheme="minorHAnsi"/>
            <w:color w:val="1155CC"/>
            <w:u w:val="single"/>
          </w:rPr>
          <w:t>Access Full Toolkit on Biodiversity Links Here</w:t>
        </w:r>
      </w:hyperlink>
      <w:r w:rsidR="009701CC" w:rsidRPr="00F878B8">
        <w:rPr>
          <w:rFonts w:asciiTheme="minorHAnsi" w:hAnsiTheme="minorHAnsi"/>
          <w:color w:val="1155CC"/>
          <w:u w:val="single"/>
        </w:rPr>
        <w:t>.</w:t>
      </w:r>
    </w:p>
    <w:p w14:paraId="6AF5BE65" w14:textId="77777777" w:rsidR="009701CC" w:rsidRPr="00896A0B" w:rsidRDefault="009701CC" w:rsidP="009701CC">
      <w:pPr>
        <w:pStyle w:val="Heading2"/>
        <w:rPr>
          <w:rFonts w:asciiTheme="minorHAnsi" w:hAnsiTheme="minorHAnsi"/>
        </w:rPr>
      </w:pPr>
      <w:bookmarkStart w:id="5" w:name="_Toc101788453"/>
      <w:bookmarkStart w:id="6" w:name="_Toc104892218"/>
      <w:bookmarkStart w:id="7" w:name="_Toc104984473"/>
      <w:r w:rsidRPr="00896A0B">
        <w:rPr>
          <w:rFonts w:asciiTheme="minorHAnsi" w:hAnsiTheme="minorHAnsi"/>
        </w:rPr>
        <w:t xml:space="preserve">How To </w:t>
      </w:r>
      <w:r w:rsidRPr="00896A0B">
        <w:rPr>
          <w:rFonts w:asciiTheme="minorHAnsi" w:hAnsiTheme="minorHAnsi"/>
          <w:color w:val="004A8C"/>
        </w:rPr>
        <w:t>Use This Toolkit</w:t>
      </w:r>
      <w:bookmarkEnd w:id="5"/>
      <w:bookmarkEnd w:id="6"/>
      <w:bookmarkEnd w:id="7"/>
      <w:r w:rsidRPr="00896A0B">
        <w:rPr>
          <w:rFonts w:asciiTheme="minorHAnsi" w:hAnsiTheme="minorHAnsi"/>
        </w:rPr>
        <w:t xml:space="preserve">  </w:t>
      </w:r>
    </w:p>
    <w:p w14:paraId="70961A95" w14:textId="77777777" w:rsidR="009701CC" w:rsidRPr="00896A0B" w:rsidRDefault="009701CC" w:rsidP="009701CC">
      <w:pPr>
        <w:spacing w:line="275" w:lineRule="auto"/>
        <w:textDirection w:val="btLr"/>
        <w:rPr>
          <w:rFonts w:asciiTheme="minorHAnsi" w:hAnsiTheme="minorHAnsi"/>
        </w:rPr>
      </w:pPr>
      <w:r w:rsidRPr="00896A0B">
        <w:rPr>
          <w:rFonts w:asciiTheme="minorHAnsi" w:eastAsia="Gill Sans" w:hAnsiTheme="minorHAnsi" w:cs="Gill Sans"/>
          <w:color w:val="000000"/>
        </w:rPr>
        <w:t xml:space="preserve">This toolkit presents a </w:t>
      </w:r>
      <w:r w:rsidRPr="00896A0B">
        <w:rPr>
          <w:rFonts w:asciiTheme="minorHAnsi" w:eastAsia="Gill Sans" w:hAnsiTheme="minorHAnsi" w:cs="Gill Sans"/>
          <w:b/>
          <w:color w:val="000000"/>
        </w:rPr>
        <w:t xml:space="preserve">menu of options </w:t>
      </w:r>
      <w:r w:rsidRPr="00896A0B">
        <w:rPr>
          <w:rFonts w:asciiTheme="minorHAnsi" w:eastAsia="Gill Sans" w:hAnsiTheme="minorHAnsi" w:cs="Gill Sans"/>
          <w:color w:val="000000"/>
        </w:rPr>
        <w:t xml:space="preserve">for outcomes and recommended indicators across the HEARTH activities. Before using this toolkit, activities should have developed a robust theory of change – through first drafting their situation model and results chains during the co-design workshops, many of which have been completed already, and then validating and refining those results chains during start-up workshops. </w:t>
      </w:r>
    </w:p>
    <w:p w14:paraId="4986BAA4" w14:textId="77777777" w:rsidR="009701CC" w:rsidRPr="00896A0B" w:rsidRDefault="009701CC" w:rsidP="009701CC">
      <w:pPr>
        <w:spacing w:line="275" w:lineRule="auto"/>
        <w:textDirection w:val="btLr"/>
        <w:rPr>
          <w:rFonts w:asciiTheme="minorHAnsi" w:hAnsiTheme="minorHAnsi"/>
        </w:rPr>
      </w:pPr>
      <w:r w:rsidRPr="00896A0B">
        <w:rPr>
          <w:rFonts w:asciiTheme="minorHAnsi" w:eastAsia="Gill Sans" w:hAnsiTheme="minorHAnsi" w:cs="Gill Sans"/>
          <w:color w:val="000000"/>
        </w:rPr>
        <w:t xml:space="preserve">Based on the activity theory of change, HEARTHs should develop their Activity Monitoring, Evaluation, Research, and Learning (MERL) Plan, which should draw directly from the toolkit. It is not expected that all outcomes or indicators will be relevant for all activities, but that activities should select those in line with their results chains and activity theory of change. Additionally, there might be activity-specific outcomes not included in this toolkit because they were not generally applicable across the HEARTH portfolio, and Missions and IPs should therefore include additional indicators in their MERL plans, as relevant. </w:t>
      </w:r>
    </w:p>
    <w:p w14:paraId="50B310CD" w14:textId="77777777" w:rsidR="009701CC" w:rsidRPr="00896A0B" w:rsidRDefault="009701CC" w:rsidP="009701CC">
      <w:pPr>
        <w:spacing w:line="275" w:lineRule="auto"/>
        <w:textDirection w:val="btLr"/>
        <w:rPr>
          <w:rFonts w:asciiTheme="minorHAnsi" w:hAnsiTheme="minorHAnsi"/>
        </w:rPr>
      </w:pPr>
      <w:r w:rsidRPr="00896A0B">
        <w:rPr>
          <w:rFonts w:asciiTheme="minorHAnsi" w:eastAsia="Gill Sans" w:hAnsiTheme="minorHAnsi" w:cs="Gill Sans"/>
          <w:color w:val="000000"/>
        </w:rPr>
        <w:t xml:space="preserve">When developing activity MERL plans, the indicators in this toolkit are intended to be used both to </w:t>
      </w:r>
      <w:r w:rsidRPr="00896A0B">
        <w:rPr>
          <w:rFonts w:asciiTheme="minorHAnsi" w:eastAsia="Gill Sans" w:hAnsiTheme="minorHAnsi" w:cs="Gill Sans"/>
          <w:b/>
          <w:color w:val="000000"/>
        </w:rPr>
        <w:t>standardize reporting for monitoring data, as well as a basis for evaluation data collection</w:t>
      </w:r>
      <w:r w:rsidRPr="00896A0B">
        <w:rPr>
          <w:rFonts w:asciiTheme="minorHAnsi" w:eastAsia="Gill Sans" w:hAnsiTheme="minorHAnsi" w:cs="Gill Sans"/>
          <w:color w:val="000000"/>
        </w:rPr>
        <w:t xml:space="preserve">. While monitoring trends in these indicators over time may be important for some activities, USAID anticipates that Missions and IPs will also identify important questions about the causal impact of their activities during the start-up activities, best answered using evaluation approaches. Which indicators will be part of monitoring systems, and which will be used to answer evaluation questions, will affect how the toolkit is </w:t>
      </w:r>
      <w:proofErr w:type="gramStart"/>
      <w:r w:rsidRPr="00896A0B">
        <w:rPr>
          <w:rFonts w:asciiTheme="minorHAnsi" w:eastAsia="Gill Sans" w:hAnsiTheme="minorHAnsi" w:cs="Gill Sans"/>
          <w:color w:val="000000"/>
        </w:rPr>
        <w:t>operationalized.</w:t>
      </w:r>
      <w:proofErr w:type="gramEnd"/>
      <w:r w:rsidRPr="00896A0B">
        <w:rPr>
          <w:rFonts w:asciiTheme="minorHAnsi" w:eastAsia="Gill Sans" w:hAnsiTheme="minorHAnsi" w:cs="Gill Sans"/>
          <w:color w:val="000000"/>
        </w:rPr>
        <w:t xml:space="preserve"> In addition, it is expected that MERL plans will likely include </w:t>
      </w:r>
      <w:r w:rsidRPr="00896A0B">
        <w:rPr>
          <w:rFonts w:asciiTheme="minorHAnsi" w:eastAsia="Gill Sans" w:hAnsiTheme="minorHAnsi" w:cs="Gill Sans"/>
          <w:b/>
          <w:color w:val="000000"/>
        </w:rPr>
        <w:t>qualitative data sources</w:t>
      </w:r>
      <w:r w:rsidRPr="00896A0B">
        <w:rPr>
          <w:rFonts w:asciiTheme="minorHAnsi" w:eastAsia="Gill Sans" w:hAnsiTheme="minorHAnsi" w:cs="Gill Sans"/>
          <w:color w:val="000000"/>
        </w:rPr>
        <w:t xml:space="preserve">, important to further explaining monitoring and evaluation results and exploring learning questions in more depth, in addition to the quantitative data collected using the approaches from the toolkit. </w:t>
      </w:r>
    </w:p>
    <w:p w14:paraId="00985F8B" w14:textId="77777777" w:rsidR="009701CC" w:rsidRPr="00896A0B" w:rsidRDefault="009701CC" w:rsidP="009701CC">
      <w:pPr>
        <w:rPr>
          <w:rFonts w:asciiTheme="minorHAnsi" w:hAnsiTheme="minorHAnsi"/>
        </w:rPr>
      </w:pPr>
    </w:p>
    <w:p w14:paraId="70960D84" w14:textId="77777777" w:rsidR="009701CC" w:rsidRPr="00896A0B" w:rsidRDefault="009701CC" w:rsidP="009701CC">
      <w:pPr>
        <w:rPr>
          <w:rFonts w:asciiTheme="minorHAnsi" w:hAnsiTheme="minorHAnsi"/>
          <w:sz w:val="24"/>
          <w:szCs w:val="24"/>
        </w:rPr>
      </w:pPr>
      <w:r w:rsidRPr="00896A0B">
        <w:rPr>
          <w:rFonts w:asciiTheme="minorHAnsi" w:hAnsiTheme="minorHAnsi"/>
          <w:noProof/>
        </w:rPr>
        <w:lastRenderedPageBreak/>
        <w:drawing>
          <wp:anchor distT="0" distB="0" distL="114300" distR="114300" simplePos="0" relativeHeight="251660290" behindDoc="0" locked="0" layoutInCell="1" allowOverlap="1" wp14:anchorId="17593024" wp14:editId="36B46588">
            <wp:simplePos x="0" y="0"/>
            <wp:positionH relativeFrom="column">
              <wp:posOffset>-190765</wp:posOffset>
            </wp:positionH>
            <wp:positionV relativeFrom="paragraph">
              <wp:posOffset>274908</wp:posOffset>
            </wp:positionV>
            <wp:extent cx="5827192" cy="1880095"/>
            <wp:effectExtent l="0" t="0" r="0" b="0"/>
            <wp:wrapNone/>
            <wp:docPr id="6" name="Shap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Shape 5">
                      <a:extLst>
                        <a:ext uri="{C183D7F6-B498-43B3-948B-1728B52AA6E4}">
                          <adec:decorative xmlns:adec="http://schemas.microsoft.com/office/drawing/2017/decorative" val="1"/>
                        </a:ext>
                      </a:extLst>
                    </pic:cNvPr>
                    <pic:cNvPicPr preferRelativeResize="0"/>
                  </pic:nvPicPr>
                  <pic:blipFill rotWithShape="1">
                    <a:blip r:embed="rId18">
                      <a:alphaModFix/>
                    </a:blip>
                    <a:srcRect/>
                    <a:stretch/>
                  </pic:blipFill>
                  <pic:spPr>
                    <a:xfrm>
                      <a:off x="0" y="0"/>
                      <a:ext cx="5827192" cy="1880095"/>
                    </a:xfrm>
                    <a:prstGeom prst="rect">
                      <a:avLst/>
                    </a:prstGeom>
                    <a:noFill/>
                    <a:ln>
                      <a:noFill/>
                    </a:ln>
                  </pic:spPr>
                </pic:pic>
              </a:graphicData>
            </a:graphic>
          </wp:anchor>
        </w:drawing>
      </w:r>
    </w:p>
    <w:bookmarkStart w:id="8" w:name="_heading=h.z23za1n5yl0x" w:colFirst="0" w:colLast="0"/>
    <w:bookmarkEnd w:id="8"/>
    <w:p w14:paraId="47917FBC" w14:textId="77777777" w:rsidR="009701CC" w:rsidRPr="00896A0B" w:rsidRDefault="00907EC7" w:rsidP="009701CC">
      <w:pPr>
        <w:rPr>
          <w:rFonts w:asciiTheme="minorHAnsi" w:hAnsiTheme="minorHAnsi"/>
        </w:rPr>
      </w:pPr>
      <w:sdt>
        <w:sdtPr>
          <w:rPr>
            <w:rFonts w:asciiTheme="minorHAnsi" w:hAnsiTheme="minorHAnsi"/>
          </w:rPr>
          <w:tag w:val="goog_rdk_12"/>
          <w:id w:val="1804429397"/>
        </w:sdtPr>
        <w:sdtEndPr/>
        <w:sdtContent/>
      </w:sdt>
    </w:p>
    <w:p w14:paraId="33DE1B33" w14:textId="77777777" w:rsidR="009701CC" w:rsidRPr="00896A0B" w:rsidRDefault="009701CC" w:rsidP="009701CC">
      <w:pPr>
        <w:rPr>
          <w:rFonts w:asciiTheme="minorHAnsi" w:hAnsiTheme="minorHAnsi"/>
        </w:rPr>
      </w:pPr>
    </w:p>
    <w:p w14:paraId="6AC64D70" w14:textId="77777777" w:rsidR="009701CC" w:rsidRPr="00896A0B" w:rsidRDefault="009701CC" w:rsidP="009701CC">
      <w:pPr>
        <w:rPr>
          <w:rFonts w:asciiTheme="minorHAnsi" w:hAnsiTheme="minorHAnsi"/>
        </w:rPr>
      </w:pPr>
    </w:p>
    <w:p w14:paraId="5495C0B1" w14:textId="77777777" w:rsidR="009701CC" w:rsidRPr="00896A0B" w:rsidRDefault="009701CC" w:rsidP="009701CC">
      <w:pPr>
        <w:rPr>
          <w:rStyle w:val="Heading2Char"/>
          <w:rFonts w:asciiTheme="minorHAnsi" w:hAnsiTheme="minorHAnsi"/>
        </w:rPr>
      </w:pPr>
    </w:p>
    <w:p w14:paraId="100E1BA6" w14:textId="77777777" w:rsidR="009701CC" w:rsidRPr="00896A0B" w:rsidRDefault="009701CC" w:rsidP="009701CC">
      <w:pPr>
        <w:rPr>
          <w:rStyle w:val="Heading2Char"/>
          <w:rFonts w:asciiTheme="minorHAnsi" w:hAnsiTheme="minorHAnsi"/>
        </w:rPr>
      </w:pPr>
    </w:p>
    <w:p w14:paraId="08475E83" w14:textId="77777777" w:rsidR="009701CC" w:rsidRPr="00896A0B" w:rsidRDefault="009701CC" w:rsidP="009701CC">
      <w:pPr>
        <w:rPr>
          <w:rStyle w:val="Heading2Char"/>
          <w:rFonts w:asciiTheme="minorHAnsi" w:hAnsiTheme="minorHAnsi"/>
        </w:rPr>
      </w:pPr>
      <w:bookmarkStart w:id="9" w:name="_Toc104892219"/>
      <w:bookmarkStart w:id="10" w:name="_Toc104984474"/>
      <w:r w:rsidRPr="00896A0B">
        <w:rPr>
          <w:rStyle w:val="Heading2Char"/>
          <w:rFonts w:asciiTheme="minorHAnsi" w:hAnsiTheme="minorHAnsi"/>
        </w:rPr>
        <w:t>Indicator Guidance and Core Household Questionnaire</w:t>
      </w:r>
      <w:bookmarkEnd w:id="9"/>
      <w:bookmarkEnd w:id="10"/>
    </w:p>
    <w:p w14:paraId="35018BB3" w14:textId="77777777" w:rsidR="009701CC" w:rsidRPr="00896A0B" w:rsidRDefault="009701CC" w:rsidP="009701CC">
      <w:pPr>
        <w:rPr>
          <w:rFonts w:asciiTheme="minorHAnsi" w:hAnsiTheme="minorHAnsi"/>
        </w:rPr>
      </w:pPr>
      <w:r w:rsidRPr="00896A0B">
        <w:rPr>
          <w:rFonts w:asciiTheme="minorHAnsi" w:hAnsiTheme="minorHAnsi"/>
        </w:rPr>
        <w:t>This document contains guidance for defining and collecting data for each of the recommended indicators for Missions and IPs, including Performance Indicator Reference Sheets throughout. This guidance draws heavily on established best practices, such as the Demographic and Health Surveys (DHS) and Feed the Future programs. In addition to this guidance, INRM developed a core questionnaire to provide a basis for household surveys to facilitate ease of take-up. It should be emphasized that it is important for Missions and IPs to adapt the questionnaire to their local country context – which might include adding/removing answer choice options, updating question text or translations, etc. Areas where edits for local context are typically required are identified in the tool and following guidance. The full toolkit includes additional guidance on respondent identification and inclusion of household rosters, as well as more in-depth discussions on sampling approaches, data collection administration and frequency, data management, privacy, and ethics, which should be considered</w:t>
      </w:r>
      <w:r>
        <w:rPr>
          <w:rFonts w:asciiTheme="minorHAnsi" w:hAnsiTheme="minorHAnsi"/>
        </w:rPr>
        <w:t>.</w:t>
      </w:r>
    </w:p>
    <w:p w14:paraId="3E7D0FBE" w14:textId="77777777" w:rsidR="00EF5F3C" w:rsidRDefault="00EF5F3C" w:rsidP="009701CC">
      <w:pPr>
        <w:pStyle w:val="Heading2"/>
        <w:sectPr w:rsidR="00EF5F3C" w:rsidSect="00127212">
          <w:pgSz w:w="12240" w:h="15840"/>
          <w:pgMar w:top="1440" w:right="1440" w:bottom="1440" w:left="1440" w:header="720" w:footer="720" w:gutter="0"/>
          <w:pgNumType w:start="1"/>
          <w:cols w:space="720"/>
        </w:sectPr>
      </w:pPr>
      <w:bookmarkStart w:id="11" w:name="_Toc104984475"/>
    </w:p>
    <w:p w14:paraId="000000D2" w14:textId="2334B2DA" w:rsidR="006B799D" w:rsidRPr="00B50C2F" w:rsidRDefault="00CC1E6B" w:rsidP="009701CC">
      <w:pPr>
        <w:pStyle w:val="Heading2"/>
      </w:pPr>
      <w:r w:rsidRPr="00B50C2F">
        <w:lastRenderedPageBreak/>
        <w:t xml:space="preserve">Outcomes and Indicators for </w:t>
      </w:r>
      <w:r w:rsidR="00391A72" w:rsidRPr="00B50C2F">
        <w:t>Socio-economic Well-being</w:t>
      </w:r>
      <w:bookmarkEnd w:id="11"/>
    </w:p>
    <w:p w14:paraId="000000D3" w14:textId="5A5768D2" w:rsidR="006B799D" w:rsidRPr="00B50C2F" w:rsidRDefault="00CC1E6B">
      <w:pPr>
        <w:keepNext/>
        <w:pBdr>
          <w:top w:val="nil"/>
          <w:left w:val="nil"/>
          <w:bottom w:val="nil"/>
          <w:right w:val="nil"/>
          <w:between w:val="nil"/>
        </w:pBdr>
        <w:spacing w:after="200" w:line="240" w:lineRule="auto"/>
        <w:rPr>
          <w:rFonts w:asciiTheme="minorHAnsi" w:eastAsia="Gill Sans" w:hAnsiTheme="minorHAnsi" w:cs="Gill Sans"/>
          <w:i/>
          <w:color w:val="002F6C"/>
          <w:sz w:val="18"/>
          <w:szCs w:val="18"/>
        </w:rPr>
      </w:pPr>
      <w:bookmarkStart w:id="12" w:name="bookmark=id.3znysh7" w:colFirst="0" w:colLast="0"/>
      <w:bookmarkStart w:id="13" w:name="_heading=h.2et92p0" w:colFirst="0" w:colLast="0"/>
      <w:bookmarkEnd w:id="12"/>
      <w:bookmarkEnd w:id="13"/>
      <w:r w:rsidRPr="00B50C2F">
        <w:rPr>
          <w:rFonts w:asciiTheme="minorHAnsi" w:eastAsia="Gill Sans" w:hAnsiTheme="minorHAnsi" w:cs="Gill Sans"/>
          <w:b/>
          <w:i/>
          <w:color w:val="002F6C"/>
          <w:sz w:val="18"/>
          <w:szCs w:val="18"/>
        </w:rPr>
        <w:t>Table 1:</w:t>
      </w:r>
      <w:r w:rsidRPr="00B50C2F">
        <w:rPr>
          <w:rFonts w:asciiTheme="minorHAnsi" w:eastAsia="Gill Sans" w:hAnsiTheme="minorHAnsi" w:cs="Gill Sans"/>
          <w:i/>
          <w:color w:val="002F6C"/>
          <w:sz w:val="18"/>
          <w:szCs w:val="18"/>
        </w:rPr>
        <w:t xml:space="preserve"> Overview of Outcomes and Recommended Indicators for the </w:t>
      </w:r>
      <w:r w:rsidR="000A3CD2" w:rsidRPr="00B50C2F">
        <w:rPr>
          <w:rFonts w:asciiTheme="minorHAnsi" w:eastAsia="Gill Sans" w:hAnsiTheme="minorHAnsi" w:cs="Gill Sans"/>
          <w:i/>
          <w:color w:val="002F6C"/>
          <w:sz w:val="18"/>
          <w:szCs w:val="18"/>
        </w:rPr>
        <w:t xml:space="preserve">Gender Equity </w:t>
      </w:r>
      <w:r w:rsidR="003A2033" w:rsidRPr="00B50C2F">
        <w:rPr>
          <w:rFonts w:asciiTheme="minorHAnsi" w:eastAsia="Gill Sans" w:hAnsiTheme="minorHAnsi" w:cs="Gill Sans"/>
          <w:i/>
          <w:color w:val="002F6C"/>
          <w:sz w:val="18"/>
          <w:szCs w:val="18"/>
        </w:rPr>
        <w:t>&amp; Social Inclusion</w:t>
      </w:r>
      <w:r w:rsidR="006866A4" w:rsidRPr="00B50C2F">
        <w:rPr>
          <w:rFonts w:asciiTheme="minorHAnsi" w:eastAsia="Gill Sans" w:hAnsiTheme="minorHAnsi" w:cs="Gill Sans"/>
          <w:i/>
          <w:color w:val="002F6C"/>
          <w:sz w:val="18"/>
          <w:szCs w:val="18"/>
        </w:rPr>
        <w:t xml:space="preserve"> Sector</w:t>
      </w:r>
      <w:r w:rsidRPr="00B50C2F">
        <w:rPr>
          <w:rFonts w:asciiTheme="minorHAnsi" w:eastAsia="Gill Sans" w:hAnsiTheme="minorHAnsi" w:cs="Gill Sans"/>
          <w:i/>
          <w:color w:val="002F6C"/>
          <w:sz w:val="18"/>
          <w:szCs w:val="18"/>
        </w:rPr>
        <w:t>.</w:t>
      </w:r>
    </w:p>
    <w:tbl>
      <w:tblPr>
        <w:tblW w:w="8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000" w:firstRow="0" w:lastRow="0" w:firstColumn="0" w:lastColumn="0" w:noHBand="0" w:noVBand="0"/>
      </w:tblPr>
      <w:tblGrid>
        <w:gridCol w:w="3359"/>
        <w:gridCol w:w="5437"/>
      </w:tblGrid>
      <w:tr w:rsidR="009701CC" w:rsidRPr="00B50C2F" w14:paraId="1472E9E8" w14:textId="77777777" w:rsidTr="009701CC">
        <w:trPr>
          <w:trHeight w:val="306"/>
          <w:tblHeader/>
        </w:trPr>
        <w:tc>
          <w:tcPr>
            <w:tcW w:w="3359" w:type="dxa"/>
            <w:shd w:val="clear" w:color="auto" w:fill="002F6C"/>
            <w:vAlign w:val="center"/>
          </w:tcPr>
          <w:p w14:paraId="63EE1F3C" w14:textId="77777777" w:rsidR="009701CC" w:rsidRPr="00B50C2F" w:rsidRDefault="009701CC" w:rsidP="00071E7F">
            <w:pPr>
              <w:spacing w:after="0"/>
              <w:rPr>
                <w:rFonts w:asciiTheme="minorHAnsi" w:eastAsia="Gill Sans" w:hAnsiTheme="minorHAnsi" w:cs="Gill Sans"/>
                <w:b/>
              </w:rPr>
            </w:pPr>
            <w:r w:rsidRPr="00B50C2F">
              <w:rPr>
                <w:rFonts w:asciiTheme="minorHAnsi" w:eastAsia="Gill Sans" w:hAnsiTheme="minorHAnsi" w:cs="Gill Sans"/>
                <w:b/>
              </w:rPr>
              <w:t xml:space="preserve">Outcomes </w:t>
            </w:r>
          </w:p>
        </w:tc>
        <w:tc>
          <w:tcPr>
            <w:tcW w:w="5437" w:type="dxa"/>
            <w:shd w:val="clear" w:color="auto" w:fill="002F6C"/>
            <w:vAlign w:val="center"/>
          </w:tcPr>
          <w:p w14:paraId="41311EAF" w14:textId="77777777" w:rsidR="009701CC" w:rsidRPr="00B50C2F" w:rsidRDefault="009701CC" w:rsidP="00071E7F">
            <w:pPr>
              <w:spacing w:after="0"/>
              <w:rPr>
                <w:rFonts w:asciiTheme="minorHAnsi" w:eastAsia="Gill Sans" w:hAnsiTheme="minorHAnsi" w:cs="Gill Sans"/>
                <w:b/>
              </w:rPr>
            </w:pPr>
            <w:r w:rsidRPr="00B50C2F">
              <w:rPr>
                <w:rFonts w:asciiTheme="minorHAnsi" w:eastAsia="Gill Sans" w:hAnsiTheme="minorHAnsi" w:cs="Gill Sans"/>
                <w:b/>
              </w:rPr>
              <w:t>HEARTH Portfolio Indicators</w:t>
            </w:r>
          </w:p>
        </w:tc>
      </w:tr>
      <w:tr w:rsidR="009701CC" w:rsidRPr="00B50C2F" w14:paraId="0ABD6EDC" w14:textId="77777777" w:rsidTr="009701CC">
        <w:trPr>
          <w:trHeight w:val="909"/>
        </w:trPr>
        <w:tc>
          <w:tcPr>
            <w:tcW w:w="3359" w:type="dxa"/>
            <w:tcBorders>
              <w:left w:val="single" w:sz="4" w:space="0" w:color="auto"/>
            </w:tcBorders>
            <w:vAlign w:val="center"/>
          </w:tcPr>
          <w:p w14:paraId="436403BC" w14:textId="77777777" w:rsidR="009701CC" w:rsidRPr="00B50C2F" w:rsidRDefault="00907EC7" w:rsidP="00071E7F">
            <w:pPr>
              <w:spacing w:after="0"/>
              <w:rPr>
                <w:rFonts w:asciiTheme="minorHAnsi" w:eastAsia="Gill Sans" w:hAnsiTheme="minorHAnsi" w:cs="Gill Sans"/>
              </w:rPr>
            </w:pPr>
            <w:hyperlink w:anchor="bookmark=id.xvir7l">
              <w:r w:rsidR="009701CC" w:rsidRPr="00B50C2F">
                <w:rPr>
                  <w:rFonts w:asciiTheme="minorHAnsi" w:hAnsiTheme="minorHAnsi"/>
                  <w:color w:val="0064B9"/>
                  <w:u w:val="single"/>
                </w:rPr>
                <w:t>Increased socio-economic well-being</w:t>
              </w:r>
            </w:hyperlink>
          </w:p>
        </w:tc>
        <w:tc>
          <w:tcPr>
            <w:tcW w:w="5437" w:type="dxa"/>
          </w:tcPr>
          <w:p w14:paraId="6EF010B2" w14:textId="77777777" w:rsidR="009701CC" w:rsidRPr="00B50C2F" w:rsidRDefault="00907EC7" w:rsidP="001A49B0">
            <w:pPr>
              <w:numPr>
                <w:ilvl w:val="0"/>
                <w:numId w:val="10"/>
              </w:numPr>
              <w:pBdr>
                <w:top w:val="nil"/>
                <w:left w:val="nil"/>
                <w:bottom w:val="nil"/>
                <w:right w:val="nil"/>
                <w:between w:val="nil"/>
              </w:pBdr>
              <w:spacing w:after="0"/>
              <w:ind w:left="322" w:hanging="322"/>
              <w:rPr>
                <w:rFonts w:asciiTheme="minorHAnsi" w:hAnsiTheme="minorHAnsi"/>
              </w:rPr>
            </w:pPr>
            <w:hyperlink w:anchor="bookmark=id.4h042r0">
              <w:r w:rsidR="009701CC" w:rsidRPr="00B50C2F">
                <w:rPr>
                  <w:rFonts w:asciiTheme="minorHAnsi" w:eastAsia="Gill Sans" w:hAnsiTheme="minorHAnsi" w:cs="Gill Sans"/>
                  <w:color w:val="0064B9"/>
                  <w:u w:val="single"/>
                </w:rPr>
                <w:t>Percent of households below the comparative threshold for the poorest quintile of the Asset-Based Comparative Wealth Index (CWI)</w:t>
              </w:r>
            </w:hyperlink>
          </w:p>
        </w:tc>
      </w:tr>
      <w:tr w:rsidR="009701CC" w:rsidRPr="00B50C2F" w14:paraId="25873FF1" w14:textId="77777777" w:rsidTr="009701CC">
        <w:trPr>
          <w:trHeight w:val="602"/>
        </w:trPr>
        <w:tc>
          <w:tcPr>
            <w:tcW w:w="3359" w:type="dxa"/>
            <w:tcBorders>
              <w:left w:val="single" w:sz="4" w:space="0" w:color="auto"/>
            </w:tcBorders>
            <w:vAlign w:val="center"/>
          </w:tcPr>
          <w:p w14:paraId="1BFE23A1" w14:textId="77777777" w:rsidR="009701CC" w:rsidRPr="00B50C2F" w:rsidRDefault="00907EC7" w:rsidP="00071E7F">
            <w:pPr>
              <w:spacing w:after="0"/>
              <w:rPr>
                <w:rFonts w:asciiTheme="minorHAnsi" w:eastAsia="Gill Sans" w:hAnsiTheme="minorHAnsi" w:cs="Gill Sans"/>
              </w:rPr>
            </w:pPr>
            <w:hyperlink w:anchor="bookmark=id.3hv69ve">
              <w:r w:rsidR="009701CC" w:rsidRPr="00B50C2F">
                <w:rPr>
                  <w:rFonts w:asciiTheme="minorHAnsi" w:hAnsiTheme="minorHAnsi"/>
                  <w:color w:val="0064B9"/>
                  <w:u w:val="single"/>
                </w:rPr>
                <w:t>Increased financial inclusion</w:t>
              </w:r>
            </w:hyperlink>
          </w:p>
        </w:tc>
        <w:tc>
          <w:tcPr>
            <w:tcW w:w="5437" w:type="dxa"/>
          </w:tcPr>
          <w:p w14:paraId="7FA98604" w14:textId="77777777" w:rsidR="009701CC" w:rsidRPr="00B50C2F" w:rsidRDefault="00907EC7" w:rsidP="001A49B0">
            <w:pPr>
              <w:numPr>
                <w:ilvl w:val="0"/>
                <w:numId w:val="10"/>
              </w:numPr>
              <w:pBdr>
                <w:top w:val="nil"/>
                <w:left w:val="nil"/>
                <w:bottom w:val="nil"/>
                <w:right w:val="nil"/>
                <w:between w:val="nil"/>
              </w:pBdr>
              <w:spacing w:after="0"/>
              <w:ind w:left="322" w:hanging="322"/>
              <w:rPr>
                <w:rFonts w:asciiTheme="minorHAnsi" w:hAnsiTheme="minorHAnsi"/>
              </w:rPr>
            </w:pPr>
            <w:hyperlink w:anchor="bookmark=id.2w5ecyt">
              <w:r w:rsidR="009701CC" w:rsidRPr="00B50C2F">
                <w:rPr>
                  <w:rFonts w:asciiTheme="minorHAnsi" w:eastAsia="Gill Sans" w:hAnsiTheme="minorHAnsi" w:cs="Gill Sans"/>
                  <w:color w:val="0064B9"/>
                  <w:u w:val="single"/>
                </w:rPr>
                <w:t>Percent of households participating in micro-finance, lending programs and/or banking</w:t>
              </w:r>
            </w:hyperlink>
          </w:p>
        </w:tc>
      </w:tr>
    </w:tbl>
    <w:p w14:paraId="000000E3" w14:textId="25320C8B" w:rsidR="006B799D" w:rsidRPr="00B50C2F" w:rsidRDefault="006B799D">
      <w:pPr>
        <w:rPr>
          <w:rFonts w:asciiTheme="minorHAnsi" w:hAnsiTheme="minorHAnsi"/>
        </w:rPr>
      </w:pPr>
    </w:p>
    <w:p w14:paraId="0C17F80E" w14:textId="0E93F679" w:rsidR="00255B85" w:rsidRPr="00B50C2F" w:rsidRDefault="00255B85">
      <w:pPr>
        <w:rPr>
          <w:rFonts w:asciiTheme="minorHAnsi" w:hAnsiTheme="minorHAnsi"/>
        </w:rPr>
      </w:pPr>
    </w:p>
    <w:p w14:paraId="5D633B13" w14:textId="42DE2DCE" w:rsidR="00255B85" w:rsidRPr="00B50C2F" w:rsidRDefault="00255B85">
      <w:pPr>
        <w:rPr>
          <w:rFonts w:asciiTheme="minorHAnsi" w:hAnsiTheme="minorHAnsi"/>
        </w:rPr>
      </w:pPr>
    </w:p>
    <w:p w14:paraId="609012DF" w14:textId="1230E974" w:rsidR="00255B85" w:rsidRPr="00B50C2F" w:rsidRDefault="00255B85">
      <w:pPr>
        <w:rPr>
          <w:rFonts w:asciiTheme="minorHAnsi" w:hAnsiTheme="minorHAnsi"/>
        </w:rPr>
      </w:pPr>
    </w:p>
    <w:p w14:paraId="7978C4F4" w14:textId="11D30DF6" w:rsidR="00255B85" w:rsidRPr="00B50C2F" w:rsidRDefault="00255B85">
      <w:pPr>
        <w:rPr>
          <w:rFonts w:asciiTheme="minorHAnsi" w:hAnsiTheme="minorHAnsi"/>
        </w:rPr>
      </w:pPr>
    </w:p>
    <w:p w14:paraId="68CB4BF0" w14:textId="5A2D3185" w:rsidR="00ED014E" w:rsidRPr="00B50C2F" w:rsidRDefault="00ED014E">
      <w:pPr>
        <w:rPr>
          <w:rFonts w:asciiTheme="minorHAnsi" w:hAnsiTheme="minorHAnsi"/>
        </w:rPr>
      </w:pPr>
    </w:p>
    <w:p w14:paraId="12D19469" w14:textId="0D373280" w:rsidR="00ED014E" w:rsidRPr="00B50C2F" w:rsidRDefault="00ED014E">
      <w:pPr>
        <w:rPr>
          <w:rFonts w:asciiTheme="minorHAnsi" w:hAnsiTheme="minorHAnsi"/>
        </w:rPr>
      </w:pPr>
    </w:p>
    <w:p w14:paraId="19990E60" w14:textId="1FC9435B" w:rsidR="00ED014E" w:rsidRPr="00B50C2F" w:rsidRDefault="00ED014E">
      <w:pPr>
        <w:rPr>
          <w:rFonts w:asciiTheme="minorHAnsi" w:hAnsiTheme="minorHAnsi"/>
        </w:rPr>
      </w:pPr>
    </w:p>
    <w:p w14:paraId="0729C2AB" w14:textId="681DCDF8" w:rsidR="00ED014E" w:rsidRPr="00B50C2F" w:rsidRDefault="00ED014E">
      <w:pPr>
        <w:rPr>
          <w:rFonts w:asciiTheme="minorHAnsi" w:hAnsiTheme="minorHAnsi"/>
        </w:rPr>
      </w:pPr>
    </w:p>
    <w:p w14:paraId="5ED1CC01" w14:textId="77777777" w:rsidR="00EF5F3C" w:rsidRDefault="00EF5F3C" w:rsidP="00ED014E">
      <w:pPr>
        <w:pStyle w:val="Heading1"/>
        <w:rPr>
          <w:rFonts w:asciiTheme="minorHAnsi" w:hAnsiTheme="minorHAnsi"/>
        </w:rPr>
        <w:sectPr w:rsidR="00EF5F3C" w:rsidSect="00EF5F3C">
          <w:pgSz w:w="12240" w:h="15840"/>
          <w:pgMar w:top="1440" w:right="1440" w:bottom="1440" w:left="1440" w:header="720" w:footer="720" w:gutter="0"/>
          <w:cols w:space="720"/>
        </w:sectPr>
      </w:pPr>
      <w:bookmarkStart w:id="14" w:name="_Toc101788499"/>
      <w:bookmarkStart w:id="15" w:name="_Toc104984476"/>
    </w:p>
    <w:p w14:paraId="1F8C0075" w14:textId="77777777" w:rsidR="00ED014E" w:rsidRPr="00B50C2F" w:rsidRDefault="00ED014E" w:rsidP="00ED014E">
      <w:pPr>
        <w:pStyle w:val="Heading1"/>
        <w:rPr>
          <w:rFonts w:asciiTheme="minorHAnsi" w:hAnsiTheme="minorHAnsi"/>
        </w:rPr>
      </w:pPr>
      <w:r w:rsidRPr="00B50C2F">
        <w:rPr>
          <w:rFonts w:asciiTheme="minorHAnsi" w:hAnsiTheme="minorHAnsi"/>
        </w:rPr>
        <w:lastRenderedPageBreak/>
        <w:t>Socio-economic Well-being</w:t>
      </w:r>
      <w:bookmarkEnd w:id="14"/>
      <w:bookmarkEnd w:id="15"/>
    </w:p>
    <w:p w14:paraId="58FA589A" w14:textId="77777777" w:rsidR="00ED014E" w:rsidRPr="00B50C2F" w:rsidRDefault="00ED014E" w:rsidP="00ED014E">
      <w:pPr>
        <w:pStyle w:val="Heading2"/>
        <w:rPr>
          <w:rFonts w:asciiTheme="minorHAnsi" w:hAnsiTheme="minorHAnsi"/>
        </w:rPr>
      </w:pPr>
      <w:bookmarkStart w:id="16" w:name="_Toc101788500"/>
      <w:bookmarkStart w:id="17" w:name="_Toc104984477"/>
      <w:r w:rsidRPr="00B50C2F">
        <w:rPr>
          <w:rFonts w:asciiTheme="minorHAnsi" w:hAnsiTheme="minorHAnsi"/>
        </w:rPr>
        <w:t>Pathways To Change</w:t>
      </w:r>
      <w:bookmarkEnd w:id="16"/>
      <w:bookmarkEnd w:id="17"/>
    </w:p>
    <w:p w14:paraId="1725EC75" w14:textId="77777777" w:rsidR="00ED014E" w:rsidRPr="00B50C2F" w:rsidRDefault="00ED014E" w:rsidP="00ED014E">
      <w:pPr>
        <w:rPr>
          <w:rFonts w:asciiTheme="minorHAnsi" w:hAnsiTheme="minorHAnsi"/>
        </w:rPr>
      </w:pPr>
      <w:r w:rsidRPr="00B50C2F">
        <w:rPr>
          <w:rFonts w:asciiTheme="minorHAnsi" w:hAnsiTheme="minorHAnsi"/>
        </w:rPr>
        <w:t>HEARTH activities might increase incomes and overall socio-economic well-being due to direct employment or participation in a conservation enterprise, as well as greater agricultural productivity/yields (thus leading to greater agricultural income, or greater consumption of self-produced food allowing household finances to be spent on other purchases). Improved socio-economic well-being should also contribute to greater household resilience to shocks and stressors. Relatedly, some HEARTH activities include approaches directly related to increasing access to credit/finance</w:t>
      </w:r>
      <w:r w:rsidRPr="00B50C2F">
        <w:rPr>
          <w:rFonts w:asciiTheme="minorHAnsi" w:hAnsiTheme="minorHAnsi"/>
          <w:sz w:val="20"/>
          <w:szCs w:val="20"/>
        </w:rPr>
        <w:t xml:space="preserve"> (</w:t>
      </w:r>
      <w:r w:rsidRPr="00B50C2F">
        <w:rPr>
          <w:rFonts w:asciiTheme="minorHAnsi" w:hAnsiTheme="minorHAnsi"/>
        </w:rPr>
        <w:t>e.g., savings groups, microfinance/credit). For others, increases in access to credit/finance might be an indirect outcome due to increased incomes, which might increase demand for such services.</w:t>
      </w:r>
    </w:p>
    <w:p w14:paraId="24ECF62F" w14:textId="77777777" w:rsidR="00ED014E" w:rsidRPr="00B50C2F" w:rsidRDefault="00ED014E" w:rsidP="00ED014E">
      <w:pPr>
        <w:pStyle w:val="Heading2"/>
        <w:rPr>
          <w:rFonts w:asciiTheme="minorHAnsi" w:hAnsiTheme="minorHAnsi"/>
        </w:rPr>
      </w:pPr>
      <w:bookmarkStart w:id="18" w:name="_Toc101788501"/>
      <w:bookmarkStart w:id="19" w:name="_Toc104984478"/>
      <w:r w:rsidRPr="00B50C2F">
        <w:rPr>
          <w:rFonts w:asciiTheme="minorHAnsi" w:hAnsiTheme="minorHAnsi"/>
        </w:rPr>
        <w:t>Recommended Outcomes and Indicators</w:t>
      </w:r>
      <w:bookmarkEnd w:id="18"/>
      <w:bookmarkEnd w:id="19"/>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400" w:firstRow="0" w:lastRow="0" w:firstColumn="0" w:lastColumn="0" w:noHBand="0" w:noVBand="1"/>
      </w:tblPr>
      <w:tblGrid>
        <w:gridCol w:w="1525"/>
        <w:gridCol w:w="5580"/>
        <w:gridCol w:w="2520"/>
      </w:tblGrid>
      <w:tr w:rsidR="00ED014E" w:rsidRPr="00B50C2F" w14:paraId="035C8EC4" w14:textId="77777777" w:rsidTr="00071E7F">
        <w:trPr>
          <w:tblHeader/>
        </w:trPr>
        <w:tc>
          <w:tcPr>
            <w:tcW w:w="1525" w:type="dxa"/>
            <w:shd w:val="clear" w:color="auto" w:fill="002060"/>
          </w:tcPr>
          <w:p w14:paraId="31AD2CF6" w14:textId="77777777" w:rsidR="00ED014E" w:rsidRPr="00B50C2F" w:rsidRDefault="00ED014E" w:rsidP="00071E7F">
            <w:pPr>
              <w:spacing w:after="0"/>
              <w:rPr>
                <w:rFonts w:asciiTheme="minorHAnsi" w:hAnsiTheme="minorHAnsi"/>
                <w:b/>
              </w:rPr>
            </w:pPr>
            <w:r w:rsidRPr="00B50C2F">
              <w:rPr>
                <w:rFonts w:asciiTheme="minorHAnsi" w:hAnsiTheme="minorHAnsi"/>
                <w:b/>
              </w:rPr>
              <w:t>Outcome</w:t>
            </w:r>
          </w:p>
        </w:tc>
        <w:tc>
          <w:tcPr>
            <w:tcW w:w="5580" w:type="dxa"/>
            <w:shd w:val="clear" w:color="auto" w:fill="002060"/>
          </w:tcPr>
          <w:p w14:paraId="5BA2A292" w14:textId="77777777" w:rsidR="00ED014E" w:rsidRPr="00B50C2F" w:rsidRDefault="00ED014E" w:rsidP="00071E7F">
            <w:pPr>
              <w:spacing w:after="0"/>
              <w:rPr>
                <w:rFonts w:asciiTheme="minorHAnsi" w:hAnsiTheme="minorHAnsi"/>
                <w:b/>
              </w:rPr>
            </w:pPr>
            <w:r w:rsidRPr="00B50C2F">
              <w:rPr>
                <w:rFonts w:asciiTheme="minorHAnsi" w:hAnsiTheme="minorHAnsi"/>
                <w:b/>
              </w:rPr>
              <w:t>Description</w:t>
            </w:r>
          </w:p>
        </w:tc>
        <w:tc>
          <w:tcPr>
            <w:tcW w:w="2520" w:type="dxa"/>
            <w:shd w:val="clear" w:color="auto" w:fill="002060"/>
          </w:tcPr>
          <w:p w14:paraId="0943A6A4" w14:textId="77777777" w:rsidR="00ED014E" w:rsidRPr="00B50C2F" w:rsidRDefault="00ED014E" w:rsidP="00071E7F">
            <w:pPr>
              <w:spacing w:after="0"/>
              <w:rPr>
                <w:rFonts w:asciiTheme="minorHAnsi" w:hAnsiTheme="minorHAnsi"/>
                <w:b/>
              </w:rPr>
            </w:pPr>
            <w:r w:rsidRPr="00B50C2F">
              <w:rPr>
                <w:rFonts w:asciiTheme="minorHAnsi" w:hAnsiTheme="minorHAnsi"/>
                <w:b/>
              </w:rPr>
              <w:t>Recommended Indicator &amp; Duration</w:t>
            </w:r>
          </w:p>
        </w:tc>
      </w:tr>
      <w:tr w:rsidR="00ED014E" w:rsidRPr="00B50C2F" w14:paraId="2E5E0595" w14:textId="77777777" w:rsidTr="00071E7F">
        <w:trPr>
          <w:trHeight w:val="962"/>
        </w:trPr>
        <w:tc>
          <w:tcPr>
            <w:tcW w:w="1525" w:type="dxa"/>
          </w:tcPr>
          <w:p w14:paraId="10DD96A0" w14:textId="77777777" w:rsidR="00ED014E" w:rsidRPr="00B50C2F" w:rsidRDefault="00ED014E" w:rsidP="00071E7F">
            <w:pPr>
              <w:rPr>
                <w:rFonts w:asciiTheme="minorHAnsi" w:hAnsiTheme="minorHAnsi"/>
              </w:rPr>
            </w:pPr>
            <w:bookmarkStart w:id="20" w:name="bookmark=id.xvir7l" w:colFirst="0" w:colLast="0"/>
            <w:bookmarkEnd w:id="20"/>
            <w:r w:rsidRPr="00B50C2F">
              <w:rPr>
                <w:rFonts w:asciiTheme="minorHAnsi" w:hAnsiTheme="minorHAnsi"/>
              </w:rPr>
              <w:t>Increased socio-economic well-being</w:t>
            </w:r>
          </w:p>
          <w:p w14:paraId="1FE82C0D" w14:textId="77777777" w:rsidR="00ED014E" w:rsidRPr="00B50C2F" w:rsidRDefault="00ED014E" w:rsidP="00071E7F">
            <w:pPr>
              <w:rPr>
                <w:rFonts w:asciiTheme="minorHAnsi" w:hAnsiTheme="minorHAnsi"/>
              </w:rPr>
            </w:pPr>
          </w:p>
        </w:tc>
        <w:tc>
          <w:tcPr>
            <w:tcW w:w="5580" w:type="dxa"/>
          </w:tcPr>
          <w:p w14:paraId="28EEC3D8" w14:textId="6C2EBF53" w:rsidR="00ED014E" w:rsidRPr="00B50C2F" w:rsidRDefault="00ED014E" w:rsidP="00071E7F">
            <w:pPr>
              <w:rPr>
                <w:rFonts w:asciiTheme="minorHAnsi" w:hAnsiTheme="minorHAnsi"/>
              </w:rPr>
            </w:pPr>
            <w:r w:rsidRPr="00B50C2F">
              <w:rPr>
                <w:rFonts w:asciiTheme="minorHAnsi" w:hAnsiTheme="minorHAnsi"/>
              </w:rPr>
              <w:t xml:space="preserve">Income and consumption are the foremost measures of socio-economic status, but each has serious limitations to their use. Wealth indices are often used as a proxy for socio-economic status when income or consumption cannot be directly measured accurately/reliably. The </w:t>
            </w:r>
            <w:r w:rsidR="00E01898" w:rsidRPr="00B50C2F">
              <w:rPr>
                <w:rFonts w:asciiTheme="minorHAnsi" w:hAnsiTheme="minorHAnsi"/>
              </w:rPr>
              <w:t>Demographic and Health Surveys (</w:t>
            </w:r>
            <w:r w:rsidRPr="00B50C2F">
              <w:rPr>
                <w:rFonts w:asciiTheme="minorHAnsi" w:hAnsiTheme="minorHAnsi"/>
              </w:rPr>
              <w:t>DHS</w:t>
            </w:r>
            <w:r w:rsidR="00E01898" w:rsidRPr="00B50C2F">
              <w:rPr>
                <w:rFonts w:asciiTheme="minorHAnsi" w:hAnsiTheme="minorHAnsi"/>
              </w:rPr>
              <w:t>)</w:t>
            </w:r>
            <w:r w:rsidRPr="00B50C2F">
              <w:rPr>
                <w:rFonts w:asciiTheme="minorHAnsi" w:hAnsiTheme="minorHAnsi"/>
              </w:rPr>
              <w:t xml:space="preserve"> asset-based wealth index</w:t>
            </w:r>
            <w:r w:rsidRPr="00B50C2F">
              <w:rPr>
                <w:rFonts w:asciiTheme="minorHAnsi" w:hAnsiTheme="minorHAnsi"/>
                <w:vertAlign w:val="superscript"/>
              </w:rPr>
              <w:footnoteReference w:id="2"/>
            </w:r>
            <w:r w:rsidRPr="00B50C2F">
              <w:rPr>
                <w:rFonts w:asciiTheme="minorHAnsi" w:hAnsiTheme="minorHAnsi"/>
              </w:rPr>
              <w:t xml:space="preserve"> is an absolute wealth index (AWI), and includes questions on household members, land/housing, access to finance/banking, water and sanitation, dwelling materials, fuel, livestock, and assets/durable goods, among others.</w:t>
            </w:r>
            <w:r w:rsidRPr="00B50C2F">
              <w:rPr>
                <w:rFonts w:asciiTheme="minorHAnsi" w:hAnsiTheme="minorHAnsi"/>
                <w:vertAlign w:val="superscript"/>
              </w:rPr>
              <w:footnoteReference w:id="3"/>
            </w:r>
            <w:r w:rsidRPr="00B50C2F">
              <w:rPr>
                <w:rFonts w:asciiTheme="minorHAnsi" w:hAnsiTheme="minorHAnsi"/>
                <w:vertAlign w:val="superscript"/>
              </w:rPr>
              <w:t xml:space="preserve"> </w:t>
            </w:r>
            <w:r w:rsidRPr="00B50C2F">
              <w:rPr>
                <w:rFonts w:asciiTheme="minorHAnsi" w:hAnsiTheme="minorHAnsi"/>
              </w:rPr>
              <w:t>The Comparative Wealth Index (CWI) is then constructed from the AWI to make indices comparable across surveys and time.</w:t>
            </w:r>
            <w:r w:rsidRPr="00B50C2F">
              <w:rPr>
                <w:rFonts w:asciiTheme="minorHAnsi" w:hAnsiTheme="minorHAnsi"/>
                <w:vertAlign w:val="superscript"/>
              </w:rPr>
              <w:footnoteReference w:id="4"/>
            </w:r>
            <w:r w:rsidRPr="00B50C2F">
              <w:rPr>
                <w:rFonts w:asciiTheme="minorHAnsi" w:hAnsiTheme="minorHAnsi"/>
              </w:rPr>
              <w:t xml:space="preserve"> Methodologies for constructing these indices are well-described and widely accepted in the broader research </w:t>
            </w:r>
            <w:r w:rsidRPr="00B50C2F">
              <w:rPr>
                <w:rFonts w:asciiTheme="minorHAnsi" w:hAnsiTheme="minorHAnsi"/>
              </w:rPr>
              <w:lastRenderedPageBreak/>
              <w:t xml:space="preserve">community, and have been used by both USAID/Bureau for Global Health and USAID/Bureau for Resilience and Food Security. For more in-depth discussion on measuring </w:t>
            </w:r>
            <w:r w:rsidR="00CE397D" w:rsidRPr="00B50C2F">
              <w:rPr>
                <w:rFonts w:asciiTheme="minorHAnsi" w:hAnsiTheme="minorHAnsi"/>
              </w:rPr>
              <w:t>Socioeconomic Status (</w:t>
            </w:r>
            <w:r w:rsidRPr="00B50C2F">
              <w:rPr>
                <w:rFonts w:asciiTheme="minorHAnsi" w:hAnsiTheme="minorHAnsi"/>
              </w:rPr>
              <w:t>SES</w:t>
            </w:r>
            <w:r w:rsidR="00CE397D" w:rsidRPr="00B50C2F">
              <w:rPr>
                <w:rFonts w:asciiTheme="minorHAnsi" w:hAnsiTheme="minorHAnsi"/>
              </w:rPr>
              <w:t>)</w:t>
            </w:r>
            <w:r w:rsidRPr="00B50C2F">
              <w:rPr>
                <w:rFonts w:asciiTheme="minorHAnsi" w:hAnsiTheme="minorHAnsi"/>
              </w:rPr>
              <w:t xml:space="preserve">, please see </w:t>
            </w:r>
            <w:hyperlink w:anchor="_Annex_6._Socioeconomic">
              <w:r w:rsidRPr="00B50C2F">
                <w:rPr>
                  <w:rFonts w:asciiTheme="minorHAnsi" w:hAnsiTheme="minorHAnsi"/>
                  <w:color w:val="0563C1"/>
                  <w:u w:val="single"/>
                </w:rPr>
                <w:t xml:space="preserve">Annex </w:t>
              </w:r>
              <w:r w:rsidR="00BC1618" w:rsidRPr="00B50C2F">
                <w:rPr>
                  <w:rFonts w:asciiTheme="minorHAnsi" w:hAnsiTheme="minorHAnsi"/>
                  <w:color w:val="0563C1"/>
                  <w:u w:val="single"/>
                </w:rPr>
                <w:t>1</w:t>
              </w:r>
            </w:hyperlink>
            <w:r w:rsidRPr="00B50C2F">
              <w:rPr>
                <w:rFonts w:asciiTheme="minorHAnsi" w:hAnsiTheme="minorHAnsi"/>
              </w:rPr>
              <w:t>. Socio-economic Status, which includes more details on the limitations and benefits of various approaches outlined here.</w:t>
            </w:r>
          </w:p>
          <w:p w14:paraId="6ADBF621" w14:textId="77777777" w:rsidR="00ED014E" w:rsidRPr="00B50C2F" w:rsidRDefault="00ED014E" w:rsidP="00071E7F">
            <w:pPr>
              <w:rPr>
                <w:rFonts w:asciiTheme="minorHAnsi" w:hAnsiTheme="minorHAnsi"/>
              </w:rPr>
            </w:pPr>
            <w:r w:rsidRPr="00B50C2F">
              <w:rPr>
                <w:rFonts w:asciiTheme="minorHAnsi" w:hAnsiTheme="minorHAnsi"/>
              </w:rPr>
              <w:t xml:space="preserve">In addition to providing a snapshot in time of how wealthy or poor a particular household is relative to a </w:t>
            </w:r>
            <w:proofErr w:type="gramStart"/>
            <w:r w:rsidRPr="00B50C2F">
              <w:rPr>
                <w:rFonts w:asciiTheme="minorHAnsi" w:hAnsiTheme="minorHAnsi"/>
              </w:rPr>
              <w:t>common wealth</w:t>
            </w:r>
            <w:proofErr w:type="gramEnd"/>
            <w:r w:rsidRPr="00B50C2F">
              <w:rPr>
                <w:rFonts w:asciiTheme="minorHAnsi" w:hAnsiTheme="minorHAnsi"/>
              </w:rPr>
              <w:t xml:space="preserve"> distribution, the number and type of assets a</w:t>
            </w:r>
          </w:p>
          <w:p w14:paraId="137E46D4" w14:textId="77777777" w:rsidR="00ED014E" w:rsidRPr="00B50C2F" w:rsidRDefault="00ED014E" w:rsidP="00071E7F">
            <w:pPr>
              <w:rPr>
                <w:rFonts w:asciiTheme="minorHAnsi" w:hAnsiTheme="minorHAnsi"/>
              </w:rPr>
            </w:pPr>
            <w:r w:rsidRPr="00B50C2F">
              <w:rPr>
                <w:rFonts w:asciiTheme="minorHAnsi" w:hAnsiTheme="minorHAnsi"/>
              </w:rPr>
              <w:t xml:space="preserve">household owns is associated with household resilience across national contexts, indicating that asset accumulation can serve as a buffer against shocks (e.g., Jalan and </w:t>
            </w:r>
            <w:proofErr w:type="spellStart"/>
            <w:r w:rsidRPr="00B50C2F">
              <w:rPr>
                <w:rFonts w:asciiTheme="minorHAnsi" w:hAnsiTheme="minorHAnsi"/>
              </w:rPr>
              <w:t>Ravallion</w:t>
            </w:r>
            <w:proofErr w:type="spellEnd"/>
            <w:r w:rsidRPr="00B50C2F">
              <w:rPr>
                <w:rFonts w:asciiTheme="minorHAnsi" w:hAnsiTheme="minorHAnsi"/>
              </w:rPr>
              <w:t xml:space="preserve"> 2002,</w:t>
            </w:r>
            <w:r w:rsidRPr="00B50C2F">
              <w:rPr>
                <w:rFonts w:asciiTheme="minorHAnsi" w:hAnsiTheme="minorHAnsi"/>
                <w:vertAlign w:val="superscript"/>
              </w:rPr>
              <w:footnoteReference w:id="5"/>
            </w:r>
            <w:r w:rsidRPr="00B50C2F">
              <w:rPr>
                <w:rFonts w:asciiTheme="minorHAnsi" w:hAnsiTheme="minorHAnsi"/>
              </w:rPr>
              <w:t xml:space="preserve"> </w:t>
            </w:r>
            <w:proofErr w:type="spellStart"/>
            <w:r w:rsidRPr="00B50C2F">
              <w:rPr>
                <w:rFonts w:asciiTheme="minorHAnsi" w:hAnsiTheme="minorHAnsi"/>
              </w:rPr>
              <w:t>Dercon</w:t>
            </w:r>
            <w:proofErr w:type="spellEnd"/>
            <w:r w:rsidRPr="00B50C2F">
              <w:rPr>
                <w:rFonts w:asciiTheme="minorHAnsi" w:hAnsiTheme="minorHAnsi"/>
              </w:rPr>
              <w:t xml:space="preserve"> 2004</w:t>
            </w:r>
            <w:r w:rsidRPr="00B50C2F">
              <w:rPr>
                <w:rFonts w:asciiTheme="minorHAnsi" w:hAnsiTheme="minorHAnsi"/>
                <w:vertAlign w:val="superscript"/>
              </w:rPr>
              <w:footnoteReference w:id="6"/>
            </w:r>
            <w:r w:rsidRPr="00B50C2F">
              <w:rPr>
                <w:rFonts w:asciiTheme="minorHAnsi" w:hAnsiTheme="minorHAnsi"/>
              </w:rPr>
              <w:t xml:space="preserve">). </w:t>
            </w:r>
          </w:p>
          <w:p w14:paraId="6E6FE9C9" w14:textId="77777777" w:rsidR="00ED014E" w:rsidRPr="00B50C2F" w:rsidRDefault="00ED014E" w:rsidP="00071E7F">
            <w:pPr>
              <w:rPr>
                <w:rFonts w:asciiTheme="minorHAnsi" w:hAnsiTheme="minorHAnsi"/>
              </w:rPr>
            </w:pPr>
            <w:r w:rsidRPr="00B50C2F">
              <w:rPr>
                <w:rFonts w:asciiTheme="minorHAnsi" w:hAnsiTheme="minorHAnsi"/>
              </w:rPr>
              <w:t xml:space="preserve">While asset-based indices are cognitively easier for respondents to provide accurate and precise data on, it is still somewhat time consuming to collect all the required data given the breadth of information covered, and so trade-offs with survey implementation costs should be considered. </w:t>
            </w:r>
          </w:p>
        </w:tc>
        <w:tc>
          <w:tcPr>
            <w:tcW w:w="2520" w:type="dxa"/>
          </w:tcPr>
          <w:p w14:paraId="5668BBC1" w14:textId="77777777" w:rsidR="00ED014E" w:rsidRPr="00B50C2F" w:rsidRDefault="00ED014E" w:rsidP="00071E7F">
            <w:pPr>
              <w:rPr>
                <w:rFonts w:asciiTheme="minorHAnsi" w:hAnsiTheme="minorHAnsi"/>
                <w:b/>
                <w:highlight w:val="yellow"/>
              </w:rPr>
            </w:pPr>
            <w:r w:rsidRPr="00B50C2F">
              <w:rPr>
                <w:rFonts w:asciiTheme="minorHAnsi" w:hAnsiTheme="minorHAnsi"/>
                <w:b/>
              </w:rPr>
              <w:lastRenderedPageBreak/>
              <w:t xml:space="preserve">Indicator: </w:t>
            </w:r>
            <w:r w:rsidRPr="00B50C2F">
              <w:rPr>
                <w:rFonts w:asciiTheme="minorHAnsi" w:hAnsiTheme="minorHAnsi"/>
              </w:rPr>
              <w:t>Percent of households below the comparative threshold for the poorest quintile of the Asset-Based CWI</w:t>
            </w:r>
          </w:p>
          <w:p w14:paraId="0AF7BF25" w14:textId="289AAB1D" w:rsidR="00ED014E" w:rsidRPr="00B50C2F" w:rsidRDefault="00ED014E" w:rsidP="00071E7F">
            <w:pPr>
              <w:rPr>
                <w:rFonts w:asciiTheme="minorHAnsi" w:hAnsiTheme="minorHAnsi"/>
              </w:rPr>
            </w:pPr>
            <w:r w:rsidRPr="00B50C2F">
              <w:rPr>
                <w:rFonts w:asciiTheme="minorHAnsi" w:hAnsiTheme="minorHAnsi"/>
                <w:b/>
              </w:rPr>
              <w:t xml:space="preserve">Source: </w:t>
            </w:r>
            <w:r w:rsidR="005148A7" w:rsidRPr="00B50C2F">
              <w:rPr>
                <w:rFonts w:asciiTheme="minorHAnsi" w:hAnsiTheme="minorHAnsi"/>
                <w:bCs/>
              </w:rPr>
              <w:t xml:space="preserve">Feed </w:t>
            </w:r>
            <w:proofErr w:type="gramStart"/>
            <w:r w:rsidR="005148A7" w:rsidRPr="00B50C2F">
              <w:rPr>
                <w:rFonts w:asciiTheme="minorHAnsi" w:hAnsiTheme="minorHAnsi"/>
                <w:bCs/>
              </w:rPr>
              <w:t>The</w:t>
            </w:r>
            <w:proofErr w:type="gramEnd"/>
            <w:r w:rsidR="005148A7" w:rsidRPr="00B50C2F">
              <w:rPr>
                <w:rFonts w:asciiTheme="minorHAnsi" w:hAnsiTheme="minorHAnsi"/>
                <w:bCs/>
              </w:rPr>
              <w:t xml:space="preserve"> Future (</w:t>
            </w:r>
            <w:r w:rsidRPr="00B50C2F">
              <w:rPr>
                <w:rFonts w:asciiTheme="minorHAnsi" w:hAnsiTheme="minorHAnsi"/>
              </w:rPr>
              <w:t>FTF</w:t>
            </w:r>
            <w:r w:rsidR="005148A7" w:rsidRPr="00B50C2F">
              <w:rPr>
                <w:rFonts w:asciiTheme="minorHAnsi" w:hAnsiTheme="minorHAnsi"/>
              </w:rPr>
              <w:t>)</w:t>
            </w:r>
            <w:r w:rsidRPr="00B50C2F">
              <w:rPr>
                <w:rFonts w:asciiTheme="minorHAnsi" w:hAnsiTheme="minorHAnsi"/>
              </w:rPr>
              <w:t xml:space="preserve"> Indicator EG-g [</w:t>
            </w:r>
            <w:r w:rsidR="00002DD5" w:rsidRPr="00B50C2F">
              <w:rPr>
                <w:rFonts w:asciiTheme="minorHAnsi" w:hAnsiTheme="minorHAnsi"/>
              </w:rPr>
              <w:t>Zone of Influence (</w:t>
            </w:r>
            <w:r w:rsidRPr="00B50C2F">
              <w:rPr>
                <w:rFonts w:asciiTheme="minorHAnsi" w:hAnsiTheme="minorHAnsi"/>
              </w:rPr>
              <w:t>ZOI</w:t>
            </w:r>
            <w:r w:rsidR="00002DD5" w:rsidRPr="00B50C2F">
              <w:rPr>
                <w:rFonts w:asciiTheme="minorHAnsi" w:hAnsiTheme="minorHAnsi"/>
              </w:rPr>
              <w:t>)</w:t>
            </w:r>
            <w:r w:rsidRPr="00B50C2F">
              <w:rPr>
                <w:rFonts w:asciiTheme="minorHAnsi" w:hAnsiTheme="minorHAnsi"/>
              </w:rPr>
              <w:t xml:space="preserve">-level] Percent of households below the comparative threshold for the poorest quintile of the Asset-Based </w:t>
            </w:r>
            <w:r w:rsidRPr="00B50C2F">
              <w:rPr>
                <w:rFonts w:asciiTheme="minorHAnsi" w:hAnsiTheme="minorHAnsi"/>
              </w:rPr>
              <w:lastRenderedPageBreak/>
              <w:t>Comparative Wealth Index</w:t>
            </w:r>
            <w:r w:rsidRPr="00B50C2F">
              <w:rPr>
                <w:rFonts w:asciiTheme="minorHAnsi" w:hAnsiTheme="minorHAnsi"/>
                <w:vertAlign w:val="superscript"/>
              </w:rPr>
              <w:footnoteReference w:id="7"/>
            </w:r>
          </w:p>
          <w:p w14:paraId="5D6CB4B9" w14:textId="77777777" w:rsidR="00ED014E" w:rsidRPr="00B50C2F" w:rsidRDefault="00ED014E" w:rsidP="00071E7F">
            <w:pPr>
              <w:rPr>
                <w:rFonts w:asciiTheme="minorHAnsi" w:hAnsiTheme="minorHAnsi"/>
              </w:rPr>
            </w:pPr>
            <w:r w:rsidRPr="00B50C2F">
              <w:rPr>
                <w:rFonts w:asciiTheme="minorHAnsi" w:hAnsiTheme="minorHAnsi"/>
                <w:b/>
              </w:rPr>
              <w:t>Duration:</w:t>
            </w:r>
            <w:r w:rsidRPr="00B50C2F">
              <w:rPr>
                <w:rFonts w:asciiTheme="minorHAnsi" w:hAnsiTheme="minorHAnsi"/>
              </w:rPr>
              <w:t xml:space="preserve"> 15 minutes </w:t>
            </w:r>
          </w:p>
        </w:tc>
      </w:tr>
      <w:tr w:rsidR="00ED014E" w:rsidRPr="00B50C2F" w14:paraId="2D2767C0" w14:textId="77777777" w:rsidTr="00071E7F">
        <w:tc>
          <w:tcPr>
            <w:tcW w:w="1525" w:type="dxa"/>
          </w:tcPr>
          <w:p w14:paraId="6808FFF1" w14:textId="77777777" w:rsidR="00ED014E" w:rsidRPr="00B50C2F" w:rsidRDefault="00ED014E" w:rsidP="00071E7F">
            <w:pPr>
              <w:rPr>
                <w:rFonts w:asciiTheme="minorHAnsi" w:hAnsiTheme="minorHAnsi"/>
              </w:rPr>
            </w:pPr>
            <w:bookmarkStart w:id="21" w:name="bookmark=id.3hv69ve" w:colFirst="0" w:colLast="0"/>
            <w:bookmarkEnd w:id="21"/>
            <w:r w:rsidRPr="00B50C2F">
              <w:rPr>
                <w:rFonts w:asciiTheme="minorHAnsi" w:hAnsiTheme="minorHAnsi"/>
              </w:rPr>
              <w:lastRenderedPageBreak/>
              <w:t>Increased financial inclusion</w:t>
            </w:r>
          </w:p>
          <w:p w14:paraId="3C4FA016" w14:textId="77777777" w:rsidR="00ED014E" w:rsidRPr="00B50C2F" w:rsidRDefault="00ED014E" w:rsidP="00071E7F">
            <w:pPr>
              <w:rPr>
                <w:rFonts w:asciiTheme="minorHAnsi" w:hAnsiTheme="minorHAnsi"/>
              </w:rPr>
            </w:pPr>
          </w:p>
        </w:tc>
        <w:tc>
          <w:tcPr>
            <w:tcW w:w="5580" w:type="dxa"/>
          </w:tcPr>
          <w:p w14:paraId="55BD362C" w14:textId="77777777" w:rsidR="00ED014E" w:rsidRPr="00B50C2F" w:rsidRDefault="00ED014E" w:rsidP="00071E7F">
            <w:pPr>
              <w:rPr>
                <w:rFonts w:asciiTheme="minorHAnsi" w:hAnsiTheme="minorHAnsi"/>
              </w:rPr>
            </w:pPr>
            <w:r w:rsidRPr="00B50C2F">
              <w:rPr>
                <w:rFonts w:asciiTheme="minorHAnsi" w:hAnsiTheme="minorHAnsi"/>
              </w:rPr>
              <w:t xml:space="preserve">Access to microfinance, lending programs and/or banking are some pathways to a household's financial inclusion. Access to financial services is important for households to diversify their livelihood strategies, protect well-being outcomes and manage risks, and women’s access to finance and credit can be an important pathway for empowerment. </w:t>
            </w:r>
          </w:p>
          <w:p w14:paraId="56D40914" w14:textId="77777777" w:rsidR="00ED014E" w:rsidRPr="00B50C2F" w:rsidRDefault="00ED014E" w:rsidP="00071E7F">
            <w:pPr>
              <w:rPr>
                <w:rFonts w:asciiTheme="minorHAnsi" w:hAnsiTheme="minorHAnsi"/>
              </w:rPr>
            </w:pPr>
            <w:r w:rsidRPr="00B50C2F">
              <w:rPr>
                <w:rFonts w:asciiTheme="minorHAnsi" w:hAnsiTheme="minorHAnsi"/>
              </w:rPr>
              <w:t xml:space="preserve">This indicator will measure financial inclusion by collecting data on (1) those who took out a loan or borrowed cash/in-kind and (2) those with formal banking institution </w:t>
            </w:r>
            <w:r w:rsidRPr="00B50C2F">
              <w:rPr>
                <w:rFonts w:asciiTheme="minorHAnsi" w:hAnsiTheme="minorHAnsi"/>
              </w:rPr>
              <w:lastRenderedPageBreak/>
              <w:t>accounts. Additional information is also collected on financial access, for those who have not directly taken a loan or borrowed cash/in-kind, but who would have been able to if they wanted. Questions for (1) are adapted from the A-WEAI module of the FTF core questionnaire,</w:t>
            </w:r>
            <w:r w:rsidRPr="00B50C2F">
              <w:rPr>
                <w:rFonts w:asciiTheme="minorHAnsi" w:hAnsiTheme="minorHAnsi"/>
                <w:vertAlign w:val="superscript"/>
              </w:rPr>
              <w:footnoteReference w:id="8"/>
            </w:r>
            <w:r w:rsidRPr="00B50C2F">
              <w:rPr>
                <w:rFonts w:asciiTheme="minorHAnsi" w:hAnsiTheme="minorHAnsi"/>
              </w:rPr>
              <w:t xml:space="preserve"> and for (2) from the DHS Household Survey.</w:t>
            </w:r>
          </w:p>
        </w:tc>
        <w:tc>
          <w:tcPr>
            <w:tcW w:w="2520" w:type="dxa"/>
          </w:tcPr>
          <w:p w14:paraId="1F6D2EF7" w14:textId="77777777" w:rsidR="00ED014E" w:rsidRPr="00B50C2F" w:rsidRDefault="00ED014E" w:rsidP="00071E7F">
            <w:pPr>
              <w:rPr>
                <w:rFonts w:asciiTheme="minorHAnsi" w:hAnsiTheme="minorHAnsi"/>
                <w:b/>
              </w:rPr>
            </w:pPr>
            <w:r w:rsidRPr="00B50C2F">
              <w:rPr>
                <w:rFonts w:asciiTheme="minorHAnsi" w:hAnsiTheme="minorHAnsi"/>
                <w:b/>
              </w:rPr>
              <w:lastRenderedPageBreak/>
              <w:t xml:space="preserve">Indicator: </w:t>
            </w:r>
            <w:r w:rsidRPr="00B50C2F">
              <w:rPr>
                <w:rFonts w:asciiTheme="minorHAnsi" w:hAnsiTheme="minorHAnsi"/>
              </w:rPr>
              <w:t>Percent of households participating in micro-finance, lending programs and/or banking</w:t>
            </w:r>
            <w:r w:rsidRPr="00B50C2F">
              <w:rPr>
                <w:rFonts w:asciiTheme="minorHAnsi" w:hAnsiTheme="minorHAnsi"/>
                <w:b/>
              </w:rPr>
              <w:t xml:space="preserve"> </w:t>
            </w:r>
          </w:p>
          <w:p w14:paraId="3AAF8662" w14:textId="7AC27927" w:rsidR="00ED014E" w:rsidRPr="00B50C2F" w:rsidRDefault="00ED014E" w:rsidP="00071E7F">
            <w:pPr>
              <w:rPr>
                <w:rFonts w:asciiTheme="minorHAnsi" w:hAnsiTheme="minorHAnsi"/>
              </w:rPr>
            </w:pPr>
            <w:r w:rsidRPr="00B50C2F">
              <w:rPr>
                <w:rFonts w:asciiTheme="minorHAnsi" w:hAnsiTheme="minorHAnsi"/>
                <w:b/>
              </w:rPr>
              <w:t xml:space="preserve">Source: </w:t>
            </w:r>
            <w:r w:rsidRPr="00B50C2F">
              <w:rPr>
                <w:rFonts w:asciiTheme="minorHAnsi" w:hAnsiTheme="minorHAnsi"/>
              </w:rPr>
              <w:t xml:space="preserve">FTF Indicator EG.4.2-7 [IM-level] Number of individuals participating in </w:t>
            </w:r>
            <w:r w:rsidR="00927E3D" w:rsidRPr="00B50C2F">
              <w:rPr>
                <w:rFonts w:asciiTheme="minorHAnsi" w:hAnsiTheme="minorHAnsi"/>
              </w:rPr>
              <w:t xml:space="preserve">United States Government </w:t>
            </w:r>
            <w:r w:rsidR="00927E3D" w:rsidRPr="00B50C2F">
              <w:rPr>
                <w:rFonts w:asciiTheme="minorHAnsi" w:hAnsiTheme="minorHAnsi"/>
              </w:rPr>
              <w:lastRenderedPageBreak/>
              <w:t>(</w:t>
            </w:r>
            <w:r w:rsidRPr="00B50C2F">
              <w:rPr>
                <w:rFonts w:asciiTheme="minorHAnsi" w:hAnsiTheme="minorHAnsi"/>
              </w:rPr>
              <w:t>USG</w:t>
            </w:r>
            <w:r w:rsidR="00927E3D" w:rsidRPr="00B50C2F">
              <w:rPr>
                <w:rFonts w:asciiTheme="minorHAnsi" w:hAnsiTheme="minorHAnsi"/>
              </w:rPr>
              <w:t>)</w:t>
            </w:r>
            <w:r w:rsidRPr="00B50C2F">
              <w:rPr>
                <w:rFonts w:asciiTheme="minorHAnsi" w:hAnsiTheme="minorHAnsi"/>
              </w:rPr>
              <w:t>-assisted group-based savings, micro-finance, or lending programs; EG.4.2-a [ZOI-level] Percent of households participating in group-based savings, micro-finance, or lending programs</w:t>
            </w:r>
            <w:r w:rsidRPr="00B50C2F">
              <w:rPr>
                <w:rFonts w:asciiTheme="minorHAnsi" w:hAnsiTheme="minorHAnsi"/>
                <w:vertAlign w:val="superscript"/>
              </w:rPr>
              <w:footnoteReference w:id="9"/>
            </w:r>
          </w:p>
          <w:p w14:paraId="7AC33078" w14:textId="77777777" w:rsidR="00ED014E" w:rsidRPr="00B50C2F" w:rsidRDefault="00ED014E" w:rsidP="00071E7F">
            <w:pPr>
              <w:rPr>
                <w:rFonts w:asciiTheme="minorHAnsi" w:hAnsiTheme="minorHAnsi"/>
              </w:rPr>
            </w:pPr>
            <w:r w:rsidRPr="00B50C2F">
              <w:rPr>
                <w:rFonts w:asciiTheme="minorHAnsi" w:hAnsiTheme="minorHAnsi"/>
                <w:b/>
              </w:rPr>
              <w:t>Duration:</w:t>
            </w:r>
            <w:r w:rsidRPr="00B50C2F">
              <w:rPr>
                <w:rFonts w:asciiTheme="minorHAnsi" w:hAnsiTheme="minorHAnsi"/>
              </w:rPr>
              <w:t xml:space="preserve"> 5-10 minutes </w:t>
            </w:r>
          </w:p>
        </w:tc>
      </w:tr>
    </w:tbl>
    <w:p w14:paraId="5BC409D7" w14:textId="77777777" w:rsidR="00ED014E" w:rsidRPr="00B50C2F" w:rsidRDefault="00ED014E" w:rsidP="00ED014E">
      <w:pPr>
        <w:rPr>
          <w:rFonts w:asciiTheme="minorHAnsi" w:hAnsiTheme="minorHAnsi"/>
        </w:rPr>
      </w:pPr>
    </w:p>
    <w:p w14:paraId="0ABA55D3" w14:textId="77777777" w:rsidR="00ED014E" w:rsidRPr="00B50C2F" w:rsidRDefault="00ED014E" w:rsidP="00ED014E">
      <w:pPr>
        <w:spacing w:after="200"/>
        <w:rPr>
          <w:rFonts w:asciiTheme="minorHAnsi" w:hAnsiTheme="minorHAnsi"/>
          <w:color w:val="0064BB"/>
          <w:sz w:val="28"/>
          <w:szCs w:val="28"/>
        </w:rPr>
      </w:pPr>
      <w:r w:rsidRPr="00B50C2F">
        <w:rPr>
          <w:rFonts w:asciiTheme="minorHAnsi" w:hAnsiTheme="minorHAnsi"/>
        </w:rPr>
        <w:br w:type="page"/>
      </w:r>
    </w:p>
    <w:p w14:paraId="297B3587" w14:textId="77777777" w:rsidR="00ED014E" w:rsidRPr="00B50C2F" w:rsidRDefault="00ED014E" w:rsidP="00ED014E">
      <w:pPr>
        <w:pStyle w:val="Heading2"/>
        <w:rPr>
          <w:rFonts w:asciiTheme="minorHAnsi" w:hAnsiTheme="minorHAnsi"/>
        </w:rPr>
      </w:pPr>
      <w:bookmarkStart w:id="22" w:name="_Toc101788502"/>
      <w:bookmarkStart w:id="23" w:name="_Toc104984479"/>
      <w:r w:rsidRPr="00B50C2F">
        <w:rPr>
          <w:rFonts w:asciiTheme="minorHAnsi" w:hAnsiTheme="minorHAnsi"/>
        </w:rPr>
        <w:lastRenderedPageBreak/>
        <w:t>Performance Indicator Reference Sheets</w:t>
      </w:r>
      <w:bookmarkEnd w:id="22"/>
      <w:bookmarkEnd w:id="23"/>
    </w:p>
    <w:tbl>
      <w:tblPr>
        <w:tblW w:w="9031" w:type="dxa"/>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000" w:firstRow="0" w:lastRow="0" w:firstColumn="0" w:lastColumn="0" w:noHBand="0" w:noVBand="0"/>
      </w:tblPr>
      <w:tblGrid>
        <w:gridCol w:w="2785"/>
        <w:gridCol w:w="6231"/>
        <w:gridCol w:w="15"/>
      </w:tblGrid>
      <w:tr w:rsidR="00ED014E" w:rsidRPr="00B50C2F" w14:paraId="6FBB4B48" w14:textId="77777777" w:rsidTr="00071E7F">
        <w:trPr>
          <w:trHeight w:val="561"/>
          <w:tblHeader/>
        </w:trPr>
        <w:tc>
          <w:tcPr>
            <w:tcW w:w="9031" w:type="dxa"/>
            <w:gridSpan w:val="3"/>
            <w:shd w:val="clear" w:color="auto" w:fill="002F6C"/>
          </w:tcPr>
          <w:p w14:paraId="76C14685" w14:textId="77777777" w:rsidR="00ED014E" w:rsidRPr="00B50C2F" w:rsidRDefault="00ED014E" w:rsidP="00071E7F">
            <w:pPr>
              <w:spacing w:after="0"/>
              <w:rPr>
                <w:rFonts w:asciiTheme="minorHAnsi" w:hAnsiTheme="minorHAnsi"/>
                <w:b/>
                <w:color w:val="000000"/>
              </w:rPr>
            </w:pPr>
            <w:bookmarkStart w:id="24" w:name="bookmark=id.4h042r0" w:colFirst="0" w:colLast="0"/>
            <w:bookmarkEnd w:id="24"/>
            <w:r w:rsidRPr="00B50C2F">
              <w:rPr>
                <w:rFonts w:asciiTheme="minorHAnsi" w:hAnsiTheme="minorHAnsi"/>
                <w:b/>
              </w:rPr>
              <w:t>INDICATOR TITLE: Percent of households below the comparative threshold for the poorest quintile of the Asset-Based CWI</w:t>
            </w:r>
          </w:p>
        </w:tc>
      </w:tr>
      <w:tr w:rsidR="00ED014E" w:rsidRPr="00B50C2F" w14:paraId="09595215" w14:textId="77777777" w:rsidTr="00071E7F">
        <w:trPr>
          <w:gridAfter w:val="1"/>
          <w:wAfter w:w="15" w:type="dxa"/>
          <w:trHeight w:val="606"/>
        </w:trPr>
        <w:tc>
          <w:tcPr>
            <w:tcW w:w="9016" w:type="dxa"/>
            <w:gridSpan w:val="2"/>
          </w:tcPr>
          <w:p w14:paraId="7F4409CE" w14:textId="77777777" w:rsidR="00ED014E" w:rsidRPr="00B50C2F" w:rsidRDefault="00ED014E" w:rsidP="00071E7F">
            <w:pPr>
              <w:spacing w:after="180"/>
              <w:rPr>
                <w:rFonts w:asciiTheme="minorHAnsi" w:hAnsiTheme="minorHAnsi"/>
              </w:rPr>
            </w:pPr>
            <w:r w:rsidRPr="00B50C2F">
              <w:rPr>
                <w:rFonts w:asciiTheme="minorHAnsi" w:hAnsiTheme="minorHAnsi"/>
              </w:rPr>
              <w:t>DEFINITION:</w:t>
            </w:r>
          </w:p>
          <w:p w14:paraId="70391F64" w14:textId="77777777" w:rsidR="00ED014E" w:rsidRPr="00B50C2F" w:rsidRDefault="00ED014E" w:rsidP="00071E7F">
            <w:pPr>
              <w:spacing w:after="180"/>
              <w:rPr>
                <w:rFonts w:asciiTheme="minorHAnsi" w:hAnsiTheme="minorHAnsi"/>
              </w:rPr>
            </w:pPr>
            <w:r w:rsidRPr="00B50C2F">
              <w:rPr>
                <w:rFonts w:asciiTheme="minorHAnsi" w:hAnsiTheme="minorHAnsi"/>
              </w:rPr>
              <w:t xml:space="preserve">This indicator reflects the percentage of households whose ownership (or lack thereof) of selected assets places the household below a fixed threshold (with a value of -0.9080) that defines the poorest quintile (bottom 20 percent) in the cross-nationally, cross-temporally comparable asset-based CWI. Data from reference surveys are used to develop the reference values which allows the wealth index to be compared across countries and time. </w:t>
            </w:r>
          </w:p>
          <w:p w14:paraId="5A762D66" w14:textId="77777777" w:rsidR="00ED014E" w:rsidRPr="00B50C2F" w:rsidRDefault="00ED014E" w:rsidP="00071E7F">
            <w:pPr>
              <w:spacing w:after="180"/>
              <w:rPr>
                <w:rFonts w:asciiTheme="minorHAnsi" w:hAnsiTheme="minorHAnsi"/>
              </w:rPr>
            </w:pPr>
            <w:r w:rsidRPr="00B50C2F">
              <w:rPr>
                <w:rFonts w:asciiTheme="minorHAnsi" w:hAnsiTheme="minorHAnsi"/>
              </w:rPr>
              <w:t xml:space="preserve">The CWI is calculated according to the methodology specified in </w:t>
            </w:r>
            <w:proofErr w:type="spellStart"/>
            <w:r w:rsidRPr="00B50C2F">
              <w:rPr>
                <w:rFonts w:asciiTheme="minorHAnsi" w:hAnsiTheme="minorHAnsi"/>
              </w:rPr>
              <w:t>Rutstein</w:t>
            </w:r>
            <w:proofErr w:type="spellEnd"/>
            <w:r w:rsidRPr="00B50C2F">
              <w:rPr>
                <w:rFonts w:asciiTheme="minorHAnsi" w:hAnsiTheme="minorHAnsi"/>
              </w:rPr>
              <w:t xml:space="preserve"> and </w:t>
            </w:r>
            <w:proofErr w:type="spellStart"/>
            <w:r w:rsidRPr="00B50C2F">
              <w:rPr>
                <w:rFonts w:asciiTheme="minorHAnsi" w:hAnsiTheme="minorHAnsi"/>
              </w:rPr>
              <w:t>Stavetieg</w:t>
            </w:r>
            <w:proofErr w:type="spellEnd"/>
            <w:r w:rsidRPr="00B50C2F">
              <w:rPr>
                <w:rFonts w:asciiTheme="minorHAnsi" w:hAnsiTheme="minorHAnsi"/>
              </w:rPr>
              <w:t xml:space="preserve"> 2014</w:t>
            </w:r>
            <w:r w:rsidRPr="00B50C2F">
              <w:rPr>
                <w:rFonts w:asciiTheme="minorHAnsi" w:hAnsiTheme="minorHAnsi"/>
                <w:vertAlign w:val="superscript"/>
              </w:rPr>
              <w:footnoteReference w:id="10"/>
            </w:r>
            <w:r w:rsidRPr="00B50C2F">
              <w:rPr>
                <w:rFonts w:asciiTheme="minorHAnsi" w:hAnsiTheme="minorHAnsi"/>
              </w:rPr>
              <w:t xml:space="preserve">  using the following standard household level asset variables, plus selected additional country-specific asset variables if any are specified: employment of domestic servants; ownership of agricultural land and size of land; number of people per sleeping room; house ownership; water source; toilet facility (type and shared status); floor material; roof material; wall material; cooking fuel; access to electricity; and possession of radio, television, mobile phone, non-mobile telephone, computer, refrigerator, watch, bicycle, motorcycle or scooter, animal-drawn cart, car or truck, boat with a motor, bank account, cows, other cattle, horses, donkeys, mules, goats, sheep, chicken or other poultry, or fish. It should be noted that not </w:t>
            </w:r>
            <w:proofErr w:type="gramStart"/>
            <w:r w:rsidRPr="00B50C2F">
              <w:rPr>
                <w:rFonts w:asciiTheme="minorHAnsi" w:hAnsiTheme="minorHAnsi"/>
              </w:rPr>
              <w:t>all of</w:t>
            </w:r>
            <w:proofErr w:type="gramEnd"/>
            <w:r w:rsidRPr="00B50C2F">
              <w:rPr>
                <w:rFonts w:asciiTheme="minorHAnsi" w:hAnsiTheme="minorHAnsi"/>
              </w:rPr>
              <w:t xml:space="preserve"> these items are material assets, but the list also includes some variables (such as land/home ownership, water source and sanitation facilities, etc.) to capture more multidimensional measures of poverty. </w:t>
            </w:r>
          </w:p>
          <w:p w14:paraId="02B87574" w14:textId="77777777" w:rsidR="00ED014E" w:rsidRPr="00B50C2F" w:rsidRDefault="00ED014E" w:rsidP="00071E7F">
            <w:pPr>
              <w:spacing w:after="180"/>
              <w:rPr>
                <w:rFonts w:asciiTheme="minorHAnsi" w:hAnsiTheme="minorHAnsi"/>
              </w:rPr>
            </w:pPr>
            <w:r w:rsidRPr="00B50C2F">
              <w:rPr>
                <w:rFonts w:asciiTheme="minorHAnsi" w:hAnsiTheme="minorHAnsi"/>
              </w:rPr>
              <w:t>Constructing the CWI indicator involves seven key steps: (1) selection of a reference survey to serve as the point for comparison across all HEARTH activity surveys,</w:t>
            </w:r>
            <w:r w:rsidRPr="00B50C2F">
              <w:rPr>
                <w:rFonts w:asciiTheme="minorHAnsi" w:hAnsiTheme="minorHAnsi"/>
                <w:vertAlign w:val="superscript"/>
              </w:rPr>
              <w:footnoteReference w:id="11"/>
            </w:r>
            <w:r w:rsidRPr="00B50C2F">
              <w:rPr>
                <w:rFonts w:asciiTheme="minorHAnsi" w:hAnsiTheme="minorHAnsi"/>
              </w:rPr>
              <w:t xml:space="preserve"> (2) calculation of the AWI for the selected reference survey, (3) calculation of a set of anchoring points for the reference survey, (4) calculation of the AWI for the HEARTH activity survey being analyzed, (5) calculation of a set of anchoring points for the HEARTH activity survey being analyzed, (6) conversion of the AWI scores for all sampled households in the HEARTH activity survey being analyzed into comparable scores using the anchoring points calculated in Steps 3 and 4, and (7) determination of the percentage of households below the comparative threshold for the poorest quintile of the reference survey.</w:t>
            </w:r>
          </w:p>
          <w:p w14:paraId="797E9CFB" w14:textId="77777777" w:rsidR="00ED014E" w:rsidRPr="00B50C2F" w:rsidRDefault="00ED014E" w:rsidP="00071E7F">
            <w:pPr>
              <w:spacing w:after="180"/>
              <w:rPr>
                <w:rFonts w:asciiTheme="minorHAnsi" w:hAnsiTheme="minorHAnsi"/>
              </w:rPr>
            </w:pPr>
            <w:r w:rsidRPr="00B50C2F">
              <w:rPr>
                <w:rFonts w:asciiTheme="minorHAnsi" w:hAnsiTheme="minorHAnsi"/>
              </w:rPr>
              <w:lastRenderedPageBreak/>
              <w:t>For further details on constructing the AWI and CWI, please see the Comparative Wealth Index Section of the Guide to Feed the Future Statistics.</w:t>
            </w:r>
            <w:r w:rsidRPr="00B50C2F">
              <w:rPr>
                <w:rFonts w:asciiTheme="minorHAnsi" w:hAnsiTheme="minorHAnsi"/>
                <w:vertAlign w:val="superscript"/>
              </w:rPr>
              <w:footnoteReference w:id="12"/>
            </w:r>
            <w:r w:rsidRPr="00B50C2F">
              <w:rPr>
                <w:rFonts w:asciiTheme="minorHAnsi" w:hAnsiTheme="minorHAnsi"/>
              </w:rPr>
              <w:t xml:space="preserve"> </w:t>
            </w:r>
          </w:p>
        </w:tc>
      </w:tr>
      <w:tr w:rsidR="00ED014E" w:rsidRPr="00B50C2F" w14:paraId="4A05D293" w14:textId="77777777" w:rsidTr="00071E7F">
        <w:trPr>
          <w:gridAfter w:val="1"/>
          <w:wAfter w:w="15" w:type="dxa"/>
          <w:trHeight w:val="669"/>
        </w:trPr>
        <w:tc>
          <w:tcPr>
            <w:tcW w:w="9016" w:type="dxa"/>
            <w:gridSpan w:val="2"/>
          </w:tcPr>
          <w:p w14:paraId="42AEB4A3" w14:textId="77777777" w:rsidR="00ED014E" w:rsidRPr="00B50C2F" w:rsidRDefault="00ED014E" w:rsidP="00071E7F">
            <w:pPr>
              <w:spacing w:after="180"/>
              <w:rPr>
                <w:rFonts w:asciiTheme="minorHAnsi" w:hAnsiTheme="minorHAnsi"/>
              </w:rPr>
            </w:pPr>
            <w:r w:rsidRPr="00B50C2F">
              <w:rPr>
                <w:rFonts w:asciiTheme="minorHAnsi" w:hAnsiTheme="minorHAnsi"/>
              </w:rPr>
              <w:lastRenderedPageBreak/>
              <w:t xml:space="preserve">ADAPTATION: </w:t>
            </w:r>
          </w:p>
          <w:p w14:paraId="4354B638" w14:textId="77777777" w:rsidR="00ED014E" w:rsidRPr="00B50C2F" w:rsidRDefault="00ED014E" w:rsidP="00071E7F">
            <w:pPr>
              <w:spacing w:after="180"/>
              <w:rPr>
                <w:rFonts w:asciiTheme="minorHAnsi" w:hAnsiTheme="minorHAnsi"/>
              </w:rPr>
            </w:pPr>
            <w:r w:rsidRPr="00B50C2F">
              <w:rPr>
                <w:rFonts w:asciiTheme="minorHAnsi" w:hAnsiTheme="minorHAnsi"/>
              </w:rPr>
              <w:t xml:space="preserve">In the interest of preserving data quality, it is important to minimize the number of questions in the household survey questionnaire for each HEARTH activity. However, teams may find that there are important country-specific assets that are not reflected in the core HEARTH survey questionnaire. For selecting country-specific assets, teams should consider whether there are assets typical of the country that, were they not included in the wealth index, would produce an inaccurate reflection of wealth ownership in the country. When identifying this small number (2-3) of country-specific assets, it is important to try to ensure that there is a balance in the extent to which those assets represent both urban and rural types of wealth and are accessible to both urban and rural populations (e.g., a watch), and to avoid including assets that are dependent on infrastructure requirements that are already captured in the core assets (like electricity). However, one can also consider achieving balance in asset selection by choosing two important assets that represent distinctly rural (e.g., camel ownership) and urban (e.g., in-home </w:t>
            </w:r>
            <w:proofErr w:type="spellStart"/>
            <w:r w:rsidRPr="00B50C2F">
              <w:rPr>
                <w:rFonts w:asciiTheme="minorHAnsi" w:hAnsiTheme="minorHAnsi"/>
              </w:rPr>
              <w:t>WiFi</w:t>
            </w:r>
            <w:proofErr w:type="spellEnd"/>
            <w:r w:rsidRPr="00B50C2F">
              <w:rPr>
                <w:rFonts w:asciiTheme="minorHAnsi" w:hAnsiTheme="minorHAnsi"/>
              </w:rPr>
              <w:t xml:space="preserve"> access) types of wealth.</w:t>
            </w:r>
          </w:p>
          <w:p w14:paraId="23DF567E" w14:textId="77777777" w:rsidR="00ED014E" w:rsidRPr="00B50C2F" w:rsidRDefault="00ED014E" w:rsidP="00071E7F">
            <w:pPr>
              <w:spacing w:after="180"/>
              <w:rPr>
                <w:rFonts w:asciiTheme="minorHAnsi" w:hAnsiTheme="minorHAnsi"/>
              </w:rPr>
            </w:pPr>
          </w:p>
        </w:tc>
      </w:tr>
      <w:tr w:rsidR="00ED014E" w:rsidRPr="00B50C2F" w14:paraId="0E8DE81C" w14:textId="77777777" w:rsidTr="00071E7F">
        <w:trPr>
          <w:gridAfter w:val="1"/>
          <w:wAfter w:w="15" w:type="dxa"/>
          <w:trHeight w:val="606"/>
        </w:trPr>
        <w:tc>
          <w:tcPr>
            <w:tcW w:w="2785" w:type="dxa"/>
          </w:tcPr>
          <w:p w14:paraId="5C6C3116" w14:textId="77777777" w:rsidR="00ED014E" w:rsidRPr="00B50C2F" w:rsidRDefault="00ED014E" w:rsidP="00071E7F">
            <w:pPr>
              <w:spacing w:after="120"/>
              <w:rPr>
                <w:rFonts w:asciiTheme="minorHAnsi" w:hAnsiTheme="minorHAnsi"/>
              </w:rPr>
            </w:pPr>
            <w:r w:rsidRPr="00B50C2F">
              <w:rPr>
                <w:rFonts w:asciiTheme="minorHAnsi" w:hAnsiTheme="minorHAnsi"/>
              </w:rPr>
              <w:t xml:space="preserve">UNIT: </w:t>
            </w:r>
          </w:p>
          <w:p w14:paraId="3DA3F11C" w14:textId="77777777" w:rsidR="00ED014E" w:rsidRPr="00B50C2F" w:rsidRDefault="00ED014E" w:rsidP="00071E7F">
            <w:pPr>
              <w:spacing w:after="120"/>
              <w:rPr>
                <w:rFonts w:asciiTheme="minorHAnsi" w:hAnsiTheme="minorHAnsi"/>
              </w:rPr>
            </w:pPr>
            <w:r w:rsidRPr="00B50C2F">
              <w:rPr>
                <w:rFonts w:asciiTheme="minorHAnsi" w:hAnsiTheme="minorHAnsi"/>
              </w:rPr>
              <w:t>Percent</w:t>
            </w:r>
          </w:p>
        </w:tc>
        <w:tc>
          <w:tcPr>
            <w:tcW w:w="6231" w:type="dxa"/>
          </w:tcPr>
          <w:p w14:paraId="55658A06" w14:textId="77777777" w:rsidR="00ED014E" w:rsidRPr="00B50C2F" w:rsidRDefault="00ED014E" w:rsidP="00071E7F">
            <w:pPr>
              <w:spacing w:after="120"/>
              <w:rPr>
                <w:rFonts w:asciiTheme="minorHAnsi" w:hAnsiTheme="minorHAnsi"/>
              </w:rPr>
            </w:pPr>
            <w:r w:rsidRPr="00B50C2F">
              <w:rPr>
                <w:rFonts w:asciiTheme="minorHAnsi" w:hAnsiTheme="minorHAnsi"/>
              </w:rPr>
              <w:t xml:space="preserve">DISAGGREGATE BY: </w:t>
            </w:r>
          </w:p>
          <w:p w14:paraId="336CF3A1" w14:textId="77777777" w:rsidR="00ED014E" w:rsidRPr="00B50C2F" w:rsidRDefault="00ED014E" w:rsidP="00071E7F">
            <w:pPr>
              <w:spacing w:after="120"/>
              <w:rPr>
                <w:rFonts w:asciiTheme="minorHAnsi" w:hAnsiTheme="minorHAnsi"/>
              </w:rPr>
            </w:pPr>
            <w:r w:rsidRPr="00B50C2F">
              <w:rPr>
                <w:rFonts w:asciiTheme="minorHAnsi" w:hAnsiTheme="minorHAnsi"/>
              </w:rPr>
              <w:t>N/A</w:t>
            </w:r>
          </w:p>
          <w:p w14:paraId="75CB2D18" w14:textId="77777777" w:rsidR="00ED014E" w:rsidRPr="00B50C2F" w:rsidRDefault="00ED014E" w:rsidP="00071E7F">
            <w:pPr>
              <w:spacing w:after="120"/>
              <w:rPr>
                <w:rFonts w:asciiTheme="minorHAnsi" w:hAnsiTheme="minorHAnsi"/>
                <w:i/>
              </w:rPr>
            </w:pPr>
          </w:p>
        </w:tc>
      </w:tr>
      <w:tr w:rsidR="00ED014E" w:rsidRPr="00B50C2F" w14:paraId="36D5B477" w14:textId="77777777" w:rsidTr="00071E7F">
        <w:trPr>
          <w:gridAfter w:val="1"/>
          <w:wAfter w:w="15" w:type="dxa"/>
          <w:trHeight w:val="786"/>
        </w:trPr>
        <w:tc>
          <w:tcPr>
            <w:tcW w:w="2785" w:type="dxa"/>
            <w:tcBorders>
              <w:bottom w:val="single" w:sz="4" w:space="0" w:color="000000"/>
            </w:tcBorders>
          </w:tcPr>
          <w:p w14:paraId="750E2D58" w14:textId="77777777" w:rsidR="00ED014E" w:rsidRPr="00B50C2F" w:rsidRDefault="00ED014E" w:rsidP="00071E7F">
            <w:pPr>
              <w:spacing w:after="120"/>
              <w:rPr>
                <w:rFonts w:asciiTheme="minorHAnsi" w:hAnsiTheme="minorHAnsi"/>
              </w:rPr>
            </w:pPr>
            <w:r w:rsidRPr="00B50C2F">
              <w:rPr>
                <w:rFonts w:asciiTheme="minorHAnsi" w:hAnsiTheme="minorHAnsi"/>
              </w:rPr>
              <w:t xml:space="preserve">TYPE: </w:t>
            </w:r>
          </w:p>
          <w:p w14:paraId="3BEE8B7F" w14:textId="77777777" w:rsidR="00ED014E" w:rsidRPr="00B50C2F" w:rsidRDefault="00ED014E" w:rsidP="00071E7F">
            <w:pPr>
              <w:spacing w:after="120"/>
              <w:rPr>
                <w:rFonts w:asciiTheme="minorHAnsi" w:hAnsiTheme="minorHAnsi"/>
              </w:rPr>
            </w:pPr>
            <w:r w:rsidRPr="00B50C2F">
              <w:rPr>
                <w:rFonts w:asciiTheme="minorHAnsi" w:hAnsiTheme="minorHAnsi"/>
              </w:rPr>
              <w:t>Outcome</w:t>
            </w:r>
          </w:p>
        </w:tc>
        <w:tc>
          <w:tcPr>
            <w:tcW w:w="6231" w:type="dxa"/>
            <w:tcBorders>
              <w:bottom w:val="single" w:sz="4" w:space="0" w:color="000000"/>
            </w:tcBorders>
          </w:tcPr>
          <w:p w14:paraId="496A4ACC" w14:textId="77777777" w:rsidR="00ED014E" w:rsidRPr="00B50C2F" w:rsidRDefault="00ED014E" w:rsidP="00071E7F">
            <w:pPr>
              <w:spacing w:after="120"/>
              <w:rPr>
                <w:rFonts w:asciiTheme="minorHAnsi" w:hAnsiTheme="minorHAnsi"/>
              </w:rPr>
            </w:pPr>
            <w:r w:rsidRPr="00B50C2F">
              <w:rPr>
                <w:rFonts w:asciiTheme="minorHAnsi" w:hAnsiTheme="minorHAnsi"/>
              </w:rPr>
              <w:t xml:space="preserve">DIRECTION OF CHANGE: </w:t>
            </w:r>
          </w:p>
          <w:p w14:paraId="0DC44EC7" w14:textId="77777777" w:rsidR="00ED014E" w:rsidRPr="00B50C2F" w:rsidRDefault="00ED014E" w:rsidP="00071E7F">
            <w:pPr>
              <w:spacing w:after="120"/>
              <w:rPr>
                <w:rFonts w:asciiTheme="minorHAnsi" w:hAnsiTheme="minorHAnsi"/>
              </w:rPr>
            </w:pPr>
            <w:r w:rsidRPr="00B50C2F">
              <w:rPr>
                <w:rFonts w:asciiTheme="minorHAnsi" w:hAnsiTheme="minorHAnsi"/>
              </w:rPr>
              <w:t>Lower is better</w:t>
            </w:r>
          </w:p>
          <w:p w14:paraId="3F0ED387" w14:textId="77777777" w:rsidR="00ED014E" w:rsidRPr="00B50C2F" w:rsidRDefault="00ED014E" w:rsidP="00071E7F">
            <w:pPr>
              <w:spacing w:after="120"/>
              <w:rPr>
                <w:rFonts w:asciiTheme="minorHAnsi" w:hAnsiTheme="minorHAnsi"/>
              </w:rPr>
            </w:pPr>
          </w:p>
        </w:tc>
      </w:tr>
      <w:tr w:rsidR="00ED014E" w:rsidRPr="00B50C2F" w14:paraId="21BDF825" w14:textId="77777777" w:rsidTr="00071E7F">
        <w:trPr>
          <w:gridAfter w:val="1"/>
          <w:wAfter w:w="15" w:type="dxa"/>
          <w:trHeight w:val="288"/>
        </w:trPr>
        <w:tc>
          <w:tcPr>
            <w:tcW w:w="9016" w:type="dxa"/>
            <w:gridSpan w:val="2"/>
            <w:shd w:val="clear" w:color="auto" w:fill="DEDFDD"/>
          </w:tcPr>
          <w:p w14:paraId="3F790B94" w14:textId="77777777" w:rsidR="00ED014E" w:rsidRPr="00B50C2F" w:rsidRDefault="00ED014E" w:rsidP="00071E7F">
            <w:pPr>
              <w:spacing w:before="120" w:after="120"/>
              <w:rPr>
                <w:rFonts w:asciiTheme="minorHAnsi" w:hAnsiTheme="minorHAnsi"/>
              </w:rPr>
            </w:pPr>
            <w:r w:rsidRPr="00B50C2F">
              <w:rPr>
                <w:rFonts w:asciiTheme="minorHAnsi" w:hAnsiTheme="minorHAnsi"/>
              </w:rPr>
              <w:t>MEASUREMENT NOTES</w:t>
            </w:r>
          </w:p>
        </w:tc>
      </w:tr>
      <w:tr w:rsidR="00ED014E" w:rsidRPr="00B50C2F" w14:paraId="4ABDB219" w14:textId="77777777" w:rsidTr="00071E7F">
        <w:trPr>
          <w:gridAfter w:val="1"/>
          <w:wAfter w:w="15" w:type="dxa"/>
          <w:trHeight w:val="615"/>
        </w:trPr>
        <w:tc>
          <w:tcPr>
            <w:tcW w:w="2785" w:type="dxa"/>
          </w:tcPr>
          <w:p w14:paraId="0FE572F2" w14:textId="77777777" w:rsidR="00ED014E" w:rsidRPr="00B50C2F" w:rsidRDefault="00ED014E" w:rsidP="00071E7F">
            <w:pPr>
              <w:spacing w:after="180"/>
              <w:rPr>
                <w:rFonts w:asciiTheme="minorHAnsi" w:hAnsiTheme="minorHAnsi"/>
              </w:rPr>
            </w:pPr>
            <w:r w:rsidRPr="00B50C2F">
              <w:rPr>
                <w:rFonts w:asciiTheme="minorHAnsi" w:hAnsiTheme="minorHAnsi"/>
              </w:rPr>
              <w:t>INTENDED RESPONDENT:</w:t>
            </w:r>
          </w:p>
        </w:tc>
        <w:tc>
          <w:tcPr>
            <w:tcW w:w="6231" w:type="dxa"/>
          </w:tcPr>
          <w:p w14:paraId="707756AC" w14:textId="77777777" w:rsidR="00ED014E" w:rsidRPr="00B50C2F" w:rsidRDefault="00ED014E" w:rsidP="00071E7F">
            <w:pPr>
              <w:spacing w:after="180"/>
              <w:rPr>
                <w:rFonts w:asciiTheme="minorHAnsi" w:hAnsiTheme="minorHAnsi"/>
              </w:rPr>
            </w:pPr>
            <w:r w:rsidRPr="00B50C2F">
              <w:rPr>
                <w:rFonts w:asciiTheme="minorHAnsi" w:hAnsiTheme="minorHAnsi"/>
              </w:rPr>
              <w:t xml:space="preserve">Primary adult decision-maker for the household, who would be most knowledgeable about overall household management. </w:t>
            </w:r>
          </w:p>
          <w:p w14:paraId="2D44FD7F" w14:textId="77777777" w:rsidR="00ED014E" w:rsidRPr="00B50C2F" w:rsidRDefault="00ED014E" w:rsidP="00071E7F">
            <w:pPr>
              <w:spacing w:after="180"/>
              <w:rPr>
                <w:rFonts w:asciiTheme="minorHAnsi" w:hAnsiTheme="minorHAnsi"/>
              </w:rPr>
            </w:pPr>
          </w:p>
        </w:tc>
      </w:tr>
      <w:tr w:rsidR="00ED014E" w:rsidRPr="00B50C2F" w14:paraId="72E82976" w14:textId="77777777" w:rsidTr="00071E7F">
        <w:trPr>
          <w:gridAfter w:val="1"/>
          <w:wAfter w:w="15" w:type="dxa"/>
          <w:trHeight w:val="288"/>
        </w:trPr>
        <w:tc>
          <w:tcPr>
            <w:tcW w:w="9016" w:type="dxa"/>
            <w:gridSpan w:val="2"/>
            <w:shd w:val="clear" w:color="auto" w:fill="DEDFDD"/>
          </w:tcPr>
          <w:p w14:paraId="6A66556D" w14:textId="77777777" w:rsidR="00ED014E" w:rsidRPr="00B50C2F" w:rsidRDefault="00ED014E" w:rsidP="00071E7F">
            <w:pPr>
              <w:spacing w:before="120" w:after="120"/>
              <w:rPr>
                <w:rFonts w:asciiTheme="minorHAnsi" w:hAnsiTheme="minorHAnsi"/>
              </w:rPr>
            </w:pPr>
            <w:r w:rsidRPr="00B50C2F">
              <w:rPr>
                <w:rFonts w:asciiTheme="minorHAnsi" w:hAnsiTheme="minorHAnsi"/>
              </w:rPr>
              <w:lastRenderedPageBreak/>
              <w:t>REPORTING NOTES</w:t>
            </w:r>
          </w:p>
        </w:tc>
      </w:tr>
      <w:tr w:rsidR="00ED014E" w:rsidRPr="00B50C2F" w14:paraId="359A4C4B" w14:textId="77777777" w:rsidTr="00071E7F">
        <w:trPr>
          <w:gridAfter w:val="1"/>
          <w:wAfter w:w="15" w:type="dxa"/>
          <w:trHeight w:val="1579"/>
        </w:trPr>
        <w:tc>
          <w:tcPr>
            <w:tcW w:w="9016" w:type="dxa"/>
            <w:gridSpan w:val="2"/>
          </w:tcPr>
          <w:p w14:paraId="4F8B7F2A" w14:textId="77777777" w:rsidR="00ED014E" w:rsidRPr="00B50C2F" w:rsidRDefault="00ED014E" w:rsidP="00071E7F">
            <w:pPr>
              <w:spacing w:after="120"/>
              <w:rPr>
                <w:rFonts w:asciiTheme="minorHAnsi" w:hAnsiTheme="minorHAnsi"/>
              </w:rPr>
            </w:pPr>
            <w:r w:rsidRPr="00B50C2F">
              <w:rPr>
                <w:rFonts w:asciiTheme="minorHAnsi" w:hAnsiTheme="minorHAnsi"/>
              </w:rPr>
              <w:t>In addition to reporting the percent value, the number of participant households of the activity must be reported, to allow a weighted average percent to be calculated across HEARTH activities for reporting. Additionally, activities should report on the total sample size (including any disaggregation for participant households vs. comparison/control households if an evaluation is being conducted).</w:t>
            </w:r>
          </w:p>
        </w:tc>
      </w:tr>
    </w:tbl>
    <w:p w14:paraId="7B6DB182" w14:textId="77777777" w:rsidR="00ED014E" w:rsidRPr="00B50C2F" w:rsidRDefault="00ED014E" w:rsidP="00ED014E">
      <w:pPr>
        <w:rPr>
          <w:rFonts w:asciiTheme="minorHAnsi" w:hAnsiTheme="minorHAnsi"/>
        </w:rPr>
        <w:sectPr w:rsidR="00ED014E" w:rsidRPr="00B50C2F" w:rsidSect="00EF5F3C">
          <w:pgSz w:w="12240" w:h="15840"/>
          <w:pgMar w:top="1440" w:right="1440" w:bottom="1440" w:left="1440" w:header="720" w:footer="720" w:gutter="0"/>
          <w:cols w:space="720"/>
        </w:sectPr>
      </w:pPr>
    </w:p>
    <w:tbl>
      <w:tblPr>
        <w:tblW w:w="9031" w:type="dxa"/>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000" w:firstRow="0" w:lastRow="0" w:firstColumn="0" w:lastColumn="0" w:noHBand="0" w:noVBand="0"/>
      </w:tblPr>
      <w:tblGrid>
        <w:gridCol w:w="2751"/>
        <w:gridCol w:w="6280"/>
      </w:tblGrid>
      <w:tr w:rsidR="00ED014E" w:rsidRPr="00B50C2F" w14:paraId="3BD0B785" w14:textId="77777777" w:rsidTr="00071E7F">
        <w:trPr>
          <w:trHeight w:val="561"/>
          <w:tblHeader/>
        </w:trPr>
        <w:tc>
          <w:tcPr>
            <w:tcW w:w="9031" w:type="dxa"/>
            <w:gridSpan w:val="2"/>
            <w:shd w:val="clear" w:color="auto" w:fill="002F6C"/>
          </w:tcPr>
          <w:p w14:paraId="3A3FC761" w14:textId="77777777" w:rsidR="00ED014E" w:rsidRPr="00B50C2F" w:rsidRDefault="00ED014E" w:rsidP="00071E7F">
            <w:pPr>
              <w:spacing w:after="0"/>
              <w:rPr>
                <w:rFonts w:asciiTheme="minorHAnsi" w:hAnsiTheme="minorHAnsi"/>
                <w:b/>
                <w:color w:val="000000"/>
              </w:rPr>
            </w:pPr>
            <w:bookmarkStart w:id="25" w:name="bookmark=id.2w5ecyt" w:colFirst="0" w:colLast="0"/>
            <w:bookmarkEnd w:id="25"/>
            <w:r w:rsidRPr="00B50C2F">
              <w:rPr>
                <w:rFonts w:asciiTheme="minorHAnsi" w:hAnsiTheme="minorHAnsi"/>
                <w:b/>
              </w:rPr>
              <w:lastRenderedPageBreak/>
              <w:t xml:space="preserve">INDICATOR TITLE: Percent of households participating in micro-finance, lending programs and/or banking </w:t>
            </w:r>
          </w:p>
        </w:tc>
      </w:tr>
      <w:tr w:rsidR="00ED014E" w:rsidRPr="00B50C2F" w14:paraId="0DD63988" w14:textId="77777777" w:rsidTr="00071E7F">
        <w:trPr>
          <w:trHeight w:val="1326"/>
        </w:trPr>
        <w:tc>
          <w:tcPr>
            <w:tcW w:w="9031" w:type="dxa"/>
            <w:gridSpan w:val="2"/>
          </w:tcPr>
          <w:p w14:paraId="511D36A4" w14:textId="77777777" w:rsidR="00ED014E" w:rsidRPr="00B50C2F" w:rsidRDefault="00ED014E" w:rsidP="00071E7F">
            <w:pPr>
              <w:rPr>
                <w:rFonts w:asciiTheme="minorHAnsi" w:hAnsiTheme="minorHAnsi"/>
              </w:rPr>
            </w:pPr>
            <w:r w:rsidRPr="00B50C2F">
              <w:rPr>
                <w:rFonts w:asciiTheme="minorHAnsi" w:hAnsiTheme="minorHAnsi"/>
              </w:rPr>
              <w:t>DEFINITION:</w:t>
            </w:r>
          </w:p>
          <w:p w14:paraId="68C61CCC" w14:textId="77777777" w:rsidR="00ED014E" w:rsidRPr="00B50C2F" w:rsidRDefault="00ED014E" w:rsidP="00071E7F">
            <w:pPr>
              <w:rPr>
                <w:rFonts w:asciiTheme="minorHAnsi" w:hAnsiTheme="minorHAnsi"/>
                <w:vertAlign w:val="superscript"/>
              </w:rPr>
            </w:pPr>
            <w:r w:rsidRPr="00B50C2F">
              <w:rPr>
                <w:rFonts w:asciiTheme="minorHAnsi" w:hAnsiTheme="minorHAnsi"/>
              </w:rPr>
              <w:t>This indicator tracks financial inclusion through individual participation in microfinance, lending programs and/or banking. The benefits of financial inclusion include lower transaction costs of day-to-day interactions (e.g., Mobile Money) and access to credit to invest in Micro, Small and Medium enterprises. According to the World Bank, microfinance can be defined as approaches to provide financial services to households and microenterprises that are excluded from traditional commercial banking services. Typically, these are low-income, self-employed, or informally employed individuals, with no formalized ownership titles on their assets and with limited formal identification papers.</w:t>
            </w:r>
            <w:r w:rsidRPr="00B50C2F">
              <w:rPr>
                <w:rFonts w:asciiTheme="minorHAnsi" w:hAnsiTheme="minorHAnsi"/>
                <w:vertAlign w:val="superscript"/>
              </w:rPr>
              <w:footnoteReference w:id="13"/>
            </w:r>
          </w:p>
          <w:p w14:paraId="134BBB8B" w14:textId="77777777" w:rsidR="00ED014E" w:rsidRPr="00B50C2F" w:rsidRDefault="00ED014E" w:rsidP="00071E7F">
            <w:pPr>
              <w:rPr>
                <w:rFonts w:asciiTheme="minorHAnsi" w:hAnsiTheme="minorHAnsi"/>
              </w:rPr>
            </w:pPr>
            <w:r w:rsidRPr="00B50C2F">
              <w:rPr>
                <w:rFonts w:asciiTheme="minorHAnsi" w:hAnsiTheme="minorHAnsi"/>
              </w:rPr>
              <w:t xml:space="preserve">It should be noted that the indicator captures the numbers who are participating but does not say anything about the intensity of participation. </w:t>
            </w:r>
          </w:p>
          <w:p w14:paraId="5B667985" w14:textId="77777777" w:rsidR="00ED014E" w:rsidRPr="00B50C2F" w:rsidRDefault="00ED014E" w:rsidP="00071E7F">
            <w:pPr>
              <w:rPr>
                <w:rFonts w:asciiTheme="minorHAnsi" w:hAnsiTheme="minorHAnsi"/>
              </w:rPr>
            </w:pPr>
            <w:r w:rsidRPr="00B50C2F">
              <w:rPr>
                <w:rFonts w:asciiTheme="minorHAnsi" w:hAnsiTheme="minorHAnsi"/>
              </w:rPr>
              <w:t>A household is participating in micro-finance, lending programs, and/or banking if any member of the household took a loan or borrowed cash or in-kind from, or has an account with, a micro-finance or lending program in the past 12 months.</w:t>
            </w:r>
          </w:p>
          <w:p w14:paraId="0550BBBC" w14:textId="77777777" w:rsidR="00ED014E" w:rsidRPr="00B50C2F" w:rsidRDefault="00ED014E" w:rsidP="00ED014E">
            <w:pPr>
              <w:numPr>
                <w:ilvl w:val="0"/>
                <w:numId w:val="11"/>
              </w:numPr>
              <w:pBdr>
                <w:top w:val="nil"/>
                <w:left w:val="nil"/>
                <w:bottom w:val="nil"/>
                <w:right w:val="nil"/>
                <w:between w:val="nil"/>
              </w:pBdr>
              <w:spacing w:before="160" w:after="0" w:line="240" w:lineRule="auto"/>
              <w:rPr>
                <w:rFonts w:asciiTheme="minorHAnsi" w:hAnsiTheme="minorHAnsi"/>
              </w:rPr>
            </w:pPr>
            <w:r w:rsidRPr="00B50C2F">
              <w:rPr>
                <w:rFonts w:asciiTheme="minorHAnsi" w:eastAsia="Gill Sans" w:hAnsiTheme="minorHAnsi" w:cs="Gill Sans"/>
                <w:color w:val="000000"/>
              </w:rPr>
              <w:t xml:space="preserve">The numerator is the sample-weighted number of households that participated in micro-finance, lending programs and/or banking in the previous 12 months </w:t>
            </w:r>
          </w:p>
          <w:p w14:paraId="053EDBAA" w14:textId="77777777" w:rsidR="00ED014E" w:rsidRPr="00B50C2F" w:rsidRDefault="00ED014E" w:rsidP="00ED014E">
            <w:pPr>
              <w:numPr>
                <w:ilvl w:val="0"/>
                <w:numId w:val="11"/>
              </w:numPr>
              <w:pBdr>
                <w:top w:val="nil"/>
                <w:left w:val="nil"/>
                <w:bottom w:val="nil"/>
                <w:right w:val="nil"/>
                <w:between w:val="nil"/>
              </w:pBdr>
              <w:spacing w:line="240" w:lineRule="auto"/>
              <w:rPr>
                <w:rFonts w:asciiTheme="minorHAnsi" w:hAnsiTheme="minorHAnsi"/>
              </w:rPr>
            </w:pPr>
            <w:r w:rsidRPr="00B50C2F">
              <w:rPr>
                <w:rFonts w:asciiTheme="minorHAnsi" w:eastAsia="Gill Sans" w:hAnsiTheme="minorHAnsi" w:cs="Gill Sans"/>
                <w:color w:val="000000"/>
              </w:rPr>
              <w:t>The denominator is the sample-weighted number of households with micro-finance, lending program and/or banking participation data</w:t>
            </w:r>
          </w:p>
          <w:p w14:paraId="577DBD5B" w14:textId="2321F08E" w:rsidR="00ED014E" w:rsidRPr="00B50C2F" w:rsidRDefault="00ED014E" w:rsidP="00071E7F">
            <w:pPr>
              <w:rPr>
                <w:rFonts w:asciiTheme="minorHAnsi" w:hAnsiTheme="minorHAnsi"/>
              </w:rPr>
            </w:pPr>
            <w:r w:rsidRPr="00B50C2F">
              <w:rPr>
                <w:rFonts w:asciiTheme="minorHAnsi" w:hAnsiTheme="minorHAnsi"/>
              </w:rPr>
              <w:t xml:space="preserve">This indicator will be disaggregated by product type (credit, including microfinance, or banking) and type of institution (formal or informal). Formal institutions include </w:t>
            </w:r>
            <w:r w:rsidR="00647F44" w:rsidRPr="00B50C2F">
              <w:rPr>
                <w:rFonts w:asciiTheme="minorHAnsi" w:hAnsiTheme="minorHAnsi"/>
              </w:rPr>
              <w:t>Non-Government Organization (</w:t>
            </w:r>
            <w:r w:rsidRPr="00B50C2F">
              <w:rPr>
                <w:rFonts w:asciiTheme="minorHAnsi" w:hAnsiTheme="minorHAnsi"/>
              </w:rPr>
              <w:t>NGO</w:t>
            </w:r>
            <w:r w:rsidR="00647F44" w:rsidRPr="00B50C2F">
              <w:rPr>
                <w:rFonts w:asciiTheme="minorHAnsi" w:hAnsiTheme="minorHAnsi"/>
              </w:rPr>
              <w:t>)</w:t>
            </w:r>
            <w:r w:rsidRPr="00B50C2F">
              <w:rPr>
                <w:rFonts w:asciiTheme="minorHAnsi" w:hAnsiTheme="minorHAnsi"/>
              </w:rPr>
              <w:t>, formal lender (bank/financial institution), and government lender, and informal institutions include informal lender, group-based microfinance (although this may need to be assessed in each local context), friends or relatives, and informal credit/savings groups.</w:t>
            </w:r>
          </w:p>
        </w:tc>
      </w:tr>
      <w:tr w:rsidR="00ED014E" w:rsidRPr="00B50C2F" w14:paraId="1FB7B62F" w14:textId="77777777" w:rsidTr="00071E7F">
        <w:trPr>
          <w:trHeight w:val="1326"/>
        </w:trPr>
        <w:tc>
          <w:tcPr>
            <w:tcW w:w="9031" w:type="dxa"/>
            <w:gridSpan w:val="2"/>
          </w:tcPr>
          <w:p w14:paraId="6E69D857" w14:textId="77777777" w:rsidR="00ED014E" w:rsidRPr="00B50C2F" w:rsidRDefault="00ED014E" w:rsidP="00071E7F">
            <w:pPr>
              <w:rPr>
                <w:rFonts w:asciiTheme="minorHAnsi" w:hAnsiTheme="minorHAnsi"/>
              </w:rPr>
            </w:pPr>
            <w:r w:rsidRPr="00B50C2F">
              <w:rPr>
                <w:rFonts w:asciiTheme="minorHAnsi" w:hAnsiTheme="minorHAnsi"/>
              </w:rPr>
              <w:t xml:space="preserve">DATA COLLECTION: </w:t>
            </w:r>
          </w:p>
          <w:p w14:paraId="6D9D7BD0" w14:textId="77777777" w:rsidR="00ED014E" w:rsidRPr="00B50C2F" w:rsidRDefault="00ED014E" w:rsidP="00071E7F">
            <w:pPr>
              <w:rPr>
                <w:rFonts w:asciiTheme="minorHAnsi" w:hAnsiTheme="minorHAnsi"/>
              </w:rPr>
            </w:pPr>
            <w:r w:rsidRPr="00B50C2F">
              <w:rPr>
                <w:rFonts w:asciiTheme="minorHAnsi" w:hAnsiTheme="minorHAnsi"/>
              </w:rPr>
              <w:t>Data on increased financial inclusion is measured by collecting data on (1) those who took out a loan or borrowed cash/in-kind and (2) those with formal banking institution accounts. Additional information is also collected on financial access, for those who have not directly taken a loan or borrowed cash/in-kind but who would have been able to if they wanted.</w:t>
            </w:r>
          </w:p>
          <w:p w14:paraId="4DA3BE4B" w14:textId="77777777" w:rsidR="00ED014E" w:rsidRPr="00B50C2F" w:rsidRDefault="00ED014E" w:rsidP="00071E7F">
            <w:pPr>
              <w:rPr>
                <w:rFonts w:asciiTheme="minorHAnsi" w:hAnsiTheme="minorHAnsi"/>
              </w:rPr>
            </w:pPr>
            <w:r w:rsidRPr="00B50C2F">
              <w:rPr>
                <w:rFonts w:asciiTheme="minorHAnsi" w:hAnsiTheme="minorHAnsi"/>
              </w:rPr>
              <w:t xml:space="preserve">Participation with credit is measured by asking if anyone in the household has taken any loans or borrowed cash/in-kind from 7 different sources in the past 12 months: NGO, informal lender, formal lender (bank/financial institution), friends or relatives, group-based microfinance or lending, </w:t>
            </w:r>
            <w:r w:rsidRPr="00B50C2F">
              <w:rPr>
                <w:rFonts w:asciiTheme="minorHAnsi" w:hAnsiTheme="minorHAnsi"/>
              </w:rPr>
              <w:lastRenderedPageBreak/>
              <w:t>informal credit/savings groups, or government lender. This is followed up by a question regarding whether anyone in your household would be able to take a loan or borrow cash/in-kind if they wanted to.</w:t>
            </w:r>
            <w:r w:rsidRPr="00B50C2F">
              <w:rPr>
                <w:rFonts w:asciiTheme="minorHAnsi" w:hAnsiTheme="minorHAnsi"/>
                <w:vertAlign w:val="superscript"/>
              </w:rPr>
              <w:footnoteReference w:id="14"/>
            </w:r>
            <w:r w:rsidRPr="00B50C2F">
              <w:rPr>
                <w:rFonts w:asciiTheme="minorHAnsi" w:hAnsiTheme="minorHAnsi"/>
              </w:rPr>
              <w:t xml:space="preserve"> </w:t>
            </w:r>
          </w:p>
          <w:p w14:paraId="1DC81419" w14:textId="77777777" w:rsidR="00ED014E" w:rsidRPr="00B50C2F" w:rsidRDefault="00ED014E" w:rsidP="00071E7F">
            <w:pPr>
              <w:rPr>
                <w:rFonts w:asciiTheme="minorHAnsi" w:hAnsiTheme="minorHAnsi"/>
              </w:rPr>
            </w:pPr>
            <w:r w:rsidRPr="00B50C2F">
              <w:rPr>
                <w:rFonts w:asciiTheme="minorHAnsi" w:hAnsiTheme="minorHAnsi"/>
              </w:rPr>
              <w:t>Finally, access to banking is measured by asking if any member of the household has an account in a bank or other financial institution, and whether any member of the household uses a mobile phone to make financial transactions such as sending or receiving money, paying bills, purchasing goods or services, or receiving wages.</w:t>
            </w:r>
            <w:r w:rsidRPr="00B50C2F">
              <w:rPr>
                <w:rFonts w:asciiTheme="minorHAnsi" w:hAnsiTheme="minorHAnsi"/>
                <w:vertAlign w:val="superscript"/>
              </w:rPr>
              <w:footnoteReference w:id="15"/>
            </w:r>
            <w:r w:rsidRPr="00B50C2F">
              <w:rPr>
                <w:rFonts w:asciiTheme="minorHAnsi" w:hAnsiTheme="minorHAnsi"/>
                <w:color w:val="6C6463"/>
                <w:sz w:val="20"/>
                <w:szCs w:val="20"/>
              </w:rPr>
              <w:t xml:space="preserve"> </w:t>
            </w:r>
          </w:p>
        </w:tc>
      </w:tr>
      <w:tr w:rsidR="00ED014E" w:rsidRPr="00B50C2F" w14:paraId="4FFFAD99" w14:textId="77777777" w:rsidTr="00071E7F">
        <w:trPr>
          <w:trHeight w:val="669"/>
        </w:trPr>
        <w:tc>
          <w:tcPr>
            <w:tcW w:w="9031" w:type="dxa"/>
            <w:gridSpan w:val="2"/>
          </w:tcPr>
          <w:p w14:paraId="65D4FE44" w14:textId="77777777" w:rsidR="00ED014E" w:rsidRPr="00B50C2F" w:rsidRDefault="00ED014E" w:rsidP="00071E7F">
            <w:pPr>
              <w:rPr>
                <w:rFonts w:asciiTheme="minorHAnsi" w:hAnsiTheme="minorHAnsi"/>
              </w:rPr>
            </w:pPr>
            <w:r w:rsidRPr="00B50C2F">
              <w:rPr>
                <w:rFonts w:asciiTheme="minorHAnsi" w:hAnsiTheme="minorHAnsi"/>
              </w:rPr>
              <w:lastRenderedPageBreak/>
              <w:t xml:space="preserve">ADAPTATION: </w:t>
            </w:r>
          </w:p>
          <w:p w14:paraId="372B64B3" w14:textId="77777777" w:rsidR="00ED014E" w:rsidRPr="00B50C2F" w:rsidRDefault="00ED014E" w:rsidP="00071E7F">
            <w:pPr>
              <w:rPr>
                <w:rFonts w:asciiTheme="minorHAnsi" w:hAnsiTheme="minorHAnsi"/>
              </w:rPr>
            </w:pPr>
            <w:r w:rsidRPr="00B50C2F">
              <w:rPr>
                <w:rFonts w:asciiTheme="minorHAnsi" w:hAnsiTheme="minorHAnsi"/>
              </w:rPr>
              <w:t xml:space="preserve">To adapt to the country context, locally relevant examples may be given within lending source categories. Additionally, not all types of lending sources might be available in all areas (e.g., government lenders) and therefore sources should only be included, as relevant. </w:t>
            </w:r>
          </w:p>
          <w:p w14:paraId="16C2F362" w14:textId="77777777" w:rsidR="00ED014E" w:rsidRPr="00B50C2F" w:rsidRDefault="00ED014E" w:rsidP="00071E7F">
            <w:pPr>
              <w:rPr>
                <w:rFonts w:asciiTheme="minorHAnsi" w:hAnsiTheme="minorHAnsi"/>
              </w:rPr>
            </w:pPr>
            <w:r w:rsidRPr="00B50C2F">
              <w:rPr>
                <w:rFonts w:asciiTheme="minorHAnsi" w:hAnsiTheme="minorHAnsi"/>
              </w:rPr>
              <w:t>If of interest or directly relevant for HEARTH activities, teams may include similar questions (not to be aggregated into this indicator) on savings.</w:t>
            </w:r>
          </w:p>
        </w:tc>
      </w:tr>
      <w:tr w:rsidR="00ED014E" w:rsidRPr="00B50C2F" w14:paraId="01F8A2E0" w14:textId="77777777" w:rsidTr="00071E7F">
        <w:trPr>
          <w:trHeight w:val="669"/>
        </w:trPr>
        <w:tc>
          <w:tcPr>
            <w:tcW w:w="2751" w:type="dxa"/>
          </w:tcPr>
          <w:p w14:paraId="1EB3ACDD" w14:textId="77777777" w:rsidR="00ED014E" w:rsidRPr="00B50C2F" w:rsidRDefault="00ED014E" w:rsidP="00071E7F">
            <w:pPr>
              <w:rPr>
                <w:rFonts w:asciiTheme="minorHAnsi" w:hAnsiTheme="minorHAnsi"/>
              </w:rPr>
            </w:pPr>
            <w:r w:rsidRPr="00B50C2F">
              <w:rPr>
                <w:rFonts w:asciiTheme="minorHAnsi" w:hAnsiTheme="minorHAnsi"/>
              </w:rPr>
              <w:t xml:space="preserve">UNIT: </w:t>
            </w:r>
          </w:p>
          <w:p w14:paraId="6DFB4B70" w14:textId="77777777" w:rsidR="00ED014E" w:rsidRPr="00B50C2F" w:rsidRDefault="00ED014E" w:rsidP="00071E7F">
            <w:pPr>
              <w:rPr>
                <w:rFonts w:asciiTheme="minorHAnsi" w:hAnsiTheme="minorHAnsi"/>
              </w:rPr>
            </w:pPr>
            <w:r w:rsidRPr="00B50C2F">
              <w:rPr>
                <w:rFonts w:asciiTheme="minorHAnsi" w:hAnsiTheme="minorHAnsi"/>
              </w:rPr>
              <w:t>Percent</w:t>
            </w:r>
          </w:p>
          <w:p w14:paraId="5C89E785" w14:textId="77777777" w:rsidR="00ED014E" w:rsidRPr="00B50C2F" w:rsidRDefault="00ED014E" w:rsidP="00071E7F">
            <w:pPr>
              <w:rPr>
                <w:rFonts w:asciiTheme="minorHAnsi" w:hAnsiTheme="minorHAnsi"/>
              </w:rPr>
            </w:pPr>
          </w:p>
        </w:tc>
        <w:tc>
          <w:tcPr>
            <w:tcW w:w="6280" w:type="dxa"/>
          </w:tcPr>
          <w:p w14:paraId="3183BF72" w14:textId="77777777" w:rsidR="00ED014E" w:rsidRPr="00B50C2F" w:rsidRDefault="00ED014E" w:rsidP="00071E7F">
            <w:pPr>
              <w:rPr>
                <w:rFonts w:asciiTheme="minorHAnsi" w:hAnsiTheme="minorHAnsi"/>
              </w:rPr>
            </w:pPr>
            <w:r w:rsidRPr="00B50C2F">
              <w:rPr>
                <w:rFonts w:asciiTheme="minorHAnsi" w:hAnsiTheme="minorHAnsi"/>
              </w:rPr>
              <w:t>DISAGGREGATE BY:</w:t>
            </w:r>
          </w:p>
          <w:p w14:paraId="265441FF" w14:textId="77777777" w:rsidR="00ED014E" w:rsidRPr="00B50C2F" w:rsidRDefault="00ED014E" w:rsidP="00071E7F">
            <w:pPr>
              <w:rPr>
                <w:rFonts w:asciiTheme="minorHAnsi" w:hAnsiTheme="minorHAnsi"/>
              </w:rPr>
            </w:pPr>
            <w:r w:rsidRPr="00B50C2F">
              <w:rPr>
                <w:rFonts w:asciiTheme="minorHAnsi" w:hAnsiTheme="minorHAnsi"/>
              </w:rPr>
              <w:t>Sex of Respondent: Female, Male</w:t>
            </w:r>
          </w:p>
          <w:p w14:paraId="0974955A" w14:textId="77777777" w:rsidR="00ED014E" w:rsidRPr="00B50C2F" w:rsidRDefault="00ED014E" w:rsidP="00071E7F">
            <w:pPr>
              <w:rPr>
                <w:rFonts w:asciiTheme="minorHAnsi" w:hAnsiTheme="minorHAnsi"/>
              </w:rPr>
            </w:pPr>
            <w:r w:rsidRPr="00B50C2F">
              <w:rPr>
                <w:rFonts w:asciiTheme="minorHAnsi" w:hAnsiTheme="minorHAnsi"/>
              </w:rPr>
              <w:t>Product Type: Credit (including microfinance), Banking</w:t>
            </w:r>
          </w:p>
          <w:p w14:paraId="58925CA2" w14:textId="77777777" w:rsidR="00ED014E" w:rsidRPr="00B50C2F" w:rsidRDefault="00ED014E" w:rsidP="00071E7F">
            <w:pPr>
              <w:rPr>
                <w:rFonts w:asciiTheme="minorHAnsi" w:hAnsiTheme="minorHAnsi"/>
              </w:rPr>
            </w:pPr>
            <w:r w:rsidRPr="00B50C2F">
              <w:rPr>
                <w:rFonts w:asciiTheme="minorHAnsi" w:hAnsiTheme="minorHAnsi"/>
              </w:rPr>
              <w:t>Type of Institution: Formal, Informal</w:t>
            </w:r>
          </w:p>
        </w:tc>
      </w:tr>
      <w:tr w:rsidR="00ED014E" w:rsidRPr="00B50C2F" w14:paraId="3DC4899C" w14:textId="77777777" w:rsidTr="00071E7F">
        <w:trPr>
          <w:trHeight w:val="516"/>
        </w:trPr>
        <w:tc>
          <w:tcPr>
            <w:tcW w:w="2751" w:type="dxa"/>
            <w:tcBorders>
              <w:bottom w:val="single" w:sz="4" w:space="0" w:color="000000"/>
            </w:tcBorders>
          </w:tcPr>
          <w:p w14:paraId="3A8D0DB1" w14:textId="77777777" w:rsidR="00ED014E" w:rsidRPr="00B50C2F" w:rsidRDefault="00ED014E" w:rsidP="00071E7F">
            <w:pPr>
              <w:rPr>
                <w:rFonts w:asciiTheme="minorHAnsi" w:hAnsiTheme="minorHAnsi"/>
              </w:rPr>
            </w:pPr>
            <w:r w:rsidRPr="00B50C2F">
              <w:rPr>
                <w:rFonts w:asciiTheme="minorHAnsi" w:hAnsiTheme="minorHAnsi"/>
              </w:rPr>
              <w:t xml:space="preserve">TYPE: </w:t>
            </w:r>
          </w:p>
          <w:p w14:paraId="5053207C" w14:textId="77777777" w:rsidR="00ED014E" w:rsidRPr="00B50C2F" w:rsidRDefault="00ED014E" w:rsidP="00071E7F">
            <w:pPr>
              <w:rPr>
                <w:rFonts w:asciiTheme="minorHAnsi" w:hAnsiTheme="minorHAnsi"/>
              </w:rPr>
            </w:pPr>
            <w:r w:rsidRPr="00B50C2F">
              <w:rPr>
                <w:rFonts w:asciiTheme="minorHAnsi" w:hAnsiTheme="minorHAnsi"/>
              </w:rPr>
              <w:t>Outcome</w:t>
            </w:r>
          </w:p>
        </w:tc>
        <w:tc>
          <w:tcPr>
            <w:tcW w:w="6280" w:type="dxa"/>
            <w:tcBorders>
              <w:bottom w:val="single" w:sz="4" w:space="0" w:color="000000"/>
            </w:tcBorders>
          </w:tcPr>
          <w:p w14:paraId="20121615" w14:textId="77777777" w:rsidR="00ED014E" w:rsidRPr="00B50C2F" w:rsidRDefault="00ED014E" w:rsidP="00071E7F">
            <w:pPr>
              <w:rPr>
                <w:rFonts w:asciiTheme="minorHAnsi" w:hAnsiTheme="minorHAnsi"/>
              </w:rPr>
            </w:pPr>
            <w:r w:rsidRPr="00B50C2F">
              <w:rPr>
                <w:rFonts w:asciiTheme="minorHAnsi" w:hAnsiTheme="minorHAnsi"/>
              </w:rPr>
              <w:t xml:space="preserve">DIRECTION OF CHANGE: </w:t>
            </w:r>
          </w:p>
          <w:p w14:paraId="70E5DFB8" w14:textId="77777777" w:rsidR="00ED014E" w:rsidRPr="00B50C2F" w:rsidRDefault="00ED014E" w:rsidP="00071E7F">
            <w:pPr>
              <w:rPr>
                <w:rFonts w:asciiTheme="minorHAnsi" w:hAnsiTheme="minorHAnsi"/>
              </w:rPr>
            </w:pPr>
            <w:r w:rsidRPr="00B50C2F">
              <w:rPr>
                <w:rFonts w:asciiTheme="minorHAnsi" w:hAnsiTheme="minorHAnsi"/>
              </w:rPr>
              <w:t>Higher is better</w:t>
            </w:r>
          </w:p>
        </w:tc>
      </w:tr>
      <w:tr w:rsidR="00ED014E" w:rsidRPr="00B50C2F" w14:paraId="25436E51" w14:textId="77777777" w:rsidTr="00071E7F">
        <w:trPr>
          <w:trHeight w:val="288"/>
        </w:trPr>
        <w:tc>
          <w:tcPr>
            <w:tcW w:w="9031" w:type="dxa"/>
            <w:gridSpan w:val="2"/>
            <w:shd w:val="clear" w:color="auto" w:fill="DEDFDD"/>
          </w:tcPr>
          <w:p w14:paraId="37DFF193" w14:textId="77777777" w:rsidR="00ED014E" w:rsidRPr="00B50C2F" w:rsidRDefault="00ED014E" w:rsidP="00071E7F">
            <w:pPr>
              <w:spacing w:before="120" w:after="120"/>
              <w:rPr>
                <w:rFonts w:asciiTheme="minorHAnsi" w:hAnsiTheme="minorHAnsi"/>
              </w:rPr>
            </w:pPr>
            <w:r w:rsidRPr="00B50C2F">
              <w:rPr>
                <w:rFonts w:asciiTheme="minorHAnsi" w:hAnsiTheme="minorHAnsi"/>
              </w:rPr>
              <w:t>MEASUREMENT NOTES</w:t>
            </w:r>
          </w:p>
        </w:tc>
      </w:tr>
      <w:tr w:rsidR="00ED014E" w:rsidRPr="00B50C2F" w14:paraId="07052305" w14:textId="77777777" w:rsidTr="00071E7F">
        <w:trPr>
          <w:trHeight w:val="615"/>
        </w:trPr>
        <w:tc>
          <w:tcPr>
            <w:tcW w:w="2751" w:type="dxa"/>
          </w:tcPr>
          <w:p w14:paraId="26EBF211" w14:textId="77777777" w:rsidR="00ED014E" w:rsidRPr="00B50C2F" w:rsidRDefault="00ED014E" w:rsidP="00071E7F">
            <w:pPr>
              <w:rPr>
                <w:rFonts w:asciiTheme="minorHAnsi" w:hAnsiTheme="minorHAnsi"/>
              </w:rPr>
            </w:pPr>
            <w:r w:rsidRPr="00B50C2F">
              <w:rPr>
                <w:rFonts w:asciiTheme="minorHAnsi" w:hAnsiTheme="minorHAnsi"/>
              </w:rPr>
              <w:lastRenderedPageBreak/>
              <w:t>INTENDED RESPONDENT:</w:t>
            </w:r>
          </w:p>
        </w:tc>
        <w:tc>
          <w:tcPr>
            <w:tcW w:w="6280" w:type="dxa"/>
          </w:tcPr>
          <w:p w14:paraId="44B24B72" w14:textId="77777777" w:rsidR="00ED014E" w:rsidRPr="00B50C2F" w:rsidRDefault="00ED014E" w:rsidP="00071E7F">
            <w:pPr>
              <w:rPr>
                <w:rFonts w:asciiTheme="minorHAnsi" w:hAnsiTheme="minorHAnsi"/>
              </w:rPr>
            </w:pPr>
            <w:r w:rsidRPr="00B50C2F">
              <w:rPr>
                <w:rFonts w:asciiTheme="minorHAnsi" w:hAnsiTheme="minorHAnsi"/>
              </w:rPr>
              <w:t>Ideally, this set of questions should be asked both to the primary adult male and female decision-makers in each household. This is because women’s access to finance and credit is a critical pathway for empowerment (and indeed, A-WEAI questions were designed to be asked to men and women).</w:t>
            </w:r>
          </w:p>
        </w:tc>
      </w:tr>
      <w:tr w:rsidR="00ED014E" w:rsidRPr="00B50C2F" w14:paraId="5648CF4F" w14:textId="77777777" w:rsidTr="00071E7F">
        <w:trPr>
          <w:trHeight w:val="288"/>
        </w:trPr>
        <w:tc>
          <w:tcPr>
            <w:tcW w:w="9031" w:type="dxa"/>
            <w:gridSpan w:val="2"/>
            <w:shd w:val="clear" w:color="auto" w:fill="DEDFDD"/>
          </w:tcPr>
          <w:p w14:paraId="6B1D18AF" w14:textId="77777777" w:rsidR="00ED014E" w:rsidRPr="00B50C2F" w:rsidRDefault="00ED014E" w:rsidP="00071E7F">
            <w:pPr>
              <w:spacing w:before="120" w:after="120"/>
              <w:rPr>
                <w:rFonts w:asciiTheme="minorHAnsi" w:hAnsiTheme="minorHAnsi"/>
              </w:rPr>
            </w:pPr>
            <w:r w:rsidRPr="00B50C2F">
              <w:rPr>
                <w:rFonts w:asciiTheme="minorHAnsi" w:hAnsiTheme="minorHAnsi"/>
              </w:rPr>
              <w:t>REPORTING NOTES</w:t>
            </w:r>
          </w:p>
        </w:tc>
      </w:tr>
      <w:tr w:rsidR="00ED014E" w:rsidRPr="00B50C2F" w14:paraId="1EA8B91B" w14:textId="77777777" w:rsidTr="00071E7F">
        <w:trPr>
          <w:trHeight w:val="56"/>
        </w:trPr>
        <w:tc>
          <w:tcPr>
            <w:tcW w:w="9031" w:type="dxa"/>
            <w:gridSpan w:val="2"/>
          </w:tcPr>
          <w:p w14:paraId="4245EC88" w14:textId="77777777" w:rsidR="00ED014E" w:rsidRPr="00B50C2F" w:rsidRDefault="00ED014E" w:rsidP="00071E7F">
            <w:pPr>
              <w:rPr>
                <w:rFonts w:asciiTheme="minorHAnsi" w:hAnsiTheme="minorHAnsi"/>
                <w:i/>
                <w:highlight w:val="yellow"/>
              </w:rPr>
            </w:pPr>
            <w:r w:rsidRPr="00B50C2F">
              <w:rPr>
                <w:rFonts w:asciiTheme="minorHAnsi" w:hAnsiTheme="minorHAnsi"/>
              </w:rPr>
              <w:t xml:space="preserve">In addition to reporting the percent value, the number of participant households of the activity must be reported, to allow a weighted average percent to be calculated across HEARTH activities for reporting. Additionally, activities should report on the total sample size (including any disaggregation for participant households vs. comparison/control households if an evaluation is being conducted). </w:t>
            </w:r>
          </w:p>
          <w:p w14:paraId="0F8FE74A" w14:textId="77777777" w:rsidR="00ED014E" w:rsidRPr="00B50C2F" w:rsidRDefault="00ED014E" w:rsidP="00071E7F">
            <w:pPr>
              <w:rPr>
                <w:rFonts w:asciiTheme="minorHAnsi" w:hAnsiTheme="minorHAnsi"/>
              </w:rPr>
            </w:pPr>
            <w:r w:rsidRPr="00B50C2F">
              <w:rPr>
                <w:rFonts w:asciiTheme="minorHAnsi" w:hAnsiTheme="minorHAnsi"/>
              </w:rPr>
              <w:t>If a household participates in credit programs and formal banking, they should be counted for each of the product type disaggregates, but only once for the sex disaggregates and overall financial inclusion.</w:t>
            </w:r>
          </w:p>
        </w:tc>
      </w:tr>
    </w:tbl>
    <w:p w14:paraId="5A73979B" w14:textId="47E52B59" w:rsidR="00ED014E" w:rsidRPr="00B50C2F" w:rsidRDefault="00ED014E">
      <w:pPr>
        <w:rPr>
          <w:rFonts w:asciiTheme="minorHAnsi" w:hAnsiTheme="minorHAnsi"/>
        </w:rPr>
      </w:pPr>
    </w:p>
    <w:p w14:paraId="3DBCBE9D" w14:textId="0CE9593E" w:rsidR="00786529" w:rsidRPr="00B50C2F" w:rsidRDefault="00786529">
      <w:pPr>
        <w:rPr>
          <w:rFonts w:asciiTheme="minorHAnsi" w:hAnsiTheme="minorHAnsi"/>
        </w:rPr>
      </w:pPr>
    </w:p>
    <w:p w14:paraId="6F114895" w14:textId="051A6AA7" w:rsidR="00786529" w:rsidRPr="00B50C2F" w:rsidRDefault="00786529">
      <w:pPr>
        <w:rPr>
          <w:rFonts w:asciiTheme="minorHAnsi" w:hAnsiTheme="minorHAnsi"/>
        </w:rPr>
      </w:pPr>
    </w:p>
    <w:p w14:paraId="617A3925" w14:textId="28EF2E4A" w:rsidR="00786529" w:rsidRPr="00B50C2F" w:rsidRDefault="00786529">
      <w:pPr>
        <w:rPr>
          <w:rFonts w:asciiTheme="minorHAnsi" w:hAnsiTheme="minorHAnsi"/>
        </w:rPr>
      </w:pPr>
    </w:p>
    <w:p w14:paraId="7ACF8B4B" w14:textId="071FC837" w:rsidR="00786529" w:rsidRPr="00B50C2F" w:rsidRDefault="00786529">
      <w:pPr>
        <w:rPr>
          <w:rFonts w:asciiTheme="minorHAnsi" w:hAnsiTheme="minorHAnsi"/>
        </w:rPr>
      </w:pPr>
    </w:p>
    <w:p w14:paraId="6950A525" w14:textId="55DC5B00" w:rsidR="00786529" w:rsidRPr="00B50C2F" w:rsidRDefault="00786529">
      <w:pPr>
        <w:rPr>
          <w:rFonts w:asciiTheme="minorHAnsi" w:hAnsiTheme="minorHAnsi"/>
        </w:rPr>
      </w:pPr>
    </w:p>
    <w:p w14:paraId="019BF1AF" w14:textId="56938284" w:rsidR="00786529" w:rsidRPr="00B50C2F" w:rsidRDefault="00786529">
      <w:pPr>
        <w:rPr>
          <w:rFonts w:asciiTheme="minorHAnsi" w:hAnsiTheme="minorHAnsi"/>
        </w:rPr>
      </w:pPr>
    </w:p>
    <w:p w14:paraId="7402E7C7" w14:textId="2E82C331" w:rsidR="00786529" w:rsidRPr="00B50C2F" w:rsidRDefault="00786529">
      <w:pPr>
        <w:rPr>
          <w:rFonts w:asciiTheme="minorHAnsi" w:hAnsiTheme="minorHAnsi"/>
        </w:rPr>
      </w:pPr>
    </w:p>
    <w:p w14:paraId="6986F90D" w14:textId="7A0D6826" w:rsidR="00786529" w:rsidRPr="00B50C2F" w:rsidRDefault="00786529">
      <w:pPr>
        <w:rPr>
          <w:rFonts w:asciiTheme="minorHAnsi" w:hAnsiTheme="minorHAnsi"/>
        </w:rPr>
      </w:pPr>
    </w:p>
    <w:p w14:paraId="6F616061" w14:textId="05BB5CB5" w:rsidR="00786529" w:rsidRPr="00B50C2F" w:rsidRDefault="00786529">
      <w:pPr>
        <w:rPr>
          <w:rFonts w:asciiTheme="minorHAnsi" w:hAnsiTheme="minorHAnsi"/>
        </w:rPr>
      </w:pPr>
    </w:p>
    <w:p w14:paraId="7FE03BC8" w14:textId="5862520E" w:rsidR="00786529" w:rsidRPr="00B50C2F" w:rsidRDefault="00786529">
      <w:pPr>
        <w:rPr>
          <w:rFonts w:asciiTheme="minorHAnsi" w:hAnsiTheme="minorHAnsi"/>
        </w:rPr>
      </w:pPr>
    </w:p>
    <w:p w14:paraId="4EF2BA3A" w14:textId="50DF266D" w:rsidR="00786529" w:rsidRPr="00B50C2F" w:rsidRDefault="00786529">
      <w:pPr>
        <w:rPr>
          <w:rFonts w:asciiTheme="minorHAnsi" w:hAnsiTheme="minorHAnsi"/>
        </w:rPr>
      </w:pPr>
    </w:p>
    <w:p w14:paraId="611FCCEE" w14:textId="6772C7B4" w:rsidR="00786529" w:rsidRPr="00B50C2F" w:rsidRDefault="00786529" w:rsidP="00786529">
      <w:pPr>
        <w:pStyle w:val="Heading1"/>
        <w:rPr>
          <w:rFonts w:asciiTheme="minorHAnsi" w:hAnsiTheme="minorHAnsi"/>
        </w:rPr>
      </w:pPr>
      <w:bookmarkStart w:id="26" w:name="_Annex_6._Socioeconomic"/>
      <w:bookmarkStart w:id="27" w:name="_Toc101788529"/>
      <w:bookmarkStart w:id="28" w:name="_Toc104984480"/>
      <w:bookmarkEnd w:id="26"/>
      <w:r w:rsidRPr="00B50C2F">
        <w:rPr>
          <w:rFonts w:asciiTheme="minorHAnsi" w:hAnsiTheme="minorHAnsi"/>
        </w:rPr>
        <w:lastRenderedPageBreak/>
        <w:t xml:space="preserve">Annex </w:t>
      </w:r>
      <w:r w:rsidR="00A234C5" w:rsidRPr="00B50C2F">
        <w:rPr>
          <w:rFonts w:asciiTheme="minorHAnsi" w:hAnsiTheme="minorHAnsi"/>
        </w:rPr>
        <w:t>1</w:t>
      </w:r>
      <w:r w:rsidRPr="00B50C2F">
        <w:rPr>
          <w:rFonts w:asciiTheme="minorHAnsi" w:hAnsiTheme="minorHAnsi"/>
        </w:rPr>
        <w:t>. Socioeconomic Status</w:t>
      </w:r>
      <w:bookmarkEnd w:id="27"/>
      <w:bookmarkEnd w:id="28"/>
    </w:p>
    <w:p w14:paraId="1C059DE8" w14:textId="77777777" w:rsidR="00786529" w:rsidRPr="00B50C2F" w:rsidRDefault="00786529" w:rsidP="00786529">
      <w:pPr>
        <w:rPr>
          <w:rFonts w:asciiTheme="minorHAnsi" w:hAnsiTheme="minorHAnsi"/>
        </w:rPr>
      </w:pPr>
      <w:r w:rsidRPr="00B50C2F">
        <w:rPr>
          <w:rFonts w:asciiTheme="minorHAnsi" w:hAnsiTheme="minorHAnsi"/>
        </w:rPr>
        <w:t>The following presents limitations to traditional measures of socioeconomic status (SES) including income, consumption, wealth indices, and poverty predictions.</w:t>
      </w:r>
    </w:p>
    <w:p w14:paraId="1E877FC9" w14:textId="77777777" w:rsidR="00786529" w:rsidRPr="00B50C2F" w:rsidRDefault="00786529" w:rsidP="00786529">
      <w:pPr>
        <w:pStyle w:val="Heading2"/>
        <w:rPr>
          <w:rFonts w:asciiTheme="minorHAnsi" w:hAnsiTheme="minorHAnsi"/>
          <w:smallCaps/>
          <w:color w:val="002F6C"/>
        </w:rPr>
      </w:pPr>
      <w:bookmarkStart w:id="29" w:name="_heading=h.1rf9gpq" w:colFirst="0" w:colLast="0"/>
      <w:bookmarkStart w:id="30" w:name="_Toc101530808"/>
      <w:bookmarkStart w:id="31" w:name="_Toc101788530"/>
      <w:bookmarkStart w:id="32" w:name="_Toc104984481"/>
      <w:bookmarkEnd w:id="29"/>
      <w:r w:rsidRPr="00B50C2F">
        <w:rPr>
          <w:rFonts w:asciiTheme="minorHAnsi" w:hAnsiTheme="minorHAnsi"/>
        </w:rPr>
        <w:t>Income and Consumption</w:t>
      </w:r>
      <w:bookmarkEnd w:id="30"/>
      <w:bookmarkEnd w:id="31"/>
      <w:bookmarkEnd w:id="32"/>
    </w:p>
    <w:p w14:paraId="4F3E05D4" w14:textId="77777777" w:rsidR="00786529" w:rsidRPr="00B50C2F" w:rsidRDefault="00786529" w:rsidP="00786529">
      <w:pPr>
        <w:rPr>
          <w:rFonts w:asciiTheme="minorHAnsi" w:hAnsiTheme="minorHAnsi"/>
        </w:rPr>
      </w:pPr>
      <w:r w:rsidRPr="00B50C2F">
        <w:rPr>
          <w:rFonts w:asciiTheme="minorHAnsi" w:hAnsiTheme="minorHAnsi"/>
        </w:rPr>
        <w:t>Income and consumption are the foremost measures of SES, but each has serious limitations to their use. As summarized by Poirier et al. (2020), “there are challenges in using income or consumption measures in many LMICs, since income can be highly variable from month to month or difficult to accurately measure. Alternatively, consumption data, such as that measured by the Living Standards and Measurement Studies, can be extremely time consuming and expensive to collect.”</w:t>
      </w:r>
      <w:r w:rsidRPr="00B50C2F">
        <w:rPr>
          <w:rFonts w:asciiTheme="minorHAnsi" w:hAnsiTheme="minorHAnsi"/>
          <w:vertAlign w:val="superscript"/>
        </w:rPr>
        <w:footnoteReference w:id="16"/>
      </w:r>
      <w:r w:rsidRPr="00B50C2F">
        <w:rPr>
          <w:rFonts w:asciiTheme="minorHAnsi" w:hAnsiTheme="minorHAnsi"/>
        </w:rPr>
        <w:t xml:space="preserve"> </w:t>
      </w:r>
    </w:p>
    <w:p w14:paraId="19727E9E" w14:textId="77777777" w:rsidR="00786529" w:rsidRPr="00B50C2F" w:rsidRDefault="00786529" w:rsidP="00786529">
      <w:pPr>
        <w:rPr>
          <w:rFonts w:asciiTheme="minorHAnsi" w:hAnsiTheme="minorHAnsi"/>
        </w:rPr>
      </w:pPr>
      <w:r w:rsidRPr="00B50C2F">
        <w:rPr>
          <w:rFonts w:asciiTheme="minorHAnsi" w:hAnsiTheme="minorHAnsi"/>
        </w:rPr>
        <w:t>While consumption is considered the “gold standard” to measure SES (and indeed, is used by Feed the Future and other USAID programs), the cost and time to collect detailed consumption data can be prohibitive, with standard approaches taking well over an hour. This alone may make it impractical for HEARTH, but it also raises questions about data accuracy as survey duration increases. While one cost-effective approach is to aggregate items into 10-20 high level categories, these approaches come with a large cost in terms of accuracy,</w:t>
      </w:r>
      <w:r w:rsidRPr="00B50C2F">
        <w:rPr>
          <w:rFonts w:asciiTheme="minorHAnsi" w:hAnsiTheme="minorHAnsi"/>
          <w:vertAlign w:val="superscript"/>
        </w:rPr>
        <w:footnoteReference w:id="17"/>
      </w:r>
      <w:r w:rsidRPr="00B50C2F">
        <w:rPr>
          <w:rFonts w:asciiTheme="minorHAnsi" w:hAnsiTheme="minorHAnsi"/>
        </w:rPr>
        <w:t xml:space="preserve"> as “efforts to aggregate categories or skip less frequently consumed items are consistently biased to underestimate consumption and therefore overestimate poverty.”</w:t>
      </w:r>
      <w:r w:rsidRPr="00B50C2F">
        <w:rPr>
          <w:rFonts w:asciiTheme="minorHAnsi" w:hAnsiTheme="minorHAnsi"/>
          <w:vertAlign w:val="superscript"/>
        </w:rPr>
        <w:footnoteReference w:id="18"/>
      </w:r>
      <w:r w:rsidRPr="00B50C2F">
        <w:rPr>
          <w:rFonts w:asciiTheme="minorHAnsi" w:hAnsiTheme="minorHAnsi"/>
        </w:rPr>
        <w:t xml:space="preserve"> Some more innovative approaches, such as the Rapid Consumption Survey</w:t>
      </w:r>
      <w:r w:rsidRPr="00B50C2F">
        <w:rPr>
          <w:rFonts w:asciiTheme="minorHAnsi" w:hAnsiTheme="minorHAnsi"/>
          <w:vertAlign w:val="superscript"/>
        </w:rPr>
        <w:footnoteReference w:id="19"/>
      </w:r>
      <w:r w:rsidRPr="00B50C2F">
        <w:rPr>
          <w:rFonts w:asciiTheme="minorHAnsi" w:hAnsiTheme="minorHAnsi"/>
        </w:rPr>
        <w:t xml:space="preserve"> which relies on a core module and then each household completing one of several optional modules, still take on average 45-60 minutes. </w:t>
      </w:r>
    </w:p>
    <w:p w14:paraId="58703CC1" w14:textId="77777777" w:rsidR="00786529" w:rsidRPr="00B50C2F" w:rsidRDefault="00786529" w:rsidP="00786529">
      <w:pPr>
        <w:pStyle w:val="Heading2"/>
        <w:rPr>
          <w:rFonts w:asciiTheme="minorHAnsi" w:hAnsiTheme="minorHAnsi"/>
          <w:smallCaps/>
          <w:color w:val="002F6C"/>
        </w:rPr>
      </w:pPr>
      <w:bookmarkStart w:id="33" w:name="_heading=h.4bewzdj" w:colFirst="0" w:colLast="0"/>
      <w:bookmarkStart w:id="34" w:name="_Toc101530809"/>
      <w:bookmarkStart w:id="35" w:name="_Toc101788531"/>
      <w:bookmarkStart w:id="36" w:name="_Toc104984482"/>
      <w:bookmarkEnd w:id="33"/>
      <w:r w:rsidRPr="00B50C2F">
        <w:rPr>
          <w:rFonts w:asciiTheme="minorHAnsi" w:hAnsiTheme="minorHAnsi"/>
        </w:rPr>
        <w:t>Wealth Indices</w:t>
      </w:r>
      <w:bookmarkEnd w:id="34"/>
      <w:bookmarkEnd w:id="35"/>
      <w:bookmarkEnd w:id="36"/>
    </w:p>
    <w:p w14:paraId="64D78B48" w14:textId="77777777" w:rsidR="00786529" w:rsidRPr="00B50C2F" w:rsidRDefault="00786529" w:rsidP="00786529">
      <w:pPr>
        <w:rPr>
          <w:rFonts w:asciiTheme="minorHAnsi" w:hAnsiTheme="minorHAnsi"/>
        </w:rPr>
      </w:pPr>
      <w:r w:rsidRPr="00B50C2F">
        <w:rPr>
          <w:rFonts w:asciiTheme="minorHAnsi" w:hAnsiTheme="minorHAnsi"/>
        </w:rPr>
        <w:t>Wealth indices are often used as a proxy for SES when income or consumption cannot be measured directly. There are several examples of established wealth indices developed to allow for cross-country comparisons which include the following:</w:t>
      </w:r>
      <w:r w:rsidRPr="00B50C2F">
        <w:rPr>
          <w:rFonts w:asciiTheme="minorHAnsi" w:hAnsiTheme="minorHAnsi"/>
          <w:vertAlign w:val="superscript"/>
        </w:rPr>
        <w:footnoteReference w:id="20"/>
      </w:r>
      <w:r w:rsidRPr="00B50C2F">
        <w:rPr>
          <w:rFonts w:asciiTheme="minorHAnsi" w:hAnsiTheme="minorHAnsi"/>
        </w:rPr>
        <w:t xml:space="preserve"> </w:t>
      </w:r>
    </w:p>
    <w:p w14:paraId="3C073AD3" w14:textId="77777777" w:rsidR="00786529" w:rsidRPr="00B50C2F" w:rsidRDefault="00786529" w:rsidP="00786529">
      <w:pPr>
        <w:numPr>
          <w:ilvl w:val="0"/>
          <w:numId w:val="12"/>
        </w:numPr>
        <w:pBdr>
          <w:top w:val="nil"/>
          <w:left w:val="nil"/>
          <w:bottom w:val="nil"/>
          <w:right w:val="nil"/>
          <w:between w:val="nil"/>
        </w:pBdr>
        <w:spacing w:after="0"/>
        <w:ind w:hanging="358"/>
        <w:rPr>
          <w:rFonts w:asciiTheme="minorHAnsi" w:hAnsiTheme="minorHAnsi"/>
        </w:rPr>
      </w:pPr>
      <w:r w:rsidRPr="00B50C2F">
        <w:rPr>
          <w:rFonts w:asciiTheme="minorHAnsi" w:eastAsia="Gill Sans" w:hAnsiTheme="minorHAnsi" w:cs="Gill Sans"/>
          <w:color w:val="000000"/>
        </w:rPr>
        <w:lastRenderedPageBreak/>
        <w:t>CWI</w:t>
      </w:r>
      <w:r w:rsidRPr="00B50C2F">
        <w:rPr>
          <w:rFonts w:asciiTheme="minorHAnsi" w:eastAsia="Gill Sans" w:hAnsiTheme="minorHAnsi" w:cs="Gill Sans"/>
          <w:color w:val="000000"/>
          <w:vertAlign w:val="superscript"/>
        </w:rPr>
        <w:footnoteReference w:id="21"/>
      </w:r>
      <w:r w:rsidRPr="00B50C2F">
        <w:rPr>
          <w:rFonts w:asciiTheme="minorHAnsi" w:eastAsia="Gill Sans" w:hAnsiTheme="minorHAnsi" w:cs="Gill Sans"/>
          <w:color w:val="000000"/>
        </w:rPr>
        <w:t xml:space="preserve"> – Used by Feed the Future and other USAID programs, the CWI calculates wealth indexes that are comparable across surveys and time, and that allow for direct comparison of levels of economic status. Feed the Future survey method guidance for constructing CWI is based on more than 40 questions, covering housing characteristics, asset ownership, and access to basic services, and takes about 5 -10 minutes on average.</w:t>
      </w:r>
    </w:p>
    <w:p w14:paraId="7C68792E" w14:textId="77777777" w:rsidR="00786529" w:rsidRPr="00B50C2F" w:rsidRDefault="00786529" w:rsidP="00786529">
      <w:pPr>
        <w:numPr>
          <w:ilvl w:val="0"/>
          <w:numId w:val="12"/>
        </w:numPr>
        <w:pBdr>
          <w:top w:val="nil"/>
          <w:left w:val="nil"/>
          <w:bottom w:val="nil"/>
          <w:right w:val="nil"/>
          <w:between w:val="nil"/>
        </w:pBdr>
        <w:ind w:hanging="358"/>
        <w:rPr>
          <w:rFonts w:asciiTheme="minorHAnsi" w:hAnsiTheme="minorHAnsi"/>
        </w:rPr>
      </w:pPr>
      <w:r w:rsidRPr="00B50C2F">
        <w:rPr>
          <w:rFonts w:asciiTheme="minorHAnsi" w:eastAsia="Gill Sans" w:hAnsiTheme="minorHAnsi" w:cs="Gill Sans"/>
          <w:color w:val="000000"/>
        </w:rPr>
        <w:t>International Wealth Index (IWI)</w:t>
      </w:r>
      <w:r w:rsidRPr="00B50C2F">
        <w:rPr>
          <w:rFonts w:asciiTheme="minorHAnsi" w:eastAsia="Gill Sans" w:hAnsiTheme="minorHAnsi" w:cs="Gill Sans"/>
          <w:color w:val="000000"/>
          <w:vertAlign w:val="superscript"/>
        </w:rPr>
        <w:footnoteReference w:id="22"/>
      </w:r>
      <w:r w:rsidRPr="00B50C2F">
        <w:rPr>
          <w:rFonts w:asciiTheme="minorHAnsi" w:eastAsia="Gill Sans" w:hAnsiTheme="minorHAnsi" w:cs="Gill Sans"/>
          <w:color w:val="000000"/>
        </w:rPr>
        <w:t xml:space="preserve"> – Similar to CWI but based on a shorter set of questions (7 assets, 3 housing characteristics, and 2 access to basic services questions). There are some drawbacks to this approach, including (1) the loss of information on the full spectrum of assets, and (2) as computations are done at one point in time, there is a risk that the weights in the index will become less meaningful over time.</w:t>
      </w:r>
      <w:r w:rsidRPr="00B50C2F">
        <w:rPr>
          <w:rFonts w:asciiTheme="minorHAnsi" w:eastAsia="Gill Sans" w:hAnsiTheme="minorHAnsi" w:cs="Gill Sans"/>
          <w:color w:val="000000"/>
          <w:vertAlign w:val="superscript"/>
        </w:rPr>
        <w:footnoteReference w:id="23"/>
      </w:r>
      <w:r w:rsidRPr="00B50C2F">
        <w:rPr>
          <w:rFonts w:asciiTheme="minorHAnsi" w:eastAsia="Gill Sans" w:hAnsiTheme="minorHAnsi" w:cs="Gill Sans"/>
          <w:color w:val="000000"/>
        </w:rPr>
        <w:t xml:space="preserve"> </w:t>
      </w:r>
    </w:p>
    <w:p w14:paraId="4EFDD352" w14:textId="77777777" w:rsidR="00786529" w:rsidRPr="00B50C2F" w:rsidRDefault="00786529" w:rsidP="00786529">
      <w:pPr>
        <w:rPr>
          <w:rFonts w:asciiTheme="minorHAnsi" w:hAnsiTheme="minorHAnsi"/>
        </w:rPr>
      </w:pPr>
      <w:r w:rsidRPr="00B50C2F">
        <w:rPr>
          <w:rFonts w:asciiTheme="minorHAnsi" w:hAnsiTheme="minorHAnsi"/>
        </w:rPr>
        <w:t xml:space="preserve">While wealth indices are more cost-effective to implement than consumption measures, there are concerns about the time scale over which activities would be able to measure change. While impacts to income/consumption could be expected to occur in the short term, the accumulation of assets is likely to occur more slowly, so there is a likelihood that effects on consumption would not necessarily be picked up by changes in wealth indices. Additionally, wealth indices can still be quite lengthy, with some asking questions about more than 40 different assets. </w:t>
      </w:r>
    </w:p>
    <w:p w14:paraId="7AA0C322" w14:textId="77777777" w:rsidR="00786529" w:rsidRPr="00B50C2F" w:rsidRDefault="00786529" w:rsidP="00786529">
      <w:pPr>
        <w:pStyle w:val="Heading2"/>
        <w:rPr>
          <w:rFonts w:asciiTheme="minorHAnsi" w:hAnsiTheme="minorHAnsi"/>
        </w:rPr>
      </w:pPr>
      <w:bookmarkStart w:id="37" w:name="_heading=h.2qk79lc" w:colFirst="0" w:colLast="0"/>
      <w:bookmarkStart w:id="38" w:name="_Toc101530810"/>
      <w:bookmarkStart w:id="39" w:name="_Toc101788532"/>
      <w:bookmarkStart w:id="40" w:name="_Toc104984483"/>
      <w:bookmarkEnd w:id="37"/>
      <w:r w:rsidRPr="00B50C2F">
        <w:rPr>
          <w:rFonts w:asciiTheme="minorHAnsi" w:hAnsiTheme="minorHAnsi"/>
        </w:rPr>
        <w:t>Poverty Probability Index</w:t>
      </w:r>
      <w:bookmarkEnd w:id="38"/>
      <w:bookmarkEnd w:id="39"/>
      <w:bookmarkEnd w:id="40"/>
    </w:p>
    <w:p w14:paraId="046AE119" w14:textId="77777777" w:rsidR="00786529" w:rsidRPr="00B50C2F" w:rsidRDefault="00786529" w:rsidP="00786529">
      <w:pPr>
        <w:rPr>
          <w:rFonts w:asciiTheme="minorHAnsi" w:hAnsiTheme="minorHAnsi"/>
        </w:rPr>
      </w:pPr>
      <w:r w:rsidRPr="00B50C2F">
        <w:rPr>
          <w:rFonts w:asciiTheme="minorHAnsi" w:hAnsiTheme="minorHAnsi"/>
        </w:rPr>
        <w:t>The Poverty Probability Index (PPI</w:t>
      </w:r>
      <w:r w:rsidRPr="00B50C2F">
        <w:rPr>
          <w:rFonts w:asciiTheme="minorHAnsi" w:hAnsiTheme="minorHAnsi"/>
          <w:vertAlign w:val="superscript"/>
        </w:rPr>
        <w:t>®</w:t>
      </w:r>
      <w:r w:rsidRPr="00B50C2F">
        <w:rPr>
          <w:rFonts w:asciiTheme="minorHAnsi" w:hAnsiTheme="minorHAnsi"/>
        </w:rPr>
        <w:t>), managed by Innovations for Poverty Action, is a poverty measurement tool that is statistically-sound, yet simple to use: the answers to 10 questions about a household’s characteristics and asset ownership are scored to compute the likelihood that the household is living below the poverty line.</w:t>
      </w:r>
      <w:r w:rsidRPr="00B50C2F">
        <w:rPr>
          <w:rFonts w:asciiTheme="minorHAnsi" w:hAnsiTheme="minorHAnsi"/>
          <w:vertAlign w:val="superscript"/>
        </w:rPr>
        <w:footnoteReference w:id="24"/>
      </w:r>
      <w:r w:rsidRPr="00B50C2F">
        <w:rPr>
          <w:rFonts w:asciiTheme="minorHAnsi" w:hAnsiTheme="minorHAnsi"/>
          <w:sz w:val="20"/>
          <w:szCs w:val="20"/>
          <w:highlight w:val="white"/>
          <w:vertAlign w:val="superscript"/>
        </w:rPr>
        <w:t xml:space="preserve">  </w:t>
      </w:r>
    </w:p>
    <w:p w14:paraId="134A255F" w14:textId="77777777" w:rsidR="00786529" w:rsidRPr="00B50C2F" w:rsidRDefault="00786529" w:rsidP="00786529">
      <w:pPr>
        <w:rPr>
          <w:rFonts w:asciiTheme="minorHAnsi" w:hAnsiTheme="minorHAnsi"/>
          <w:i/>
          <w:color w:val="000000"/>
        </w:rPr>
      </w:pPr>
      <w:r w:rsidRPr="00B50C2F">
        <w:rPr>
          <w:rFonts w:asciiTheme="minorHAnsi" w:hAnsiTheme="minorHAnsi"/>
        </w:rPr>
        <w:t>The PII is an established tool used by nearly 600 organizations around the world, with scorecards currently available for 60 countries. It is accurate - when tested, the difference between scorecard estimates of groups’ poverty rates and the true rates at a point in time for the national poverty line is –1.7 percentage points.</w:t>
      </w:r>
      <w:r w:rsidRPr="00B50C2F">
        <w:rPr>
          <w:rFonts w:asciiTheme="minorHAnsi" w:hAnsiTheme="minorHAnsi"/>
          <w:vertAlign w:val="superscript"/>
        </w:rPr>
        <w:footnoteReference w:id="25"/>
      </w:r>
      <w:r w:rsidRPr="00B50C2F">
        <w:rPr>
          <w:rFonts w:asciiTheme="minorHAnsi" w:hAnsiTheme="minorHAnsi"/>
        </w:rPr>
        <w:t xml:space="preserve"> </w:t>
      </w:r>
      <w:r w:rsidRPr="00B50C2F">
        <w:rPr>
          <w:rFonts w:asciiTheme="minorHAnsi" w:hAnsiTheme="minorHAnsi"/>
        </w:rPr>
        <w:lastRenderedPageBreak/>
        <w:t xml:space="preserve">Since it is “off-the-shelf”, it would be relatively cost-effective to implement. Using just 10 questions to predict poverty would also significantly reduce data collection costs compared to other approaches and allow more time in the household surveys to measure additional outcome indicators. </w:t>
      </w:r>
    </w:p>
    <w:p w14:paraId="1E886436" w14:textId="03D61388" w:rsidR="00786529" w:rsidRPr="00B50C2F" w:rsidRDefault="00786529" w:rsidP="00786529">
      <w:pPr>
        <w:rPr>
          <w:rFonts w:asciiTheme="minorHAnsi" w:hAnsiTheme="minorHAnsi"/>
        </w:rPr>
      </w:pPr>
      <w:r w:rsidRPr="00B50C2F">
        <w:rPr>
          <w:rFonts w:asciiTheme="minorHAnsi" w:hAnsiTheme="minorHAnsi"/>
        </w:rPr>
        <w:t xml:space="preserve">However, existing PPIs are limited in that they are not available for all countries in the HEARTH portfolio, namely the Democratic Republic of Congo, Liberia, and Papua New Guinea. Additionally, for some countries, they are based on data that is not the most up-to-date available (e.g., 2010 data for Madagascar). Depending on when the PPIs were constructed, they also use out-of-date poverty lines (e.g., 2005 </w:t>
      </w:r>
      <w:r w:rsidR="00CE397D" w:rsidRPr="00B50C2F">
        <w:rPr>
          <w:rFonts w:asciiTheme="minorHAnsi" w:hAnsiTheme="minorHAnsi"/>
        </w:rPr>
        <w:t>Purchasing Power Parity (</w:t>
      </w:r>
      <w:r w:rsidRPr="00B50C2F">
        <w:rPr>
          <w:rFonts w:asciiTheme="minorHAnsi" w:hAnsiTheme="minorHAnsi"/>
        </w:rPr>
        <w:t>PPP</w:t>
      </w:r>
      <w:r w:rsidR="00CE397D" w:rsidRPr="00B50C2F">
        <w:rPr>
          <w:rFonts w:asciiTheme="minorHAnsi" w:hAnsiTheme="minorHAnsi"/>
        </w:rPr>
        <w:t>)</w:t>
      </w:r>
      <w:r w:rsidRPr="00B50C2F">
        <w:rPr>
          <w:rFonts w:asciiTheme="minorHAnsi" w:hAnsiTheme="minorHAnsi"/>
        </w:rPr>
        <w:t xml:space="preserve"> for the international poverty lines, instead of 2011 PPP). Finally, more up-to-date methods based on machine learning (cross-validation and parameter regularization) have been used to construct the more recent PPI scorecards, but most use an outdated methodology that is less-able to account for sub-national variation. </w:t>
      </w:r>
    </w:p>
    <w:p w14:paraId="1BD1F7E5" w14:textId="77777777" w:rsidR="00786529" w:rsidRPr="00B50C2F" w:rsidRDefault="00786529">
      <w:pPr>
        <w:rPr>
          <w:rFonts w:asciiTheme="minorHAnsi" w:hAnsiTheme="minorHAnsi"/>
        </w:rPr>
      </w:pPr>
    </w:p>
    <w:sectPr w:rsidR="00786529" w:rsidRPr="00B50C2F" w:rsidSect="00255B85">
      <w:headerReference w:type="default" r:id="rId19"/>
      <w:pgSz w:w="12240" w:h="15840"/>
      <w:pgMar w:top="1500" w:right="1060" w:bottom="980" w:left="1300" w:header="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D9EFE" w14:textId="77777777" w:rsidR="007A335C" w:rsidRDefault="007A335C">
      <w:pPr>
        <w:spacing w:after="0" w:line="240" w:lineRule="auto"/>
      </w:pPr>
      <w:r>
        <w:separator/>
      </w:r>
    </w:p>
  </w:endnote>
  <w:endnote w:type="continuationSeparator" w:id="0">
    <w:p w14:paraId="0CFC15E3" w14:textId="77777777" w:rsidR="007A335C" w:rsidRDefault="007A335C">
      <w:pPr>
        <w:spacing w:after="0" w:line="240" w:lineRule="auto"/>
      </w:pPr>
      <w:r>
        <w:continuationSeparator/>
      </w:r>
    </w:p>
  </w:endnote>
  <w:endnote w:type="continuationNotice" w:id="1">
    <w:p w14:paraId="629E68C6" w14:textId="77777777" w:rsidR="007A335C" w:rsidRDefault="007A33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w:charset w:val="B1"/>
    <w:family w:val="swiss"/>
    <w:pitch w:val="variable"/>
    <w:sig w:usb0="80000A67" w:usb1="00000000" w:usb2="00000000" w:usb3="00000000" w:csb0="000001F7" w:csb1="00000000"/>
  </w:font>
  <w:font w:name="Gill Sans MT">
    <w:panose1 w:val="020B0502020104020203"/>
    <w:charset w:val="00"/>
    <w:family w:val="swiss"/>
    <w:pitch w:val="variable"/>
    <w:sig w:usb0="00000007" w:usb1="00000000" w:usb2="00000000" w:usb3="00000000" w:csb0="00000003" w:csb1="00000000"/>
  </w:font>
  <w:font w:name="Source Sans Pro">
    <w:charset w:val="00"/>
    <w:family w:val="swiss"/>
    <w:pitch w:val="variable"/>
    <w:sig w:usb0="600002F7" w:usb1="02000001" w:usb2="00000000" w:usb3="00000000" w:csb0="0000019F" w:csb1="00000000"/>
  </w:font>
  <w:font w:name="Lato Light">
    <w:charset w:val="00"/>
    <w:family w:val="swiss"/>
    <w:pitch w:val="variable"/>
    <w:sig w:usb0="E10002FF" w:usb1="5000EC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illSansMTStd-Book">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Gill Sans Nova Book">
    <w:panose1 w:val="020B0502020204020203"/>
    <w:charset w:val="00"/>
    <w:family w:val="swiss"/>
    <w:notTrueType/>
    <w:pitch w:val="variable"/>
    <w:sig w:usb0="A00002AF" w:usb1="00006803" w:usb2="00000000" w:usb3="00000000" w:csb0="0000019F" w:csb1="00000000"/>
  </w:font>
  <w:font w:name="Gill Sans Nova SemiBold">
    <w:panose1 w:val="020B0702020204020203"/>
    <w:charset w:val="00"/>
    <w:family w:val="swiss"/>
    <w:notTrueType/>
    <w:pitch w:val="variable"/>
    <w:sig w:usb0="A00002AF" w:usb1="00006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5" w14:textId="77777777" w:rsidR="006B799D" w:rsidRDefault="00CC1E6B">
    <w:r>
      <w:rPr>
        <w:b/>
      </w:rPr>
      <w:fldChar w:fldCharType="begin"/>
    </w:r>
    <w:r>
      <w:rPr>
        <w:b/>
      </w:rPr>
      <w:instrText>PAGE</w:instrText>
    </w:r>
    <w:r w:rsidR="00907EC7">
      <w:rPr>
        <w:b/>
      </w:rPr>
      <w:fldChar w:fldCharType="separate"/>
    </w:r>
    <w:r>
      <w:rPr>
        <w:b/>
      </w:rPr>
      <w:fldChar w:fldCharType="end"/>
    </w:r>
    <w:r>
      <w:t xml:space="preserve"> |</w:t>
    </w:r>
    <w:r>
      <w:tab/>
      <w:t>AMELP USAID/Vietnam</w:t>
    </w:r>
  </w:p>
  <w:p w14:paraId="00000226" w14:textId="77777777" w:rsidR="006B799D" w:rsidRDefault="00CC1E6B">
    <w:r>
      <w:tab/>
      <w:t>USAID Learns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8" w14:textId="1345F00B" w:rsidR="006B799D" w:rsidRDefault="00CC1E6B">
    <w:pPr>
      <w:tabs>
        <w:tab w:val="right" w:pos="9360"/>
      </w:tabs>
      <w:rPr>
        <w:sz w:val="20"/>
        <w:szCs w:val="20"/>
      </w:rPr>
    </w:pPr>
    <w:r>
      <w:rPr>
        <w:sz w:val="20"/>
        <w:szCs w:val="20"/>
      </w:rPr>
      <w:t>HEARTH Monitoring and Evaluation Toolkit</w:t>
    </w:r>
    <w:r>
      <w:rPr>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sidR="00E11CD3">
      <w:rPr>
        <w:noProof/>
        <w:color w:val="000000"/>
        <w:sz w:val="20"/>
        <w:szCs w:val="20"/>
      </w:rPr>
      <w:t>2</w:t>
    </w:r>
    <w:r>
      <w:rPr>
        <w:color w:val="000000"/>
        <w:sz w:val="20"/>
        <w:szCs w:val="20"/>
      </w:rPr>
      <w:fldChar w:fldCharType="end"/>
    </w:r>
  </w:p>
  <w:p w14:paraId="00000229" w14:textId="77777777" w:rsidR="006B799D" w:rsidRDefault="006B799D">
    <w:pPr>
      <w:widowControl w:val="0"/>
      <w:pBdr>
        <w:top w:val="nil"/>
        <w:left w:val="nil"/>
        <w:bottom w:val="nil"/>
        <w:right w:val="nil"/>
        <w:between w:val="nil"/>
      </w:pBdr>
      <w:spacing w:after="0"/>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7" w14:textId="7B916112" w:rsidR="006B799D" w:rsidRDefault="00CC1E6B">
    <w:r>
      <w:rPr>
        <w:b/>
      </w:rPr>
      <w:fldChar w:fldCharType="begin"/>
    </w:r>
    <w:r>
      <w:rPr>
        <w:b/>
      </w:rPr>
      <w:instrText>PAGE</w:instrText>
    </w:r>
    <w:r>
      <w:rPr>
        <w:b/>
      </w:rPr>
      <w:fldChar w:fldCharType="separate"/>
    </w:r>
    <w:r w:rsidR="00E11CD3">
      <w:rPr>
        <w:b/>
        <w:noProof/>
      </w:rPr>
      <w:t>1</w:t>
    </w:r>
    <w:r>
      <w:rPr>
        <w:b/>
      </w:rPr>
      <w:fldChar w:fldCharType="end"/>
    </w:r>
    <w:r>
      <w:t xml:space="preserve"> |</w:t>
    </w:r>
    <w:r>
      <w:tab/>
      <w:t>INRM MEL PLAN  USAID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026AC" w14:textId="77777777" w:rsidR="007A335C" w:rsidRDefault="007A335C">
      <w:pPr>
        <w:spacing w:after="0" w:line="240" w:lineRule="auto"/>
      </w:pPr>
      <w:r>
        <w:separator/>
      </w:r>
    </w:p>
  </w:footnote>
  <w:footnote w:type="continuationSeparator" w:id="0">
    <w:p w14:paraId="0B83C6B7" w14:textId="77777777" w:rsidR="007A335C" w:rsidRDefault="007A335C">
      <w:pPr>
        <w:spacing w:after="0" w:line="240" w:lineRule="auto"/>
      </w:pPr>
      <w:r>
        <w:continuationSeparator/>
      </w:r>
    </w:p>
  </w:footnote>
  <w:footnote w:type="continuationNotice" w:id="1">
    <w:p w14:paraId="7DFA1F88" w14:textId="77777777" w:rsidR="007A335C" w:rsidRDefault="007A335C">
      <w:pPr>
        <w:spacing w:after="0" w:line="240" w:lineRule="auto"/>
      </w:pPr>
    </w:p>
  </w:footnote>
  <w:footnote w:id="2">
    <w:p w14:paraId="49D215A1" w14:textId="77777777" w:rsidR="00ED014E" w:rsidRPr="00B50C2F" w:rsidRDefault="00ED014E" w:rsidP="00ED014E">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rPr>
        <w:t xml:space="preserve"> The Demographic and Health Surveys Program. Wealth index: “The DHS Wealth Index.” The DHS Program - Research Topics. The Demographic and Health Surveys Program, 2016. https://dhsprogram.com/topics/wealth-index/Index.cfm. </w:t>
      </w:r>
    </w:p>
  </w:footnote>
  <w:footnote w:id="3">
    <w:p w14:paraId="1B948CA5" w14:textId="77777777" w:rsidR="00ED014E" w:rsidRPr="00B50C2F" w:rsidRDefault="00ED014E" w:rsidP="00ED014E">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rPr>
        <w:t xml:space="preserve"> Rutstein, Shea O. “Steps to Constructing the New DHS Wealth Index.” Programming Wealth Index. The Demographic and Health Surveys Program, 2014. https://dhsprogram.com/programming/wealth%20index/DHS_Wealth_Index_Files.pdf. </w:t>
      </w:r>
    </w:p>
  </w:footnote>
  <w:footnote w:id="4">
    <w:p w14:paraId="2CE45089" w14:textId="77777777" w:rsidR="00ED014E" w:rsidRPr="00B50C2F" w:rsidRDefault="00ED014E" w:rsidP="00ED014E">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rPr>
        <w:t xml:space="preserve"> Rutstein, Shea O., and Sarah Staveteig. “Making the Demographic and Health Surveys Wealth Index Comparable.” Making the Demographic and Health Surveys Wealth Index Comparable (English). The Demographic and Health Surveys Program, February 1, 2014. https://preview.dhsprogram.com/publications/publication-mr9-methodological-reports.cfm. </w:t>
      </w:r>
    </w:p>
  </w:footnote>
  <w:footnote w:id="5">
    <w:p w14:paraId="4DF27342" w14:textId="77777777" w:rsidR="00ED014E" w:rsidRPr="00B50C2F" w:rsidRDefault="00ED014E" w:rsidP="00ED014E">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vertAlign w:val="superscript"/>
        </w:rPr>
        <w:t xml:space="preserve"> </w:t>
      </w:r>
      <w:r w:rsidRPr="00B50C2F">
        <w:rPr>
          <w:rFonts w:asciiTheme="minorHAnsi" w:eastAsia="Gill Sans" w:hAnsiTheme="minorHAnsi" w:cs="Gill Sans"/>
          <w:color w:val="000000"/>
          <w:sz w:val="18"/>
          <w:szCs w:val="18"/>
        </w:rPr>
        <w:t xml:space="preserve">Jalan, Jyotsna, and Martin Ravallion. “Geographic Poverty Traps? A Micro Model of Consumption Growth in Rural China.” Journal of Applied Econometrics 17, no. 4 (2002): 329–46. https://doi.org/10.1002/jae.645. </w:t>
      </w:r>
    </w:p>
  </w:footnote>
  <w:footnote w:id="6">
    <w:p w14:paraId="693C7C7F" w14:textId="77777777" w:rsidR="00ED014E" w:rsidRPr="00B50C2F" w:rsidRDefault="00ED014E" w:rsidP="00ED014E">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rPr>
        <w:t xml:space="preserve"> Dercon, Stefan. “Growth and Shocks: Evidence from Rural Ethiopia.” Journal of Development Economics 74, no. 2 (2004): 309–29. https://doi.org/10.1016/j.jdeveco.2004.01.001. </w:t>
      </w:r>
    </w:p>
  </w:footnote>
  <w:footnote w:id="7">
    <w:p w14:paraId="508105F4" w14:textId="77777777" w:rsidR="00ED014E" w:rsidRPr="00B50C2F" w:rsidRDefault="00ED014E" w:rsidP="00ED014E">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rPr>
        <w:t xml:space="preserve"> Feed the Future. “Feed the Future Indicator Handbook.” US Government's Global Hunger and Food Security Initiative, September 2019. https://fr.fsnnetwork.org/sites/default/files/ftf_agriculture_guide_0.pdf. </w:t>
      </w:r>
    </w:p>
  </w:footnote>
  <w:footnote w:id="8">
    <w:p w14:paraId="00CE381D" w14:textId="77777777" w:rsidR="00ED014E" w:rsidRPr="00B50C2F" w:rsidRDefault="00ED014E" w:rsidP="00ED014E">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rPr>
        <w:t xml:space="preserve"> The module includes follow-up questions for each source on (1) who made the decision to borrow, and (2) who makes the decision about what to do with the money borrowed. These may be included if additional information is desired on intra-household decision-making dynamics related to access to finance.</w:t>
      </w:r>
    </w:p>
  </w:footnote>
  <w:footnote w:id="9">
    <w:p w14:paraId="024B552E" w14:textId="77777777" w:rsidR="00ED014E" w:rsidRPr="00B50C2F" w:rsidRDefault="00ED014E" w:rsidP="00ED014E">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vertAlign w:val="superscript"/>
        </w:rPr>
        <w:t xml:space="preserve"> </w:t>
      </w:r>
      <w:r w:rsidRPr="00B50C2F">
        <w:rPr>
          <w:rFonts w:asciiTheme="minorHAnsi" w:eastAsia="Gill Sans" w:hAnsiTheme="minorHAnsi" w:cs="Gill Sans"/>
          <w:color w:val="000000"/>
          <w:sz w:val="18"/>
          <w:szCs w:val="18"/>
        </w:rPr>
        <w:t xml:space="preserve">Feed the Future. “Feed the Future Indicator Handbook.” US Government's Global Hunger and Food Security Initiative, September 2019. https://fr.fsnnetwork.org/sites/default/files/ftf_agriculture_guide_0.pdf. </w:t>
      </w:r>
    </w:p>
  </w:footnote>
  <w:footnote w:id="10">
    <w:p w14:paraId="1F0F725F" w14:textId="77777777" w:rsidR="00ED014E" w:rsidRPr="00B50C2F" w:rsidRDefault="00ED014E" w:rsidP="00ED014E">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rPr>
        <w:t xml:space="preserve"> Rutstein, Shea O., and Sarah Staveteig. “Making the Demographic and Health Surveys Wealth Index Comparable.” Making the Demographic and Health Surveys Wealth Index Comparable (English). The Demographic and Health Surveys Program, February 1, 2014. https://preview.dhsprogram.com/publications/publication-mr9-methodological-reports.cfm. </w:t>
      </w:r>
    </w:p>
  </w:footnote>
  <w:footnote w:id="11">
    <w:p w14:paraId="2EA36F61" w14:textId="77777777" w:rsidR="00ED014E" w:rsidRPr="00B50C2F" w:rsidRDefault="00ED014E" w:rsidP="00ED014E">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rPr>
        <w:t xml:space="preserve"> Given the overlap between FTF and HEARTH countries, the FTF reference surveys/values for Steps 1 through 3 will be used for HEARTH. For additional details, please see the Feed the Future Survey Implementation Document: Guide to FTF Statistics section on guidelines to construct the CWI indicator. </w:t>
      </w:r>
    </w:p>
  </w:footnote>
  <w:footnote w:id="12">
    <w:p w14:paraId="4EF4A4A8" w14:textId="77777777" w:rsidR="00ED014E" w:rsidRPr="00B50C2F" w:rsidRDefault="00ED014E" w:rsidP="00ED014E">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rPr>
        <w:t xml:space="preserve"> Last revised October 2020: “Guide to Feed the Future Statistics Zone of Influence Survey.” Feed the Future. United States Agency for International Development, October 2020. https://docs.google.com/document/d/1v1xeQ2z5f7QfiHeubHaeeh9o5JBMmYEi/edit#heading=h.i17xr6. </w:t>
      </w:r>
    </w:p>
  </w:footnote>
  <w:footnote w:id="13">
    <w:p w14:paraId="1A5D9D02" w14:textId="77777777" w:rsidR="00ED014E" w:rsidRPr="00B50C2F" w:rsidRDefault="00ED014E" w:rsidP="00ED014E">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rPr>
        <w:t xml:space="preserve"> For more on microfinance please see the World Bank FINDEX: “The Global Findex Database.” World Bank Programs. World Bank, 2017. http://www.worldbank.org/en/programs/globalfindex. </w:t>
      </w:r>
    </w:p>
  </w:footnote>
  <w:footnote w:id="14">
    <w:p w14:paraId="145D1AF7" w14:textId="77777777" w:rsidR="00ED014E" w:rsidRPr="00B50C2F" w:rsidRDefault="00ED014E" w:rsidP="00ED014E">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rPr>
        <w:t xml:space="preserve"> The recommended questions on access to credit come from the Abbreviated Women’s Empowerment in Agriculture Index Questionnaire (Module 6.3b): “Feed the Future Zone of Influence Survey Methods - Questionnaire.” Feed the Future, 2020. https://docs.google.com/spreadsheets/d/18drihQ1qe39L1Qj9qXSA0M3Yf7E4MXrR/edit#gid=1928718979. </w:t>
      </w:r>
    </w:p>
  </w:footnote>
  <w:footnote w:id="15">
    <w:p w14:paraId="52E022E9" w14:textId="77777777" w:rsidR="00ED014E" w:rsidRPr="00B50C2F" w:rsidRDefault="00ED014E" w:rsidP="00ED014E">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vertAlign w:val="superscript"/>
        </w:rPr>
        <w:t xml:space="preserve"> </w:t>
      </w:r>
      <w:r w:rsidRPr="00B50C2F">
        <w:rPr>
          <w:rFonts w:asciiTheme="minorHAnsi" w:eastAsia="Gill Sans" w:hAnsiTheme="minorHAnsi" w:cs="Gill Sans"/>
          <w:color w:val="000000"/>
          <w:sz w:val="18"/>
          <w:szCs w:val="18"/>
        </w:rPr>
        <w:t xml:space="preserve">The recommended questions on access to banking come from the DHS Household Survey (Questions 134 and 135): “Demographic and Health Survey Module Household Questionnaire.” Demographic and Health Survey. United States Agency for International Development, June 19, 2020. </w:t>
      </w:r>
    </w:p>
  </w:footnote>
  <w:footnote w:id="16">
    <w:p w14:paraId="71793605" w14:textId="77777777" w:rsidR="00786529" w:rsidRPr="00B50C2F" w:rsidRDefault="00786529" w:rsidP="00786529">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rPr>
        <w:t xml:space="preserve"> For more discussion, see: Poirier, M.J.P., Grépin, K.A. &amp; Grignon, M. Approaches and Alternatives to the Wealth Index to Measure Socioeconomic Status Using Survey Data: A Critical Interpretive Synthesis. Soc Indic Res (2020). https://doi.org/10.1007/s11205-019-02187-9. </w:t>
      </w:r>
    </w:p>
  </w:footnote>
  <w:footnote w:id="17">
    <w:p w14:paraId="521A45D1" w14:textId="77777777" w:rsidR="00786529" w:rsidRPr="00B50C2F" w:rsidRDefault="00786529" w:rsidP="00786529">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rPr>
        <w:t xml:space="preserve"> Beegle, K., De Weerdt, J., Friedman, J., &amp; Gibson, J. Methods of household consumption measurement through surveys: Experimental results from Tanzania. Journal of Development Economics, (2012). </w:t>
      </w:r>
      <w:hyperlink r:id="rId1">
        <w:r w:rsidRPr="00B50C2F">
          <w:rPr>
            <w:rFonts w:asciiTheme="minorHAnsi" w:eastAsia="Gill Sans" w:hAnsiTheme="minorHAnsi" w:cs="Gill Sans"/>
            <w:color w:val="000000"/>
            <w:sz w:val="18"/>
            <w:szCs w:val="18"/>
            <w:u w:val="single"/>
          </w:rPr>
          <w:t>https://doi.org/10.1016/j.jdeveco.2011.11.001</w:t>
        </w:r>
      </w:hyperlink>
      <w:r w:rsidRPr="00B50C2F">
        <w:rPr>
          <w:rFonts w:asciiTheme="minorHAnsi" w:eastAsia="Gill Sans" w:hAnsiTheme="minorHAnsi" w:cs="Gill Sans"/>
          <w:color w:val="000000"/>
          <w:sz w:val="18"/>
          <w:szCs w:val="18"/>
        </w:rPr>
        <w:t xml:space="preserve">. </w:t>
      </w:r>
    </w:p>
  </w:footnote>
  <w:footnote w:id="18">
    <w:p w14:paraId="54F54142" w14:textId="77777777" w:rsidR="00786529" w:rsidRPr="00B50C2F" w:rsidRDefault="00786529" w:rsidP="00786529">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rPr>
        <w:t xml:space="preserve"> Pape, Utz, and Johan Mistiaen. “Measuring Poverty in 60 Minutes.” World Bank Blogs. Nasikiliza, May 12, 2017. https://blogs.worldbank.org/nasikiliza/measuring-poverty-in-60-minutes. </w:t>
      </w:r>
    </w:p>
  </w:footnote>
  <w:footnote w:id="19">
    <w:p w14:paraId="5FD5751D" w14:textId="77777777" w:rsidR="00786529" w:rsidRPr="00B50C2F" w:rsidRDefault="00786529" w:rsidP="00786529">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rPr>
        <w:t xml:space="preserve"> Pape, Utz, and Johan Mistiaen. “Measuring Household Consumption and Poverty in 60 Minutes: The Mogadishu High Frequency Survey.” Berkeley, January 28, 2015. http://cega.berkeley.edu/assets/miscellaneous_files/82-ABCA_-PapeMistiaen.pdf </w:t>
      </w:r>
    </w:p>
  </w:footnote>
  <w:footnote w:id="20">
    <w:p w14:paraId="1AFAC835" w14:textId="77777777" w:rsidR="00786529" w:rsidRPr="00B50C2F" w:rsidRDefault="00786529" w:rsidP="00786529">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rPr>
        <w:t xml:space="preserve"> Note that there have been other approaches not listed here, such as Chakraborty et al. (2016) which developed simplified asset indices that go down to 6 – 18 questions per country, compared to 25 to 47 in the original DHS wealth index. This is not listed due to the smaller geographic coverage (16 countries) and because it seems to be less widely utilized. Source: Chakraborty, Nirali M, Kenzo Fry, Rasika Behl, and Kim Longfield. “Simplified Asset Indices to Measure Wealth and Equity in Health Programs: A Reliability and Validity Analysis Using Survey Data from 16 Countries.” Global Health: Science and Practice 4, no. 1 (2016): 141–54. https://doi.org/10.9745/ghsp-d-15-00384. </w:t>
      </w:r>
    </w:p>
  </w:footnote>
  <w:footnote w:id="21">
    <w:p w14:paraId="21DF5799" w14:textId="77777777" w:rsidR="00786529" w:rsidRPr="00B50C2F" w:rsidRDefault="00786529" w:rsidP="00786529">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rPr>
        <w:t xml:space="preserve"> Rutstein, Shea O., and Sarah Staveteig. “Making the Demographic and Health Surveys Wealth Index Comparable.” Making the Demographic and Health Surveys Wealth Index Comparable (English). The Demographic and Health Surveys Program, February 1, 2014. </w:t>
      </w:r>
      <w:hyperlink r:id="rId2">
        <w:r w:rsidRPr="00B50C2F">
          <w:rPr>
            <w:rFonts w:asciiTheme="minorHAnsi" w:eastAsia="Gill Sans" w:hAnsiTheme="minorHAnsi" w:cs="Gill Sans"/>
            <w:color w:val="000000"/>
            <w:sz w:val="18"/>
            <w:szCs w:val="18"/>
          </w:rPr>
          <w:t>https://www.dhsprogram.com/pubs/pdf/MR9/MR9.pdf</w:t>
        </w:r>
      </w:hyperlink>
      <w:r w:rsidRPr="00B50C2F">
        <w:rPr>
          <w:rFonts w:asciiTheme="minorHAnsi" w:eastAsia="Gill Sans" w:hAnsiTheme="minorHAnsi" w:cs="Gill Sans"/>
          <w:color w:val="000000"/>
          <w:sz w:val="18"/>
          <w:szCs w:val="18"/>
        </w:rPr>
        <w:t xml:space="preserve">. </w:t>
      </w:r>
    </w:p>
  </w:footnote>
  <w:footnote w:id="22">
    <w:p w14:paraId="103040DB" w14:textId="77777777" w:rsidR="00786529" w:rsidRPr="00B50C2F" w:rsidRDefault="00786529" w:rsidP="00786529">
      <w:pPr>
        <w:pBdr>
          <w:top w:val="nil"/>
          <w:left w:val="nil"/>
          <w:bottom w:val="nil"/>
          <w:right w:val="nil"/>
          <w:between w:val="nil"/>
        </w:pBdr>
        <w:spacing w:after="180" w:line="240" w:lineRule="auto"/>
        <w:rPr>
          <w:rFonts w:asciiTheme="minorHAnsi" w:eastAsia="Gill Sans" w:hAnsiTheme="minorHAnsi" w:cs="Gill Sans"/>
          <w:color w:val="000000"/>
          <w:sz w:val="18"/>
          <w:szCs w:val="18"/>
          <w:lang w:val="fr-FR"/>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vertAlign w:val="superscript"/>
          <w:lang w:val="fr-FR"/>
        </w:rPr>
        <w:t xml:space="preserve"> </w:t>
      </w:r>
      <w:r w:rsidRPr="00B50C2F">
        <w:rPr>
          <w:rFonts w:asciiTheme="minorHAnsi" w:eastAsia="Gill Sans" w:hAnsiTheme="minorHAnsi" w:cs="Gill Sans"/>
          <w:color w:val="000000"/>
          <w:sz w:val="18"/>
          <w:szCs w:val="18"/>
          <w:lang w:val="fr-FR"/>
        </w:rPr>
        <w:t xml:space="preserve">Source: </w:t>
      </w:r>
      <w:hyperlink r:id="rId3">
        <w:r w:rsidRPr="00B50C2F">
          <w:rPr>
            <w:rFonts w:asciiTheme="minorHAnsi" w:eastAsia="Gill Sans" w:hAnsiTheme="minorHAnsi" w:cs="Gill Sans"/>
            <w:color w:val="000000"/>
            <w:sz w:val="18"/>
            <w:szCs w:val="18"/>
            <w:lang w:val="fr-FR"/>
          </w:rPr>
          <w:t>https://www.ru.nl/publish/pages/516298/nice_12107.pdf</w:t>
        </w:r>
      </w:hyperlink>
      <w:r w:rsidRPr="00B50C2F">
        <w:rPr>
          <w:rFonts w:asciiTheme="minorHAnsi" w:eastAsia="Gill Sans" w:hAnsiTheme="minorHAnsi" w:cs="Gill Sans"/>
          <w:color w:val="000000"/>
          <w:sz w:val="18"/>
          <w:szCs w:val="18"/>
          <w:lang w:val="fr-FR"/>
        </w:rPr>
        <w:t xml:space="preserve">. </w:t>
      </w:r>
    </w:p>
  </w:footnote>
  <w:footnote w:id="23">
    <w:p w14:paraId="2634D4D9" w14:textId="77777777" w:rsidR="00786529" w:rsidRPr="00B50C2F" w:rsidRDefault="00786529" w:rsidP="00786529">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rPr>
        <w:t xml:space="preserve"> Rutstein, Shea O., and Sarah Staveteig. “Making the Demographic and Health Surveys Wealth Index Comparable.” Making the Demographic and Health Surveys Wealth Index Comparable (English). The Demographic and Health Surveys Program, February 1, 2014. https://www.dhsprogram.com/pubs/pdf/MR9/MR9.pdf. </w:t>
      </w:r>
    </w:p>
  </w:footnote>
  <w:footnote w:id="24">
    <w:p w14:paraId="53D640A7" w14:textId="77777777" w:rsidR="00786529" w:rsidRPr="00B50C2F" w:rsidRDefault="00786529" w:rsidP="00786529">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vertAlign w:val="superscript"/>
        </w:rPr>
        <w:t xml:space="preserve"> </w:t>
      </w:r>
      <w:r w:rsidRPr="00B50C2F">
        <w:rPr>
          <w:rFonts w:asciiTheme="minorHAnsi" w:eastAsia="Gill Sans" w:hAnsiTheme="minorHAnsi" w:cs="Gill Sans"/>
          <w:color w:val="000000"/>
          <w:sz w:val="18"/>
          <w:szCs w:val="18"/>
        </w:rPr>
        <w:t xml:space="preserve">“The International Wealth Index (IWI),” n.d. </w:t>
      </w:r>
      <w:hyperlink r:id="rId4">
        <w:r w:rsidRPr="00B50C2F">
          <w:rPr>
            <w:rFonts w:asciiTheme="minorHAnsi" w:eastAsia="Gill Sans" w:hAnsiTheme="minorHAnsi" w:cs="Gill Sans"/>
            <w:color w:val="000000"/>
            <w:sz w:val="18"/>
            <w:szCs w:val="18"/>
            <w:u w:val="single"/>
          </w:rPr>
          <w:t>https://www.povertyindex.org/about-ppi</w:t>
        </w:r>
      </w:hyperlink>
      <w:r w:rsidRPr="00B50C2F">
        <w:rPr>
          <w:rFonts w:asciiTheme="minorHAnsi" w:eastAsia="Gill Sans" w:hAnsiTheme="minorHAnsi" w:cs="Gill Sans"/>
          <w:color w:val="000000"/>
          <w:sz w:val="18"/>
          <w:szCs w:val="18"/>
        </w:rPr>
        <w:t xml:space="preserve"> </w:t>
      </w:r>
    </w:p>
  </w:footnote>
  <w:footnote w:id="25">
    <w:p w14:paraId="5D7B2CDE" w14:textId="77777777" w:rsidR="00786529" w:rsidRPr="008F6A21" w:rsidRDefault="00786529" w:rsidP="00786529">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B50C2F">
        <w:rPr>
          <w:rStyle w:val="FootnoteReference"/>
          <w:rFonts w:asciiTheme="minorHAnsi" w:hAnsiTheme="minorHAnsi" w:cs="Gill Sans"/>
          <w:sz w:val="18"/>
          <w:szCs w:val="18"/>
        </w:rPr>
        <w:footnoteRef/>
      </w:r>
      <w:r w:rsidRPr="00B50C2F">
        <w:rPr>
          <w:rFonts w:asciiTheme="minorHAnsi" w:eastAsia="Gill Sans" w:hAnsiTheme="minorHAnsi" w:cs="Gill Sans"/>
          <w:color w:val="000000"/>
          <w:sz w:val="18"/>
          <w:szCs w:val="18"/>
        </w:rPr>
        <w:t xml:space="preserve"> See paper on methods underlying the construction of the PPI and validation here: Kshirsagar, Varun, Jerzy Wieczorek, Sharada Ramanathan, and Rachel Wells. “Household Poverty Classification in Data-Scarce Environments: A Machine Learning Approach.” arXiv.org, November 18, 2017. https://arxiv.org/abs/1711.06813.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6B799D" w:rsidRDefault="006B799D"/>
  <w:tbl>
    <w:tblPr>
      <w:tblW w:w="9027" w:type="dxa"/>
      <w:tblBorders>
        <w:top w:val="single" w:sz="4" w:space="0" w:color="A8A1A0"/>
        <w:left w:val="single" w:sz="4" w:space="0" w:color="A8A1A0"/>
        <w:bottom w:val="single" w:sz="4" w:space="0" w:color="A8A1A0"/>
        <w:right w:val="single" w:sz="4" w:space="0" w:color="A8A1A0"/>
        <w:insideH w:val="single" w:sz="4" w:space="0" w:color="A8A1A0"/>
        <w:insideV w:val="single" w:sz="4" w:space="0" w:color="A8A1A0"/>
      </w:tblBorders>
      <w:tblLayout w:type="fixed"/>
      <w:tblCellMar>
        <w:left w:w="115" w:type="dxa"/>
        <w:right w:w="115" w:type="dxa"/>
      </w:tblCellMar>
      <w:tblLook w:val="0600" w:firstRow="0" w:lastRow="0" w:firstColumn="0" w:lastColumn="0" w:noHBand="1" w:noVBand="1"/>
    </w:tblPr>
    <w:tblGrid>
      <w:gridCol w:w="3009"/>
      <w:gridCol w:w="3009"/>
      <w:gridCol w:w="3009"/>
    </w:tblGrid>
    <w:tr w:rsidR="006B799D" w14:paraId="668C55DA" w14:textId="77777777">
      <w:tc>
        <w:tcPr>
          <w:tcW w:w="3009" w:type="dxa"/>
          <w:shd w:val="clear" w:color="auto" w:fill="E2DFDF"/>
        </w:tcPr>
        <w:p w14:paraId="00000220" w14:textId="77777777" w:rsidR="006B799D" w:rsidRDefault="006B799D"/>
      </w:tc>
      <w:tc>
        <w:tcPr>
          <w:tcW w:w="3009" w:type="dxa"/>
          <w:shd w:val="clear" w:color="auto" w:fill="E2DFDF"/>
        </w:tcPr>
        <w:p w14:paraId="00000221" w14:textId="77777777" w:rsidR="006B799D" w:rsidRDefault="006B799D"/>
      </w:tc>
      <w:tc>
        <w:tcPr>
          <w:tcW w:w="3009" w:type="dxa"/>
          <w:shd w:val="clear" w:color="auto" w:fill="E2DFDF"/>
        </w:tcPr>
        <w:p w14:paraId="00000222" w14:textId="77777777" w:rsidR="006B799D" w:rsidRDefault="006B799D"/>
      </w:tc>
    </w:tr>
  </w:tbl>
  <w:p w14:paraId="00000223" w14:textId="77777777" w:rsidR="006B799D" w:rsidRDefault="006B79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4" w14:textId="77777777" w:rsidR="006B799D" w:rsidRDefault="006B79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984"/>
    <w:multiLevelType w:val="multilevel"/>
    <w:tmpl w:val="3692F65A"/>
    <w:lvl w:ilvl="0">
      <w:start w:val="1"/>
      <w:numFmt w:val="bullet"/>
      <w:lvlText w:val="●"/>
      <w:lvlJc w:val="left"/>
      <w:pPr>
        <w:ind w:left="864" w:hanging="357"/>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E40153"/>
    <w:multiLevelType w:val="multilevel"/>
    <w:tmpl w:val="1870C1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7FF515B"/>
    <w:multiLevelType w:val="hybridMultilevel"/>
    <w:tmpl w:val="A86E0E18"/>
    <w:lvl w:ilvl="0" w:tplc="2D9AFCCA">
      <w:numFmt w:val="bullet"/>
      <w:lvlText w:val="●"/>
      <w:lvlJc w:val="left"/>
      <w:pPr>
        <w:ind w:left="437" w:hanging="322"/>
      </w:pPr>
      <w:rPr>
        <w:rFonts w:ascii="Calibri" w:eastAsia="Calibri" w:hAnsi="Calibri" w:cs="Calibri" w:hint="default"/>
        <w:b w:val="0"/>
        <w:bCs w:val="0"/>
        <w:i w:val="0"/>
        <w:iCs w:val="0"/>
        <w:w w:val="99"/>
        <w:sz w:val="22"/>
        <w:szCs w:val="22"/>
        <w:lang w:val="en-US" w:eastAsia="en-US" w:bidi="ar-SA"/>
      </w:rPr>
    </w:lvl>
    <w:lvl w:ilvl="1" w:tplc="95263C24">
      <w:numFmt w:val="bullet"/>
      <w:lvlText w:val="•"/>
      <w:lvlJc w:val="left"/>
      <w:pPr>
        <w:ind w:left="878" w:hanging="322"/>
      </w:pPr>
      <w:rPr>
        <w:rFonts w:hint="default"/>
        <w:lang w:val="en-US" w:eastAsia="en-US" w:bidi="ar-SA"/>
      </w:rPr>
    </w:lvl>
    <w:lvl w:ilvl="2" w:tplc="82F6B9AC">
      <w:numFmt w:val="bullet"/>
      <w:lvlText w:val="•"/>
      <w:lvlJc w:val="left"/>
      <w:pPr>
        <w:ind w:left="1317" w:hanging="322"/>
      </w:pPr>
      <w:rPr>
        <w:rFonts w:hint="default"/>
        <w:lang w:val="en-US" w:eastAsia="en-US" w:bidi="ar-SA"/>
      </w:rPr>
    </w:lvl>
    <w:lvl w:ilvl="3" w:tplc="B144FD18">
      <w:numFmt w:val="bullet"/>
      <w:lvlText w:val="•"/>
      <w:lvlJc w:val="left"/>
      <w:pPr>
        <w:ind w:left="1755" w:hanging="322"/>
      </w:pPr>
      <w:rPr>
        <w:rFonts w:hint="default"/>
        <w:lang w:val="en-US" w:eastAsia="en-US" w:bidi="ar-SA"/>
      </w:rPr>
    </w:lvl>
    <w:lvl w:ilvl="4" w:tplc="49663FAE">
      <w:numFmt w:val="bullet"/>
      <w:lvlText w:val="•"/>
      <w:lvlJc w:val="left"/>
      <w:pPr>
        <w:ind w:left="2194" w:hanging="322"/>
      </w:pPr>
      <w:rPr>
        <w:rFonts w:hint="default"/>
        <w:lang w:val="en-US" w:eastAsia="en-US" w:bidi="ar-SA"/>
      </w:rPr>
    </w:lvl>
    <w:lvl w:ilvl="5" w:tplc="62385E04">
      <w:numFmt w:val="bullet"/>
      <w:lvlText w:val="•"/>
      <w:lvlJc w:val="left"/>
      <w:pPr>
        <w:ind w:left="2633" w:hanging="322"/>
      </w:pPr>
      <w:rPr>
        <w:rFonts w:hint="default"/>
        <w:lang w:val="en-US" w:eastAsia="en-US" w:bidi="ar-SA"/>
      </w:rPr>
    </w:lvl>
    <w:lvl w:ilvl="6" w:tplc="16EEE588">
      <w:numFmt w:val="bullet"/>
      <w:lvlText w:val="•"/>
      <w:lvlJc w:val="left"/>
      <w:pPr>
        <w:ind w:left="3071" w:hanging="322"/>
      </w:pPr>
      <w:rPr>
        <w:rFonts w:hint="default"/>
        <w:lang w:val="en-US" w:eastAsia="en-US" w:bidi="ar-SA"/>
      </w:rPr>
    </w:lvl>
    <w:lvl w:ilvl="7" w:tplc="58A89724">
      <w:numFmt w:val="bullet"/>
      <w:lvlText w:val="•"/>
      <w:lvlJc w:val="left"/>
      <w:pPr>
        <w:ind w:left="3510" w:hanging="322"/>
      </w:pPr>
      <w:rPr>
        <w:rFonts w:hint="default"/>
        <w:lang w:val="en-US" w:eastAsia="en-US" w:bidi="ar-SA"/>
      </w:rPr>
    </w:lvl>
    <w:lvl w:ilvl="8" w:tplc="ED00A12C">
      <w:numFmt w:val="bullet"/>
      <w:lvlText w:val="•"/>
      <w:lvlJc w:val="left"/>
      <w:pPr>
        <w:ind w:left="3948" w:hanging="322"/>
      </w:pPr>
      <w:rPr>
        <w:rFonts w:hint="default"/>
        <w:lang w:val="en-US" w:eastAsia="en-US" w:bidi="ar-SA"/>
      </w:rPr>
    </w:lvl>
  </w:abstractNum>
  <w:abstractNum w:abstractNumId="3" w15:restartNumberingAfterBreak="0">
    <w:nsid w:val="1E26548A"/>
    <w:multiLevelType w:val="hybridMultilevel"/>
    <w:tmpl w:val="F7646B0E"/>
    <w:lvl w:ilvl="0" w:tplc="703410C8">
      <w:numFmt w:val="bullet"/>
      <w:lvlText w:val="●"/>
      <w:lvlJc w:val="left"/>
      <w:pPr>
        <w:ind w:left="437" w:hanging="322"/>
      </w:pPr>
      <w:rPr>
        <w:rFonts w:ascii="Calibri" w:eastAsia="Calibri" w:hAnsi="Calibri" w:cs="Calibri" w:hint="default"/>
        <w:b w:val="0"/>
        <w:bCs w:val="0"/>
        <w:i w:val="0"/>
        <w:iCs w:val="0"/>
        <w:w w:val="99"/>
        <w:sz w:val="22"/>
        <w:szCs w:val="22"/>
        <w:lang w:val="en-US" w:eastAsia="en-US" w:bidi="ar-SA"/>
      </w:rPr>
    </w:lvl>
    <w:lvl w:ilvl="1" w:tplc="3BF20A38">
      <w:numFmt w:val="bullet"/>
      <w:lvlText w:val="•"/>
      <w:lvlJc w:val="left"/>
      <w:pPr>
        <w:ind w:left="878" w:hanging="322"/>
      </w:pPr>
      <w:rPr>
        <w:rFonts w:hint="default"/>
        <w:lang w:val="en-US" w:eastAsia="en-US" w:bidi="ar-SA"/>
      </w:rPr>
    </w:lvl>
    <w:lvl w:ilvl="2" w:tplc="6C0EACB0">
      <w:numFmt w:val="bullet"/>
      <w:lvlText w:val="•"/>
      <w:lvlJc w:val="left"/>
      <w:pPr>
        <w:ind w:left="1317" w:hanging="322"/>
      </w:pPr>
      <w:rPr>
        <w:rFonts w:hint="default"/>
        <w:lang w:val="en-US" w:eastAsia="en-US" w:bidi="ar-SA"/>
      </w:rPr>
    </w:lvl>
    <w:lvl w:ilvl="3" w:tplc="69C88928">
      <w:numFmt w:val="bullet"/>
      <w:lvlText w:val="•"/>
      <w:lvlJc w:val="left"/>
      <w:pPr>
        <w:ind w:left="1755" w:hanging="322"/>
      </w:pPr>
      <w:rPr>
        <w:rFonts w:hint="default"/>
        <w:lang w:val="en-US" w:eastAsia="en-US" w:bidi="ar-SA"/>
      </w:rPr>
    </w:lvl>
    <w:lvl w:ilvl="4" w:tplc="46FA46A4">
      <w:numFmt w:val="bullet"/>
      <w:lvlText w:val="•"/>
      <w:lvlJc w:val="left"/>
      <w:pPr>
        <w:ind w:left="2194" w:hanging="322"/>
      </w:pPr>
      <w:rPr>
        <w:rFonts w:hint="default"/>
        <w:lang w:val="en-US" w:eastAsia="en-US" w:bidi="ar-SA"/>
      </w:rPr>
    </w:lvl>
    <w:lvl w:ilvl="5" w:tplc="998AE212">
      <w:numFmt w:val="bullet"/>
      <w:lvlText w:val="•"/>
      <w:lvlJc w:val="left"/>
      <w:pPr>
        <w:ind w:left="2633" w:hanging="322"/>
      </w:pPr>
      <w:rPr>
        <w:rFonts w:hint="default"/>
        <w:lang w:val="en-US" w:eastAsia="en-US" w:bidi="ar-SA"/>
      </w:rPr>
    </w:lvl>
    <w:lvl w:ilvl="6" w:tplc="5DB68334">
      <w:numFmt w:val="bullet"/>
      <w:lvlText w:val="•"/>
      <w:lvlJc w:val="left"/>
      <w:pPr>
        <w:ind w:left="3071" w:hanging="322"/>
      </w:pPr>
      <w:rPr>
        <w:rFonts w:hint="default"/>
        <w:lang w:val="en-US" w:eastAsia="en-US" w:bidi="ar-SA"/>
      </w:rPr>
    </w:lvl>
    <w:lvl w:ilvl="7" w:tplc="D4B242DA">
      <w:numFmt w:val="bullet"/>
      <w:lvlText w:val="•"/>
      <w:lvlJc w:val="left"/>
      <w:pPr>
        <w:ind w:left="3510" w:hanging="322"/>
      </w:pPr>
      <w:rPr>
        <w:rFonts w:hint="default"/>
        <w:lang w:val="en-US" w:eastAsia="en-US" w:bidi="ar-SA"/>
      </w:rPr>
    </w:lvl>
    <w:lvl w:ilvl="8" w:tplc="36060828">
      <w:numFmt w:val="bullet"/>
      <w:lvlText w:val="•"/>
      <w:lvlJc w:val="left"/>
      <w:pPr>
        <w:ind w:left="3948" w:hanging="322"/>
      </w:pPr>
      <w:rPr>
        <w:rFonts w:hint="default"/>
        <w:lang w:val="en-US" w:eastAsia="en-US" w:bidi="ar-SA"/>
      </w:rPr>
    </w:lvl>
  </w:abstractNum>
  <w:abstractNum w:abstractNumId="4" w15:restartNumberingAfterBreak="0">
    <w:nsid w:val="25F908BB"/>
    <w:multiLevelType w:val="multilevel"/>
    <w:tmpl w:val="43043B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3237FD"/>
    <w:multiLevelType w:val="multilevel"/>
    <w:tmpl w:val="26F4A18A"/>
    <w:lvl w:ilvl="0">
      <w:start w:val="1"/>
      <w:numFmt w:val="decimal"/>
      <w:pStyle w:val="ListBulle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411399F"/>
    <w:multiLevelType w:val="multilevel"/>
    <w:tmpl w:val="6DE44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ED91B8B"/>
    <w:multiLevelType w:val="multilevel"/>
    <w:tmpl w:val="CEB69B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AD3876"/>
    <w:multiLevelType w:val="hybridMultilevel"/>
    <w:tmpl w:val="6A12B54A"/>
    <w:lvl w:ilvl="0" w:tplc="7A56D7E6">
      <w:numFmt w:val="bullet"/>
      <w:lvlText w:val="●"/>
      <w:lvlJc w:val="left"/>
      <w:pPr>
        <w:ind w:left="437" w:hanging="322"/>
      </w:pPr>
      <w:rPr>
        <w:rFonts w:ascii="Calibri" w:eastAsia="Calibri" w:hAnsi="Calibri" w:cs="Calibri" w:hint="default"/>
        <w:b w:val="0"/>
        <w:bCs w:val="0"/>
        <w:i w:val="0"/>
        <w:iCs w:val="0"/>
        <w:w w:val="99"/>
        <w:sz w:val="22"/>
        <w:szCs w:val="22"/>
        <w:lang w:val="en-US" w:eastAsia="en-US" w:bidi="ar-SA"/>
      </w:rPr>
    </w:lvl>
    <w:lvl w:ilvl="1" w:tplc="42C4DEC6">
      <w:numFmt w:val="bullet"/>
      <w:lvlText w:val="•"/>
      <w:lvlJc w:val="left"/>
      <w:pPr>
        <w:ind w:left="878" w:hanging="322"/>
      </w:pPr>
      <w:rPr>
        <w:rFonts w:hint="default"/>
        <w:lang w:val="en-US" w:eastAsia="en-US" w:bidi="ar-SA"/>
      </w:rPr>
    </w:lvl>
    <w:lvl w:ilvl="2" w:tplc="FC8656BC">
      <w:numFmt w:val="bullet"/>
      <w:lvlText w:val="•"/>
      <w:lvlJc w:val="left"/>
      <w:pPr>
        <w:ind w:left="1317" w:hanging="322"/>
      </w:pPr>
      <w:rPr>
        <w:rFonts w:hint="default"/>
        <w:lang w:val="en-US" w:eastAsia="en-US" w:bidi="ar-SA"/>
      </w:rPr>
    </w:lvl>
    <w:lvl w:ilvl="3" w:tplc="CA1E7C84">
      <w:numFmt w:val="bullet"/>
      <w:lvlText w:val="•"/>
      <w:lvlJc w:val="left"/>
      <w:pPr>
        <w:ind w:left="1755" w:hanging="322"/>
      </w:pPr>
      <w:rPr>
        <w:rFonts w:hint="default"/>
        <w:lang w:val="en-US" w:eastAsia="en-US" w:bidi="ar-SA"/>
      </w:rPr>
    </w:lvl>
    <w:lvl w:ilvl="4" w:tplc="57DCE80C">
      <w:numFmt w:val="bullet"/>
      <w:lvlText w:val="•"/>
      <w:lvlJc w:val="left"/>
      <w:pPr>
        <w:ind w:left="2194" w:hanging="322"/>
      </w:pPr>
      <w:rPr>
        <w:rFonts w:hint="default"/>
        <w:lang w:val="en-US" w:eastAsia="en-US" w:bidi="ar-SA"/>
      </w:rPr>
    </w:lvl>
    <w:lvl w:ilvl="5" w:tplc="9574FC3E">
      <w:numFmt w:val="bullet"/>
      <w:lvlText w:val="•"/>
      <w:lvlJc w:val="left"/>
      <w:pPr>
        <w:ind w:left="2633" w:hanging="322"/>
      </w:pPr>
      <w:rPr>
        <w:rFonts w:hint="default"/>
        <w:lang w:val="en-US" w:eastAsia="en-US" w:bidi="ar-SA"/>
      </w:rPr>
    </w:lvl>
    <w:lvl w:ilvl="6" w:tplc="6E949534">
      <w:numFmt w:val="bullet"/>
      <w:lvlText w:val="•"/>
      <w:lvlJc w:val="left"/>
      <w:pPr>
        <w:ind w:left="3071" w:hanging="322"/>
      </w:pPr>
      <w:rPr>
        <w:rFonts w:hint="default"/>
        <w:lang w:val="en-US" w:eastAsia="en-US" w:bidi="ar-SA"/>
      </w:rPr>
    </w:lvl>
    <w:lvl w:ilvl="7" w:tplc="6510A6A2">
      <w:numFmt w:val="bullet"/>
      <w:lvlText w:val="•"/>
      <w:lvlJc w:val="left"/>
      <w:pPr>
        <w:ind w:left="3510" w:hanging="322"/>
      </w:pPr>
      <w:rPr>
        <w:rFonts w:hint="default"/>
        <w:lang w:val="en-US" w:eastAsia="en-US" w:bidi="ar-SA"/>
      </w:rPr>
    </w:lvl>
    <w:lvl w:ilvl="8" w:tplc="41D84D0A">
      <w:numFmt w:val="bullet"/>
      <w:lvlText w:val="•"/>
      <w:lvlJc w:val="left"/>
      <w:pPr>
        <w:ind w:left="3948" w:hanging="322"/>
      </w:pPr>
      <w:rPr>
        <w:rFonts w:hint="default"/>
        <w:lang w:val="en-US" w:eastAsia="en-US" w:bidi="ar-SA"/>
      </w:rPr>
    </w:lvl>
  </w:abstractNum>
  <w:abstractNum w:abstractNumId="9" w15:restartNumberingAfterBreak="0">
    <w:nsid w:val="5C40484A"/>
    <w:multiLevelType w:val="multilevel"/>
    <w:tmpl w:val="1AA827B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EE84467"/>
    <w:multiLevelType w:val="multilevel"/>
    <w:tmpl w:val="D9D8BE24"/>
    <w:lvl w:ilvl="0">
      <w:start w:val="1"/>
      <w:numFmt w:val="decimal"/>
      <w:pStyle w:val="Bulle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9872628"/>
    <w:multiLevelType w:val="multilevel"/>
    <w:tmpl w:val="F99C5B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706247906">
    <w:abstractNumId w:val="5"/>
  </w:num>
  <w:num w:numId="2" w16cid:durableId="905339301">
    <w:abstractNumId w:val="10"/>
  </w:num>
  <w:num w:numId="3" w16cid:durableId="1702246168">
    <w:abstractNumId w:val="2"/>
  </w:num>
  <w:num w:numId="4" w16cid:durableId="1963875206">
    <w:abstractNumId w:val="8"/>
  </w:num>
  <w:num w:numId="5" w16cid:durableId="1249264451">
    <w:abstractNumId w:val="3"/>
  </w:num>
  <w:num w:numId="6" w16cid:durableId="92482237">
    <w:abstractNumId w:val="7"/>
  </w:num>
  <w:num w:numId="7" w16cid:durableId="1965769031">
    <w:abstractNumId w:val="9"/>
  </w:num>
  <w:num w:numId="8" w16cid:durableId="186220208">
    <w:abstractNumId w:val="1"/>
  </w:num>
  <w:num w:numId="9" w16cid:durableId="1189375619">
    <w:abstractNumId w:val="11"/>
  </w:num>
  <w:num w:numId="10" w16cid:durableId="362364748">
    <w:abstractNumId w:val="6"/>
  </w:num>
  <w:num w:numId="11" w16cid:durableId="699159339">
    <w:abstractNumId w:val="4"/>
  </w:num>
  <w:num w:numId="12" w16cid:durableId="583419994">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99D"/>
    <w:rsid w:val="00002DD5"/>
    <w:rsid w:val="00011617"/>
    <w:rsid w:val="00050406"/>
    <w:rsid w:val="00056444"/>
    <w:rsid w:val="00056D1F"/>
    <w:rsid w:val="000611F6"/>
    <w:rsid w:val="00094C21"/>
    <w:rsid w:val="00096F6D"/>
    <w:rsid w:val="000A2C94"/>
    <w:rsid w:val="000A3CD2"/>
    <w:rsid w:val="000C3916"/>
    <w:rsid w:val="000F2A47"/>
    <w:rsid w:val="00127212"/>
    <w:rsid w:val="00133786"/>
    <w:rsid w:val="00143666"/>
    <w:rsid w:val="00184B36"/>
    <w:rsid w:val="001940FE"/>
    <w:rsid w:val="001A49B0"/>
    <w:rsid w:val="001A54D3"/>
    <w:rsid w:val="001C2C65"/>
    <w:rsid w:val="001D65AC"/>
    <w:rsid w:val="002016C4"/>
    <w:rsid w:val="002214AB"/>
    <w:rsid w:val="00255B85"/>
    <w:rsid w:val="002B3335"/>
    <w:rsid w:val="002D3DAD"/>
    <w:rsid w:val="002F1D0E"/>
    <w:rsid w:val="003215BE"/>
    <w:rsid w:val="0033339F"/>
    <w:rsid w:val="003425A6"/>
    <w:rsid w:val="00391A72"/>
    <w:rsid w:val="003A2033"/>
    <w:rsid w:val="003A5ED4"/>
    <w:rsid w:val="003B26F1"/>
    <w:rsid w:val="003D1B95"/>
    <w:rsid w:val="003F48A2"/>
    <w:rsid w:val="00452010"/>
    <w:rsid w:val="00475F88"/>
    <w:rsid w:val="00481D78"/>
    <w:rsid w:val="004A1F40"/>
    <w:rsid w:val="004C51B1"/>
    <w:rsid w:val="004D41A4"/>
    <w:rsid w:val="004E1E41"/>
    <w:rsid w:val="004E5EE2"/>
    <w:rsid w:val="005148A7"/>
    <w:rsid w:val="0054200C"/>
    <w:rsid w:val="00542980"/>
    <w:rsid w:val="00562473"/>
    <w:rsid w:val="00564BEE"/>
    <w:rsid w:val="005719BA"/>
    <w:rsid w:val="00576F29"/>
    <w:rsid w:val="0062110E"/>
    <w:rsid w:val="006450EE"/>
    <w:rsid w:val="00647F44"/>
    <w:rsid w:val="006541D2"/>
    <w:rsid w:val="00670CD7"/>
    <w:rsid w:val="006866A4"/>
    <w:rsid w:val="00693ADE"/>
    <w:rsid w:val="006A373B"/>
    <w:rsid w:val="006B799D"/>
    <w:rsid w:val="006C625D"/>
    <w:rsid w:val="006D11E3"/>
    <w:rsid w:val="006D583B"/>
    <w:rsid w:val="007060EA"/>
    <w:rsid w:val="00710694"/>
    <w:rsid w:val="00714461"/>
    <w:rsid w:val="00744CD0"/>
    <w:rsid w:val="00765D27"/>
    <w:rsid w:val="00774883"/>
    <w:rsid w:val="0078319D"/>
    <w:rsid w:val="00786529"/>
    <w:rsid w:val="007978FC"/>
    <w:rsid w:val="007A335C"/>
    <w:rsid w:val="007C17BE"/>
    <w:rsid w:val="007D2681"/>
    <w:rsid w:val="007E7FCC"/>
    <w:rsid w:val="007F7820"/>
    <w:rsid w:val="008160DA"/>
    <w:rsid w:val="00820051"/>
    <w:rsid w:val="008252FC"/>
    <w:rsid w:val="00830B82"/>
    <w:rsid w:val="008759D3"/>
    <w:rsid w:val="00907EC7"/>
    <w:rsid w:val="00927E3D"/>
    <w:rsid w:val="009300A1"/>
    <w:rsid w:val="00930B38"/>
    <w:rsid w:val="00942FB9"/>
    <w:rsid w:val="009651C6"/>
    <w:rsid w:val="009701CC"/>
    <w:rsid w:val="009B155E"/>
    <w:rsid w:val="009D076F"/>
    <w:rsid w:val="00A234C5"/>
    <w:rsid w:val="00A31AD1"/>
    <w:rsid w:val="00A53026"/>
    <w:rsid w:val="00A56FD4"/>
    <w:rsid w:val="00A82E2C"/>
    <w:rsid w:val="00A95ABD"/>
    <w:rsid w:val="00AD2A90"/>
    <w:rsid w:val="00B20E86"/>
    <w:rsid w:val="00B50C2F"/>
    <w:rsid w:val="00B60A88"/>
    <w:rsid w:val="00BC1618"/>
    <w:rsid w:val="00BF250F"/>
    <w:rsid w:val="00C50BA6"/>
    <w:rsid w:val="00C648D0"/>
    <w:rsid w:val="00C75619"/>
    <w:rsid w:val="00C764AD"/>
    <w:rsid w:val="00C95133"/>
    <w:rsid w:val="00CA0000"/>
    <w:rsid w:val="00CA2D8C"/>
    <w:rsid w:val="00CA76B9"/>
    <w:rsid w:val="00CB651D"/>
    <w:rsid w:val="00CC0596"/>
    <w:rsid w:val="00CC1E6B"/>
    <w:rsid w:val="00CE397D"/>
    <w:rsid w:val="00D15707"/>
    <w:rsid w:val="00D16407"/>
    <w:rsid w:val="00D260D0"/>
    <w:rsid w:val="00D278CC"/>
    <w:rsid w:val="00D30EBC"/>
    <w:rsid w:val="00D4004C"/>
    <w:rsid w:val="00D4662B"/>
    <w:rsid w:val="00D5682F"/>
    <w:rsid w:val="00DD7723"/>
    <w:rsid w:val="00E01898"/>
    <w:rsid w:val="00E11CD3"/>
    <w:rsid w:val="00E175C3"/>
    <w:rsid w:val="00E21A08"/>
    <w:rsid w:val="00E55BB3"/>
    <w:rsid w:val="00E921FB"/>
    <w:rsid w:val="00EA2E1B"/>
    <w:rsid w:val="00ED014E"/>
    <w:rsid w:val="00ED06B9"/>
    <w:rsid w:val="00EF5F3C"/>
    <w:rsid w:val="00EF69A0"/>
    <w:rsid w:val="00F27BB6"/>
    <w:rsid w:val="00F60A2F"/>
    <w:rsid w:val="00F63264"/>
    <w:rsid w:val="00F7111E"/>
    <w:rsid w:val="00F711DE"/>
    <w:rsid w:val="00F81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83C17"/>
  <w15:docId w15:val="{D3E2155A-766C-4B1D-A2DA-9CA2B0F1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w:eastAsia="Gill Sans" w:hAnsi="Gill Sans" w:cs="Gill Sans"/>
        <w:sz w:val="22"/>
        <w:szCs w:val="22"/>
        <w:lang w:val="en-US"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27"/>
    <w:rPr>
      <w:rFonts w:ascii="Gill Sans MT" w:eastAsia="Source Sans Pro" w:hAnsi="Gill Sans MT" w:cstheme="minorBidi"/>
    </w:rPr>
  </w:style>
  <w:style w:type="paragraph" w:styleId="Heading1">
    <w:name w:val="heading 1"/>
    <w:basedOn w:val="Normal"/>
    <w:next w:val="Normal"/>
    <w:link w:val="Heading1Char"/>
    <w:uiPriority w:val="9"/>
    <w:qFormat/>
    <w:rsid w:val="00C87127"/>
    <w:pPr>
      <w:keepNext/>
      <w:keepLines/>
      <w:spacing w:before="600" w:line="240" w:lineRule="auto"/>
      <w:outlineLvl w:val="0"/>
    </w:pPr>
    <w:rPr>
      <w:rFonts w:asciiTheme="majorHAnsi" w:eastAsia="Lato Light" w:hAnsiTheme="majorHAnsi" w:cs="Lato Light"/>
      <w:color w:val="002F6C" w:themeColor="text2"/>
      <w:sz w:val="70"/>
      <w:szCs w:val="70"/>
    </w:rPr>
  </w:style>
  <w:style w:type="paragraph" w:styleId="Heading2">
    <w:name w:val="heading 2"/>
    <w:basedOn w:val="Heading1"/>
    <w:next w:val="Normal"/>
    <w:link w:val="Heading2Char"/>
    <w:uiPriority w:val="9"/>
    <w:unhideWhenUsed/>
    <w:qFormat/>
    <w:rsid w:val="00D055FD"/>
    <w:pPr>
      <w:spacing w:before="360" w:after="120"/>
      <w:outlineLvl w:val="1"/>
    </w:pPr>
    <w:rPr>
      <w:color w:val="004A8C" w:themeColor="accent1" w:themeShade="BF"/>
      <w:sz w:val="48"/>
      <w:szCs w:val="48"/>
    </w:rPr>
  </w:style>
  <w:style w:type="paragraph" w:styleId="Heading3">
    <w:name w:val="heading 3"/>
    <w:basedOn w:val="Heading2"/>
    <w:next w:val="Normal"/>
    <w:link w:val="Heading3Char"/>
    <w:uiPriority w:val="9"/>
    <w:unhideWhenUsed/>
    <w:qFormat/>
    <w:rsid w:val="00D055FD"/>
    <w:pPr>
      <w:outlineLvl w:val="2"/>
    </w:pPr>
    <w:rPr>
      <w:sz w:val="34"/>
      <w:szCs w:val="34"/>
    </w:rPr>
  </w:style>
  <w:style w:type="paragraph" w:styleId="Heading4">
    <w:name w:val="heading 4"/>
    <w:basedOn w:val="Heading3"/>
    <w:next w:val="Normal"/>
    <w:link w:val="Heading4Char"/>
    <w:uiPriority w:val="9"/>
    <w:unhideWhenUsed/>
    <w:qFormat/>
    <w:rsid w:val="00C87127"/>
    <w:pPr>
      <w:outlineLvl w:val="3"/>
    </w:pPr>
    <w:rPr>
      <w:i/>
      <w:iCs/>
      <w:color w:val="4D8EDC" w:themeColor="accent2" w:themeShade="BF"/>
      <w:sz w:val="28"/>
      <w:szCs w:val="30"/>
    </w:rPr>
  </w:style>
  <w:style w:type="paragraph" w:styleId="Heading5">
    <w:name w:val="heading 5"/>
    <w:basedOn w:val="Normal"/>
    <w:next w:val="Normal"/>
    <w:link w:val="Heading5Char"/>
    <w:uiPriority w:val="9"/>
    <w:unhideWhenUsed/>
    <w:qFormat/>
    <w:rsid w:val="00C87127"/>
    <w:pPr>
      <w:spacing w:before="360" w:after="120"/>
      <w:outlineLvl w:val="4"/>
    </w:pPr>
    <w:rPr>
      <w:i/>
      <w:iCs/>
      <w:color w:val="4D8EDC" w:themeColor="accent2" w:themeShade="BF"/>
      <w:sz w:val="20"/>
      <w:szCs w:val="20"/>
    </w:rPr>
  </w:style>
  <w:style w:type="paragraph" w:styleId="Heading6">
    <w:name w:val="heading 6"/>
    <w:basedOn w:val="Normal"/>
    <w:next w:val="Normal"/>
    <w:link w:val="Heading6Char"/>
    <w:uiPriority w:val="9"/>
    <w:unhideWhenUsed/>
    <w:qFormat/>
    <w:rsid w:val="00C87127"/>
    <w:pPr>
      <w:keepNext/>
      <w:keepLines/>
      <w:spacing w:before="200" w:after="40"/>
      <w:outlineLvl w:val="5"/>
    </w:pPr>
    <w:rPr>
      <w:rFonts w:asciiTheme="majorHAnsi" w:eastAsia="Lato Light" w:hAnsiTheme="majorHAnsi" w:cs="Lato Light"/>
      <w:i/>
      <w:color w:val="4D8EDC" w:themeColor="accent2" w:themeShade="BF"/>
      <w:sz w:val="18"/>
      <w:szCs w:val="18"/>
    </w:rPr>
  </w:style>
  <w:style w:type="paragraph" w:styleId="Heading7">
    <w:name w:val="heading 7"/>
    <w:basedOn w:val="Normal"/>
    <w:link w:val="Heading7Char"/>
    <w:uiPriority w:val="1"/>
    <w:qFormat/>
    <w:rsid w:val="000F2A47"/>
    <w:pPr>
      <w:widowControl w:val="0"/>
      <w:autoSpaceDE w:val="0"/>
      <w:autoSpaceDN w:val="0"/>
      <w:spacing w:after="0" w:line="240" w:lineRule="auto"/>
      <w:ind w:left="140"/>
      <w:outlineLvl w:val="6"/>
    </w:pPr>
    <w:rPr>
      <w:rFonts w:eastAsia="Gill Sans MT" w:cs="Gill Sans MT"/>
      <w:i/>
      <w:iCs/>
      <w:sz w:val="28"/>
      <w:szCs w:val="28"/>
    </w:rPr>
  </w:style>
  <w:style w:type="paragraph" w:styleId="Heading8">
    <w:name w:val="heading 8"/>
    <w:basedOn w:val="Normal"/>
    <w:next w:val="Normal"/>
    <w:link w:val="Heading8Char"/>
    <w:uiPriority w:val="1"/>
    <w:unhideWhenUsed/>
    <w:qFormat/>
    <w:rsid w:val="000F2A47"/>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127"/>
    <w:pPr>
      <w:spacing w:before="240" w:after="120"/>
    </w:pPr>
    <w:rPr>
      <w:color w:val="002F6C" w:themeColor="text2"/>
      <w:sz w:val="72"/>
      <w:szCs w:val="72"/>
    </w:rPr>
  </w:style>
  <w:style w:type="character" w:customStyle="1" w:styleId="TitleChar">
    <w:name w:val="Title Char"/>
    <w:basedOn w:val="DefaultParagraphFont"/>
    <w:link w:val="Title"/>
    <w:uiPriority w:val="10"/>
    <w:rsid w:val="00C87127"/>
    <w:rPr>
      <w:rFonts w:ascii="Gill Sans MT" w:eastAsia="Source Sans Pro" w:hAnsi="Gill Sans MT" w:cstheme="minorBidi"/>
      <w:color w:val="002F6C" w:themeColor="text2"/>
      <w:sz w:val="72"/>
      <w:szCs w:val="72"/>
    </w:rPr>
  </w:style>
  <w:style w:type="table" w:styleId="TableGrid">
    <w:name w:val="Table Grid"/>
    <w:basedOn w:val="TableNormal"/>
    <w:uiPriority w:val="39"/>
    <w:rsid w:val="00BA4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7127"/>
    <w:rPr>
      <w:rFonts w:asciiTheme="majorHAnsi" w:eastAsia="Lato Light" w:hAnsiTheme="majorHAnsi" w:cs="Lato Light"/>
      <w:color w:val="002F6C" w:themeColor="text2"/>
      <w:sz w:val="70"/>
      <w:szCs w:val="70"/>
    </w:rPr>
  </w:style>
  <w:style w:type="paragraph" w:styleId="ListParagraph">
    <w:name w:val="List Paragraph"/>
    <w:basedOn w:val="Normal"/>
    <w:uiPriority w:val="1"/>
    <w:qFormat/>
    <w:rsid w:val="00C87127"/>
    <w:pPr>
      <w:ind w:left="720"/>
      <w:contextualSpacing/>
    </w:pPr>
  </w:style>
  <w:style w:type="character" w:styleId="Hyperlink">
    <w:name w:val="Hyperlink"/>
    <w:basedOn w:val="DefaultParagraphFont"/>
    <w:uiPriority w:val="99"/>
    <w:unhideWhenUsed/>
    <w:rsid w:val="00BA41D9"/>
    <w:rPr>
      <w:color w:val="0064B9" w:themeColor="hyperlink"/>
      <w:u w:val="single"/>
    </w:rPr>
  </w:style>
  <w:style w:type="character" w:styleId="FollowedHyperlink">
    <w:name w:val="FollowedHyperlink"/>
    <w:basedOn w:val="DefaultParagraphFont"/>
    <w:uiPriority w:val="99"/>
    <w:semiHidden/>
    <w:unhideWhenUsed/>
    <w:rsid w:val="00BA41D9"/>
    <w:rPr>
      <w:color w:val="A0C2E9" w:themeColor="followedHyperlink"/>
      <w:u w:val="single"/>
    </w:rPr>
  </w:style>
  <w:style w:type="paragraph" w:styleId="FootnoteText">
    <w:name w:val="footnote text"/>
    <w:basedOn w:val="Normal"/>
    <w:link w:val="FootnoteTextChar"/>
    <w:uiPriority w:val="99"/>
    <w:unhideWhenUsed/>
    <w:rsid w:val="000C4DDD"/>
    <w:pPr>
      <w:spacing w:after="180"/>
    </w:pPr>
    <w:rPr>
      <w:sz w:val="18"/>
      <w:szCs w:val="18"/>
    </w:rPr>
  </w:style>
  <w:style w:type="character" w:customStyle="1" w:styleId="FootnoteTextChar">
    <w:name w:val="Footnote Text Char"/>
    <w:basedOn w:val="DefaultParagraphFont"/>
    <w:link w:val="FootnoteText"/>
    <w:uiPriority w:val="99"/>
    <w:rsid w:val="000C4DDD"/>
    <w:rPr>
      <w:rFonts w:ascii="Gill Sans MT" w:eastAsia="Source Sans Pro" w:hAnsi="Gill Sans MT" w:cstheme="minorBidi"/>
      <w:sz w:val="18"/>
      <w:szCs w:val="18"/>
    </w:rPr>
  </w:style>
  <w:style w:type="table" w:styleId="GridTable4-Accent2">
    <w:name w:val="Grid Table 4 Accent 2"/>
    <w:basedOn w:val="TableNormal"/>
    <w:uiPriority w:val="49"/>
    <w:rsid w:val="006C3FA4"/>
    <w:pPr>
      <w:spacing w:after="0" w:line="240" w:lineRule="auto"/>
    </w:pPr>
    <w:tblPr>
      <w:tblStyleRowBandSize w:val="1"/>
      <w:tblStyleColBandSize w:val="1"/>
      <w:tblBorders>
        <w:top w:val="single" w:sz="4" w:space="0" w:color="C7DBF4" w:themeColor="accent2" w:themeTint="99"/>
        <w:left w:val="single" w:sz="4" w:space="0" w:color="C7DBF4" w:themeColor="accent2" w:themeTint="99"/>
        <w:bottom w:val="single" w:sz="4" w:space="0" w:color="C7DBF4" w:themeColor="accent2" w:themeTint="99"/>
        <w:right w:val="single" w:sz="4" w:space="0" w:color="C7DBF4" w:themeColor="accent2" w:themeTint="99"/>
        <w:insideH w:val="single" w:sz="4" w:space="0" w:color="C7DBF4" w:themeColor="accent2" w:themeTint="99"/>
        <w:insideV w:val="single" w:sz="4" w:space="0" w:color="C7DBF4" w:themeColor="accent2" w:themeTint="99"/>
      </w:tblBorders>
    </w:tblPr>
    <w:tblStylePr w:type="firstRow">
      <w:rPr>
        <w:b/>
        <w:bCs/>
        <w:color w:val="FFFFFF" w:themeColor="background1"/>
      </w:rPr>
      <w:tblPr/>
      <w:tcPr>
        <w:tcBorders>
          <w:top w:val="single" w:sz="4" w:space="0" w:color="A2C4ED" w:themeColor="accent2"/>
          <w:left w:val="single" w:sz="4" w:space="0" w:color="A2C4ED" w:themeColor="accent2"/>
          <w:bottom w:val="single" w:sz="4" w:space="0" w:color="A2C4ED" w:themeColor="accent2"/>
          <w:right w:val="single" w:sz="4" w:space="0" w:color="A2C4ED" w:themeColor="accent2"/>
          <w:insideH w:val="nil"/>
          <w:insideV w:val="nil"/>
        </w:tcBorders>
        <w:shd w:val="clear" w:color="auto" w:fill="A2C4ED" w:themeFill="accent2"/>
      </w:tcPr>
    </w:tblStylePr>
    <w:tblStylePr w:type="lastRow">
      <w:rPr>
        <w:b/>
        <w:bCs/>
      </w:rPr>
      <w:tblPr/>
      <w:tcPr>
        <w:tcBorders>
          <w:top w:val="double" w:sz="4" w:space="0" w:color="A2C4ED" w:themeColor="accent2"/>
        </w:tcBorders>
      </w:tcPr>
    </w:tblStylePr>
    <w:tblStylePr w:type="firstCol">
      <w:rPr>
        <w:b/>
        <w:bCs/>
      </w:rPr>
    </w:tblStylePr>
    <w:tblStylePr w:type="lastCol">
      <w:rPr>
        <w:b/>
        <w:bCs/>
      </w:rPr>
    </w:tblStylePr>
    <w:tblStylePr w:type="band1Vert">
      <w:tblPr/>
      <w:tcPr>
        <w:shd w:val="clear" w:color="auto" w:fill="ECF3FB" w:themeFill="accent2" w:themeFillTint="33"/>
      </w:tcPr>
    </w:tblStylePr>
    <w:tblStylePr w:type="band1Horz">
      <w:tblPr/>
      <w:tcPr>
        <w:shd w:val="clear" w:color="auto" w:fill="ECF3FB" w:themeFill="accent2" w:themeFillTint="33"/>
      </w:tcPr>
    </w:tblStylePr>
  </w:style>
  <w:style w:type="paragraph" w:styleId="Header">
    <w:name w:val="header"/>
    <w:basedOn w:val="Normal"/>
    <w:link w:val="HeaderChar"/>
    <w:uiPriority w:val="99"/>
    <w:unhideWhenUsed/>
    <w:rsid w:val="00B43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A7D"/>
  </w:style>
  <w:style w:type="paragraph" w:styleId="Footer">
    <w:name w:val="footer"/>
    <w:basedOn w:val="Normal"/>
    <w:link w:val="FooterChar"/>
    <w:uiPriority w:val="99"/>
    <w:unhideWhenUsed/>
    <w:rsid w:val="00B43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A7D"/>
  </w:style>
  <w:style w:type="paragraph" w:styleId="EndnoteText">
    <w:name w:val="endnote text"/>
    <w:basedOn w:val="Normal"/>
    <w:link w:val="EndnoteTextChar"/>
    <w:uiPriority w:val="99"/>
    <w:semiHidden/>
    <w:unhideWhenUsed/>
    <w:rsid w:val="00016FE0"/>
    <w:pPr>
      <w:spacing w:after="0" w:line="240" w:lineRule="auto"/>
    </w:pPr>
    <w:rPr>
      <w:rFonts w:eastAsia="MS Mincho" w:cs="GillSansMTStd-Book"/>
      <w:color w:val="6C6463"/>
      <w:sz w:val="20"/>
      <w:szCs w:val="20"/>
    </w:rPr>
  </w:style>
  <w:style w:type="character" w:customStyle="1" w:styleId="EndnoteTextChar">
    <w:name w:val="Endnote Text Char"/>
    <w:basedOn w:val="DefaultParagraphFont"/>
    <w:link w:val="EndnoteText"/>
    <w:uiPriority w:val="99"/>
    <w:semiHidden/>
    <w:rsid w:val="00016FE0"/>
    <w:rPr>
      <w:rFonts w:ascii="Gill Sans MT" w:eastAsia="MS Mincho" w:hAnsi="Gill Sans MT" w:cs="GillSansMTStd-Book"/>
      <w:color w:val="6C6463"/>
      <w:sz w:val="20"/>
      <w:szCs w:val="20"/>
    </w:rPr>
  </w:style>
  <w:style w:type="character" w:styleId="EndnoteReference">
    <w:name w:val="endnote reference"/>
    <w:basedOn w:val="DefaultParagraphFont"/>
    <w:uiPriority w:val="99"/>
    <w:semiHidden/>
    <w:unhideWhenUsed/>
    <w:rsid w:val="00016FE0"/>
    <w:rPr>
      <w:vertAlign w:val="superscript"/>
    </w:rPr>
  </w:style>
  <w:style w:type="character" w:styleId="CommentReference">
    <w:name w:val="annotation reference"/>
    <w:basedOn w:val="DefaultParagraphFont"/>
    <w:uiPriority w:val="99"/>
    <w:unhideWhenUsed/>
    <w:rsid w:val="00660779"/>
    <w:rPr>
      <w:sz w:val="16"/>
      <w:szCs w:val="16"/>
    </w:rPr>
  </w:style>
  <w:style w:type="paragraph" w:styleId="CommentText">
    <w:name w:val="annotation text"/>
    <w:basedOn w:val="Normal"/>
    <w:link w:val="CommentTextChar"/>
    <w:uiPriority w:val="99"/>
    <w:unhideWhenUsed/>
    <w:rsid w:val="00660779"/>
    <w:pPr>
      <w:spacing w:line="240" w:lineRule="auto"/>
    </w:pPr>
    <w:rPr>
      <w:sz w:val="20"/>
      <w:szCs w:val="20"/>
    </w:rPr>
  </w:style>
  <w:style w:type="character" w:customStyle="1" w:styleId="CommentTextChar">
    <w:name w:val="Comment Text Char"/>
    <w:basedOn w:val="DefaultParagraphFont"/>
    <w:link w:val="CommentText"/>
    <w:uiPriority w:val="99"/>
    <w:rsid w:val="00660779"/>
    <w:rPr>
      <w:sz w:val="20"/>
      <w:szCs w:val="20"/>
    </w:rPr>
  </w:style>
  <w:style w:type="paragraph" w:styleId="CommentSubject">
    <w:name w:val="annotation subject"/>
    <w:basedOn w:val="CommentText"/>
    <w:next w:val="CommentText"/>
    <w:link w:val="CommentSubjectChar"/>
    <w:uiPriority w:val="99"/>
    <w:semiHidden/>
    <w:unhideWhenUsed/>
    <w:rsid w:val="00660779"/>
    <w:rPr>
      <w:b/>
      <w:bCs/>
    </w:rPr>
  </w:style>
  <w:style w:type="character" w:customStyle="1" w:styleId="CommentSubjectChar">
    <w:name w:val="Comment Subject Char"/>
    <w:basedOn w:val="CommentTextChar"/>
    <w:link w:val="CommentSubject"/>
    <w:uiPriority w:val="99"/>
    <w:semiHidden/>
    <w:rsid w:val="00660779"/>
    <w:rPr>
      <w:b/>
      <w:bCs/>
      <w:sz w:val="20"/>
      <w:szCs w:val="20"/>
    </w:rPr>
  </w:style>
  <w:style w:type="character" w:styleId="PageNumber">
    <w:name w:val="page number"/>
    <w:basedOn w:val="DefaultParagraphFont"/>
    <w:uiPriority w:val="99"/>
    <w:semiHidden/>
    <w:unhideWhenUsed/>
    <w:rsid w:val="002747A9"/>
  </w:style>
  <w:style w:type="paragraph" w:styleId="TOC2">
    <w:name w:val="toc 2"/>
    <w:basedOn w:val="Normal"/>
    <w:next w:val="Normal"/>
    <w:autoRedefine/>
    <w:uiPriority w:val="39"/>
    <w:qFormat/>
    <w:rsid w:val="00B0379D"/>
    <w:pPr>
      <w:tabs>
        <w:tab w:val="right" w:leader="dot" w:pos="9360"/>
      </w:tabs>
      <w:spacing w:before="40" w:after="0" w:line="240" w:lineRule="auto"/>
      <w:ind w:left="360"/>
    </w:pPr>
    <w:rPr>
      <w:rFonts w:eastAsia="Gill Sans" w:cs="GillSansMTStd-Book"/>
      <w:noProof/>
      <w:sz w:val="21"/>
      <w:szCs w:val="20"/>
    </w:rPr>
  </w:style>
  <w:style w:type="paragraph" w:styleId="TOC1">
    <w:name w:val="toc 1"/>
    <w:basedOn w:val="Normal"/>
    <w:next w:val="Normal"/>
    <w:autoRedefine/>
    <w:uiPriority w:val="39"/>
    <w:qFormat/>
    <w:rsid w:val="00CF3474"/>
    <w:pPr>
      <w:tabs>
        <w:tab w:val="right" w:leader="dot" w:pos="9360"/>
      </w:tabs>
      <w:spacing w:before="320" w:after="0" w:line="240" w:lineRule="auto"/>
    </w:pPr>
    <w:rPr>
      <w:rFonts w:eastAsia="Gill Sans" w:cs="GillSansMTStd-Book"/>
      <w:noProof/>
      <w:sz w:val="28"/>
      <w:szCs w:val="26"/>
    </w:rPr>
  </w:style>
  <w:style w:type="character" w:customStyle="1" w:styleId="Heading2Char">
    <w:name w:val="Heading 2 Char"/>
    <w:basedOn w:val="DefaultParagraphFont"/>
    <w:link w:val="Heading2"/>
    <w:uiPriority w:val="9"/>
    <w:rsid w:val="00D055FD"/>
    <w:rPr>
      <w:rFonts w:asciiTheme="majorHAnsi" w:eastAsia="Lato Light" w:hAnsiTheme="majorHAnsi" w:cs="Lato Light"/>
      <w:color w:val="004A8C" w:themeColor="accent1" w:themeShade="BF"/>
      <w:sz w:val="48"/>
      <w:szCs w:val="48"/>
    </w:rPr>
  </w:style>
  <w:style w:type="character" w:customStyle="1" w:styleId="Heading3Char">
    <w:name w:val="Heading 3 Char"/>
    <w:basedOn w:val="DefaultParagraphFont"/>
    <w:link w:val="Heading3"/>
    <w:uiPriority w:val="9"/>
    <w:rsid w:val="00D055FD"/>
    <w:rPr>
      <w:rFonts w:asciiTheme="majorHAnsi" w:eastAsia="Lato Light" w:hAnsiTheme="majorHAnsi" w:cs="Lato Light"/>
      <w:color w:val="0064BB" w:themeColor="accent1"/>
      <w:sz w:val="34"/>
      <w:szCs w:val="34"/>
    </w:rPr>
  </w:style>
  <w:style w:type="paragraph" w:styleId="NoSpacing">
    <w:name w:val="No Spacing"/>
    <w:link w:val="NoSpacingChar"/>
    <w:uiPriority w:val="1"/>
    <w:qFormat/>
    <w:rsid w:val="005A22F0"/>
    <w:pPr>
      <w:spacing w:after="0" w:line="240" w:lineRule="auto"/>
    </w:pPr>
    <w:rPr>
      <w:rFonts w:ascii="Gill Sans MT" w:eastAsia="Source Sans Pro" w:hAnsi="Gill Sans MT" w:cstheme="minorBidi"/>
    </w:rPr>
  </w:style>
  <w:style w:type="character" w:customStyle="1" w:styleId="NoSpacingChar">
    <w:name w:val="No Spacing Char"/>
    <w:basedOn w:val="DefaultParagraphFont"/>
    <w:link w:val="NoSpacing"/>
    <w:uiPriority w:val="1"/>
    <w:rsid w:val="005A22F0"/>
    <w:rPr>
      <w:rFonts w:ascii="Gill Sans MT" w:eastAsia="Source Sans Pro" w:hAnsi="Gill Sans MT" w:cstheme="minorBidi"/>
    </w:rPr>
  </w:style>
  <w:style w:type="paragraph" w:styleId="ListBullet2">
    <w:name w:val="List Bullet 2"/>
    <w:basedOn w:val="Normal"/>
    <w:uiPriority w:val="99"/>
    <w:unhideWhenUsed/>
    <w:rsid w:val="004B76D1"/>
    <w:pPr>
      <w:numPr>
        <w:numId w:val="1"/>
      </w:numPr>
      <w:spacing w:before="160" w:line="240" w:lineRule="auto"/>
      <w:contextualSpacing/>
    </w:pPr>
    <w:rPr>
      <w:rFonts w:eastAsia="Gill Sans" w:cs="GillSansMTStd-Book"/>
    </w:rPr>
  </w:style>
  <w:style w:type="character" w:styleId="PlaceholderText">
    <w:name w:val="Placeholder Text"/>
    <w:basedOn w:val="DefaultParagraphFont"/>
    <w:uiPriority w:val="99"/>
    <w:semiHidden/>
    <w:rsid w:val="0060102D"/>
    <w:rPr>
      <w:color w:val="808080"/>
    </w:rPr>
  </w:style>
  <w:style w:type="paragraph" w:styleId="Revision">
    <w:name w:val="Revision"/>
    <w:hidden/>
    <w:uiPriority w:val="99"/>
    <w:semiHidden/>
    <w:rsid w:val="00A26474"/>
    <w:pPr>
      <w:spacing w:after="0" w:line="240" w:lineRule="auto"/>
    </w:pPr>
  </w:style>
  <w:style w:type="character" w:customStyle="1" w:styleId="Heading4Char">
    <w:name w:val="Heading 4 Char"/>
    <w:basedOn w:val="DefaultParagraphFont"/>
    <w:link w:val="Heading4"/>
    <w:uiPriority w:val="9"/>
    <w:rsid w:val="00C87127"/>
    <w:rPr>
      <w:rFonts w:asciiTheme="majorHAnsi" w:eastAsia="Lato Light" w:hAnsiTheme="majorHAnsi" w:cs="Lato Light"/>
      <w:i/>
      <w:iCs/>
      <w:color w:val="4D8EDC" w:themeColor="accent2" w:themeShade="BF"/>
      <w:sz w:val="28"/>
      <w:szCs w:val="30"/>
    </w:rPr>
  </w:style>
  <w:style w:type="paragraph" w:customStyle="1" w:styleId="Bullet1">
    <w:name w:val="Bullet 1"/>
    <w:basedOn w:val="Normal"/>
    <w:autoRedefine/>
    <w:uiPriority w:val="2"/>
    <w:qFormat/>
    <w:rsid w:val="00AD18F5"/>
    <w:pPr>
      <w:widowControl w:val="0"/>
      <w:numPr>
        <w:numId w:val="2"/>
      </w:numPr>
      <w:autoSpaceDE w:val="0"/>
      <w:autoSpaceDN w:val="0"/>
      <w:adjustRightInd w:val="0"/>
      <w:spacing w:line="280" w:lineRule="atLeast"/>
      <w:ind w:left="360"/>
      <w:textAlignment w:val="center"/>
    </w:pPr>
    <w:rPr>
      <w:rFonts w:eastAsia="MS Mincho" w:cs="GillSansMTStd-Book"/>
      <w:color w:val="6C6463"/>
    </w:rPr>
  </w:style>
  <w:style w:type="paragraph" w:styleId="TOC3">
    <w:name w:val="toc 3"/>
    <w:basedOn w:val="Normal"/>
    <w:next w:val="Normal"/>
    <w:autoRedefine/>
    <w:uiPriority w:val="39"/>
    <w:unhideWhenUsed/>
    <w:qFormat/>
    <w:rsid w:val="0035116E"/>
    <w:pPr>
      <w:tabs>
        <w:tab w:val="right" w:leader="dot" w:pos="9350"/>
      </w:tabs>
      <w:spacing w:after="120"/>
    </w:pPr>
    <w:rPr>
      <w:noProof/>
    </w:rPr>
  </w:style>
  <w:style w:type="paragraph" w:styleId="TOCHeading">
    <w:name w:val="TOC Heading"/>
    <w:basedOn w:val="Heading1"/>
    <w:next w:val="Normal"/>
    <w:uiPriority w:val="39"/>
    <w:unhideWhenUsed/>
    <w:qFormat/>
    <w:rsid w:val="00182EBE"/>
    <w:pPr>
      <w:spacing w:before="480" w:after="120"/>
      <w:outlineLvl w:val="9"/>
    </w:pPr>
    <w:rPr>
      <w:rFonts w:eastAsiaTheme="majorEastAsia" w:cstheme="majorBidi"/>
      <w:szCs w:val="28"/>
    </w:rPr>
  </w:style>
  <w:style w:type="paragraph" w:styleId="Subtitle">
    <w:name w:val="Subtitle"/>
    <w:basedOn w:val="Normal"/>
    <w:next w:val="Normal"/>
    <w:link w:val="SubtitleChar"/>
    <w:uiPriority w:val="11"/>
    <w:qFormat/>
    <w:rPr>
      <w:i/>
      <w:color w:val="002F6C"/>
      <w:sz w:val="40"/>
      <w:szCs w:val="4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4" w:type="dxa"/>
        <w:left w:w="72" w:type="dxa"/>
        <w:bottom w:w="14" w:type="dxa"/>
        <w:right w:w="72" w:type="dxa"/>
      </w:tblCellMar>
    </w:tblPr>
  </w:style>
  <w:style w:type="table" w:customStyle="1" w:styleId="a2">
    <w:basedOn w:val="TableNormal"/>
    <w:tblPr>
      <w:tblStyleRowBandSize w:val="1"/>
      <w:tblStyleColBandSize w:val="1"/>
      <w:tblCellMar>
        <w:top w:w="14" w:type="dxa"/>
        <w:left w:w="72" w:type="dxa"/>
        <w:bottom w:w="14" w:type="dxa"/>
        <w:right w:w="72" w:type="dxa"/>
      </w:tblCellMar>
    </w:tblPr>
  </w:style>
  <w:style w:type="table" w:customStyle="1" w:styleId="a3">
    <w:basedOn w:val="TableNormal"/>
    <w:tblPr>
      <w:tblStyleRowBandSize w:val="1"/>
      <w:tblStyleColBandSize w:val="1"/>
      <w:tblCellMar>
        <w:top w:w="14" w:type="dxa"/>
        <w:left w:w="72" w:type="dxa"/>
        <w:bottom w:w="14" w:type="dxa"/>
        <w:right w:w="72" w:type="dxa"/>
      </w:tblCellMar>
    </w:tblPr>
  </w:style>
  <w:style w:type="table" w:customStyle="1" w:styleId="a4">
    <w:basedOn w:val="TableNormal"/>
    <w:tblPr>
      <w:tblStyleRowBandSize w:val="1"/>
      <w:tblStyleColBandSize w:val="1"/>
      <w:tblCellMar>
        <w:top w:w="14" w:type="dxa"/>
        <w:left w:w="72" w:type="dxa"/>
        <w:bottom w:w="14" w:type="dxa"/>
        <w:right w:w="72" w:type="dxa"/>
      </w:tblCellMar>
    </w:tblPr>
  </w:style>
  <w:style w:type="table" w:customStyle="1" w:styleId="a5">
    <w:basedOn w:val="TableNormal"/>
    <w:tblPr>
      <w:tblStyleRowBandSize w:val="1"/>
      <w:tblStyleColBandSize w:val="1"/>
      <w:tblCellMar>
        <w:top w:w="14" w:type="dxa"/>
        <w:left w:w="72" w:type="dxa"/>
        <w:bottom w:w="14" w:type="dxa"/>
        <w:right w:w="72" w:type="dxa"/>
      </w:tblCellMar>
    </w:tblPr>
  </w:style>
  <w:style w:type="table" w:customStyle="1" w:styleId="a6">
    <w:basedOn w:val="TableNormal"/>
    <w:tblPr>
      <w:tblStyleRowBandSize w:val="1"/>
      <w:tblStyleColBandSize w:val="1"/>
      <w:tblCellMar>
        <w:top w:w="14" w:type="dxa"/>
        <w:left w:w="72" w:type="dxa"/>
        <w:bottom w:w="14" w:type="dxa"/>
        <w:right w:w="72" w:type="dxa"/>
      </w:tblCellMar>
    </w:tblPr>
  </w:style>
  <w:style w:type="table" w:customStyle="1" w:styleId="a7">
    <w:basedOn w:val="TableNormal"/>
    <w:tblPr>
      <w:tblStyleRowBandSize w:val="1"/>
      <w:tblStyleColBandSize w:val="1"/>
      <w:tblCellMar>
        <w:top w:w="14" w:type="dxa"/>
        <w:left w:w="72" w:type="dxa"/>
        <w:bottom w:w="14" w:type="dxa"/>
        <w:right w:w="72"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4" w:type="dxa"/>
        <w:left w:w="72" w:type="dxa"/>
        <w:bottom w:w="14" w:type="dxa"/>
        <w:right w:w="72" w:type="dxa"/>
      </w:tblCellMar>
    </w:tblPr>
  </w:style>
  <w:style w:type="table" w:customStyle="1" w:styleId="aa">
    <w:basedOn w:val="TableNormal"/>
    <w:tblPr>
      <w:tblStyleRowBandSize w:val="1"/>
      <w:tblStyleColBandSize w:val="1"/>
      <w:tblCellMar>
        <w:top w:w="14" w:type="dxa"/>
        <w:left w:w="72" w:type="dxa"/>
        <w:bottom w:w="14" w:type="dxa"/>
        <w:right w:w="72" w:type="dxa"/>
      </w:tblCellMar>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tblPr>
      <w:tblStyleRowBandSize w:val="1"/>
      <w:tblStyleColBandSize w:val="1"/>
      <w:tblCellMar>
        <w:top w:w="14" w:type="dxa"/>
        <w:left w:w="72" w:type="dxa"/>
        <w:bottom w:w="14" w:type="dxa"/>
        <w:right w:w="72" w:type="dxa"/>
      </w:tblCellMar>
    </w:tblPr>
  </w:style>
  <w:style w:type="table" w:customStyle="1" w:styleId="ae">
    <w:basedOn w:val="TableNormal"/>
    <w:tblPr>
      <w:tblStyleRowBandSize w:val="1"/>
      <w:tblStyleColBandSize w:val="1"/>
      <w:tblCellMar>
        <w:top w:w="14" w:type="dxa"/>
        <w:left w:w="72" w:type="dxa"/>
        <w:bottom w:w="14" w:type="dxa"/>
        <w:right w:w="72" w:type="dxa"/>
      </w:tblCellMar>
    </w:tblPr>
  </w:style>
  <w:style w:type="table" w:customStyle="1" w:styleId="af">
    <w:basedOn w:val="TableNormal"/>
    <w:tblPr>
      <w:tblStyleRowBandSize w:val="1"/>
      <w:tblStyleColBandSize w:val="1"/>
      <w:tblCellMar>
        <w:top w:w="14" w:type="dxa"/>
        <w:left w:w="72" w:type="dxa"/>
        <w:bottom w:w="14" w:type="dxa"/>
        <w:right w:w="72" w:type="dxa"/>
      </w:tblCellMar>
    </w:tblPr>
  </w:style>
  <w:style w:type="table" w:customStyle="1" w:styleId="af0">
    <w:basedOn w:val="TableNormal"/>
    <w:tblPr>
      <w:tblStyleRowBandSize w:val="1"/>
      <w:tblStyleColBandSize w:val="1"/>
      <w:tblCellMar>
        <w:top w:w="14" w:type="dxa"/>
        <w:left w:w="72" w:type="dxa"/>
        <w:bottom w:w="14" w:type="dxa"/>
        <w:right w:w="72"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top w:w="14" w:type="dxa"/>
        <w:left w:w="72" w:type="dxa"/>
        <w:bottom w:w="14" w:type="dxa"/>
        <w:right w:w="72" w:type="dxa"/>
      </w:tblCellMar>
    </w:tblPr>
  </w:style>
  <w:style w:type="table" w:customStyle="1" w:styleId="af3">
    <w:basedOn w:val="TableNormal"/>
    <w:tblPr>
      <w:tblStyleRowBandSize w:val="1"/>
      <w:tblStyleColBandSize w:val="1"/>
      <w:tblCellMar>
        <w:top w:w="14" w:type="dxa"/>
        <w:left w:w="72" w:type="dxa"/>
        <w:bottom w:w="14" w:type="dxa"/>
        <w:right w:w="72" w:type="dxa"/>
      </w:tblCellMar>
    </w:tblPr>
  </w:style>
  <w:style w:type="table" w:customStyle="1" w:styleId="af4">
    <w:basedOn w:val="TableNormal"/>
    <w:tblPr>
      <w:tblStyleRowBandSize w:val="1"/>
      <w:tblStyleColBandSize w:val="1"/>
      <w:tblCellMar>
        <w:top w:w="14" w:type="dxa"/>
        <w:left w:w="72" w:type="dxa"/>
        <w:bottom w:w="14" w:type="dxa"/>
        <w:right w:w="72" w:type="dxa"/>
      </w:tblCellMar>
    </w:tblPr>
  </w:style>
  <w:style w:type="table" w:customStyle="1" w:styleId="af5">
    <w:basedOn w:val="TableNormal"/>
    <w:tblPr>
      <w:tblStyleRowBandSize w:val="1"/>
      <w:tblStyleColBandSize w:val="1"/>
      <w:tblCellMar>
        <w:top w:w="14" w:type="dxa"/>
        <w:left w:w="72" w:type="dxa"/>
        <w:bottom w:w="14" w:type="dxa"/>
        <w:right w:w="72" w:type="dxa"/>
      </w:tblCellMar>
    </w:tblPr>
  </w:style>
  <w:style w:type="table" w:customStyle="1" w:styleId="af6">
    <w:basedOn w:val="TableNormal"/>
    <w:tblPr>
      <w:tblStyleRowBandSize w:val="1"/>
      <w:tblStyleColBandSize w:val="1"/>
      <w:tblCellMar>
        <w:top w:w="14" w:type="dxa"/>
        <w:left w:w="72" w:type="dxa"/>
        <w:bottom w:w="14" w:type="dxa"/>
        <w:right w:w="72" w:type="dxa"/>
      </w:tblCellMar>
    </w:tblPr>
  </w:style>
  <w:style w:type="table" w:customStyle="1" w:styleId="af7">
    <w:basedOn w:val="TableNormal"/>
    <w:tblPr>
      <w:tblStyleRowBandSize w:val="1"/>
      <w:tblStyleColBandSize w:val="1"/>
      <w:tblCellMar>
        <w:top w:w="14" w:type="dxa"/>
        <w:left w:w="72" w:type="dxa"/>
        <w:bottom w:w="14" w:type="dxa"/>
        <w:right w:w="72" w:type="dxa"/>
      </w:tblCellMar>
    </w:tblPr>
  </w:style>
  <w:style w:type="table" w:customStyle="1" w:styleId="af8">
    <w:basedOn w:val="TableNormal"/>
    <w:tblPr>
      <w:tblStyleRowBandSize w:val="1"/>
      <w:tblStyleColBandSize w:val="1"/>
      <w:tblCellMar>
        <w:top w:w="14" w:type="dxa"/>
        <w:left w:w="72" w:type="dxa"/>
        <w:bottom w:w="14" w:type="dxa"/>
        <w:right w:w="72" w:type="dxa"/>
      </w:tblCellMar>
    </w:tblPr>
  </w:style>
  <w:style w:type="table" w:customStyle="1" w:styleId="af9">
    <w:basedOn w:val="TableNormal"/>
    <w:tblPr>
      <w:tblStyleRowBandSize w:val="1"/>
      <w:tblStyleColBandSize w:val="1"/>
      <w:tblCellMar>
        <w:top w:w="14" w:type="dxa"/>
        <w:left w:w="72" w:type="dxa"/>
        <w:bottom w:w="14" w:type="dxa"/>
        <w:right w:w="72" w:type="dxa"/>
      </w:tblCellMar>
    </w:tblPr>
  </w:style>
  <w:style w:type="table" w:customStyle="1" w:styleId="afa">
    <w:basedOn w:val="TableNormal"/>
    <w:tblPr>
      <w:tblStyleRowBandSize w:val="1"/>
      <w:tblStyleColBandSize w:val="1"/>
      <w:tblCellMar>
        <w:top w:w="14" w:type="dxa"/>
        <w:left w:w="72" w:type="dxa"/>
        <w:bottom w:w="14" w:type="dxa"/>
        <w:right w:w="72" w:type="dxa"/>
      </w:tblCellMar>
    </w:tblPr>
  </w:style>
  <w:style w:type="table" w:customStyle="1" w:styleId="afb">
    <w:basedOn w:val="TableNormal"/>
    <w:tblPr>
      <w:tblStyleRowBandSize w:val="1"/>
      <w:tblStyleColBandSize w:val="1"/>
      <w:tblCellMar>
        <w:top w:w="14" w:type="dxa"/>
        <w:left w:w="72" w:type="dxa"/>
        <w:bottom w:w="14" w:type="dxa"/>
        <w:right w:w="72" w:type="dxa"/>
      </w:tblCellMar>
    </w:tblPr>
  </w:style>
  <w:style w:type="table" w:customStyle="1" w:styleId="afc">
    <w:basedOn w:val="TableNormal"/>
    <w:tblPr>
      <w:tblStyleRowBandSize w:val="1"/>
      <w:tblStyleColBandSize w:val="1"/>
      <w:tblCellMar>
        <w:top w:w="14" w:type="dxa"/>
        <w:left w:w="72" w:type="dxa"/>
        <w:bottom w:w="14" w:type="dxa"/>
        <w:right w:w="72" w:type="dxa"/>
      </w:tblCellMar>
    </w:tblPr>
  </w:style>
  <w:style w:type="table" w:customStyle="1" w:styleId="afd">
    <w:basedOn w:val="TableNormal"/>
    <w:tblPr>
      <w:tblStyleRowBandSize w:val="1"/>
      <w:tblStyleColBandSize w:val="1"/>
      <w:tblCellMar>
        <w:top w:w="14" w:type="dxa"/>
        <w:left w:w="72" w:type="dxa"/>
        <w:bottom w:w="14" w:type="dxa"/>
        <w:right w:w="72"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top w:w="14" w:type="dxa"/>
        <w:left w:w="72" w:type="dxa"/>
        <w:bottom w:w="14" w:type="dxa"/>
        <w:right w:w="72" w:type="dxa"/>
      </w:tblCellMar>
    </w:tblPr>
  </w:style>
  <w:style w:type="table" w:customStyle="1" w:styleId="aff0">
    <w:basedOn w:val="TableNormal"/>
    <w:tblPr>
      <w:tblStyleRowBandSize w:val="1"/>
      <w:tblStyleColBandSize w:val="1"/>
      <w:tblCellMar>
        <w:top w:w="14" w:type="dxa"/>
        <w:left w:w="72" w:type="dxa"/>
        <w:bottom w:w="14" w:type="dxa"/>
        <w:right w:w="72"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top w:w="14" w:type="dxa"/>
        <w:left w:w="72" w:type="dxa"/>
        <w:bottom w:w="14" w:type="dxa"/>
        <w:right w:w="72" w:type="dxa"/>
      </w:tblCellMar>
    </w:tblPr>
  </w:style>
  <w:style w:type="table" w:customStyle="1" w:styleId="aff3">
    <w:basedOn w:val="TableNormal"/>
    <w:tblPr>
      <w:tblStyleRowBandSize w:val="1"/>
      <w:tblStyleColBandSize w:val="1"/>
      <w:tblCellMar>
        <w:top w:w="14" w:type="dxa"/>
        <w:left w:w="72" w:type="dxa"/>
        <w:bottom w:w="14" w:type="dxa"/>
        <w:right w:w="72" w:type="dxa"/>
      </w:tblCellMar>
    </w:tblPr>
  </w:style>
  <w:style w:type="table" w:customStyle="1" w:styleId="aff4">
    <w:basedOn w:val="TableNormal"/>
    <w:tblPr>
      <w:tblStyleRowBandSize w:val="1"/>
      <w:tblStyleColBandSize w:val="1"/>
      <w:tblCellMar>
        <w:top w:w="14" w:type="dxa"/>
        <w:left w:w="72" w:type="dxa"/>
        <w:bottom w:w="14" w:type="dxa"/>
        <w:right w:w="72"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top w:w="14" w:type="dxa"/>
        <w:left w:w="72" w:type="dxa"/>
        <w:bottom w:w="14" w:type="dxa"/>
        <w:right w:w="72"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top w:w="14" w:type="dxa"/>
        <w:left w:w="72" w:type="dxa"/>
        <w:bottom w:w="14" w:type="dxa"/>
        <w:right w:w="72" w:type="dxa"/>
      </w:tblCellMar>
    </w:tblPr>
  </w:style>
  <w:style w:type="table" w:customStyle="1" w:styleId="aff9">
    <w:basedOn w:val="TableNormal"/>
    <w:pPr>
      <w:spacing w:after="0" w:line="240" w:lineRule="auto"/>
    </w:pPr>
    <w:tblPr>
      <w:tblStyleRowBandSize w:val="1"/>
      <w:tblStyleColBandSize w:val="1"/>
    </w:tblPr>
  </w:style>
  <w:style w:type="table" w:customStyle="1" w:styleId="affa">
    <w:basedOn w:val="TableNormal"/>
    <w:tblPr>
      <w:tblStyleRowBandSize w:val="1"/>
      <w:tblStyleColBandSize w:val="1"/>
      <w:tblCellMar>
        <w:top w:w="14" w:type="dxa"/>
        <w:left w:w="72" w:type="dxa"/>
        <w:bottom w:w="14" w:type="dxa"/>
        <w:right w:w="72" w:type="dxa"/>
      </w:tblCellMar>
    </w:tblPr>
  </w:style>
  <w:style w:type="table" w:customStyle="1" w:styleId="affb">
    <w:basedOn w:val="TableNormal"/>
    <w:pPr>
      <w:spacing w:after="0" w:line="240" w:lineRule="auto"/>
    </w:pPr>
    <w:tblPr>
      <w:tblStyleRowBandSize w:val="1"/>
      <w:tblStyleColBandSize w:val="1"/>
    </w:tblPr>
  </w:style>
  <w:style w:type="table" w:customStyle="1" w:styleId="affc">
    <w:basedOn w:val="TableNormal"/>
    <w:tblPr>
      <w:tblStyleRowBandSize w:val="1"/>
      <w:tblStyleColBandSize w:val="1"/>
      <w:tblCellMar>
        <w:top w:w="14" w:type="dxa"/>
        <w:left w:w="72" w:type="dxa"/>
        <w:bottom w:w="14" w:type="dxa"/>
        <w:right w:w="72" w:type="dxa"/>
      </w:tblCellMar>
    </w:tblPr>
  </w:style>
  <w:style w:type="table" w:customStyle="1" w:styleId="affd">
    <w:basedOn w:val="TableNormal"/>
    <w:pPr>
      <w:spacing w:after="0" w:line="240" w:lineRule="auto"/>
    </w:pPr>
    <w:tblPr>
      <w:tblStyleRowBandSize w:val="1"/>
      <w:tblStyleColBandSize w:val="1"/>
    </w:tblPr>
  </w:style>
  <w:style w:type="table" w:customStyle="1" w:styleId="affe">
    <w:basedOn w:val="TableNormal"/>
    <w:tblPr>
      <w:tblStyleRowBandSize w:val="1"/>
      <w:tblStyleColBandSize w:val="1"/>
      <w:tblCellMar>
        <w:top w:w="14" w:type="dxa"/>
        <w:left w:w="72" w:type="dxa"/>
        <w:bottom w:w="14" w:type="dxa"/>
        <w:right w:w="72" w:type="dxa"/>
      </w:tblCellMar>
    </w:tblPr>
  </w:style>
  <w:style w:type="table" w:customStyle="1" w:styleId="afff">
    <w:basedOn w:val="TableNormal"/>
    <w:pPr>
      <w:spacing w:after="0" w:line="240" w:lineRule="auto"/>
    </w:p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top w:w="14" w:type="dxa"/>
        <w:left w:w="72" w:type="dxa"/>
        <w:bottom w:w="14" w:type="dxa"/>
        <w:right w:w="72" w:type="dxa"/>
      </w:tblCellMar>
    </w:tblPr>
  </w:style>
  <w:style w:type="table" w:customStyle="1" w:styleId="afff2">
    <w:basedOn w:val="TableNormal"/>
    <w:tblPr>
      <w:tblStyleRowBandSize w:val="1"/>
      <w:tblStyleColBandSize w:val="1"/>
      <w:tblCellMar>
        <w:top w:w="14" w:type="dxa"/>
        <w:left w:w="72" w:type="dxa"/>
        <w:bottom w:w="14" w:type="dxa"/>
        <w:right w:w="72" w:type="dxa"/>
      </w:tblCellMar>
    </w:tblPr>
  </w:style>
  <w:style w:type="table" w:customStyle="1" w:styleId="afff3">
    <w:basedOn w:val="TableNormal"/>
    <w:tblPr>
      <w:tblStyleRowBandSize w:val="1"/>
      <w:tblStyleColBandSize w:val="1"/>
      <w:tblCellMar>
        <w:top w:w="14" w:type="dxa"/>
        <w:left w:w="72" w:type="dxa"/>
        <w:bottom w:w="14" w:type="dxa"/>
        <w:right w:w="72"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top w:w="14" w:type="dxa"/>
        <w:left w:w="72" w:type="dxa"/>
        <w:bottom w:w="14" w:type="dxa"/>
        <w:right w:w="72" w:type="dxa"/>
      </w:tblCellMar>
    </w:tblPr>
  </w:style>
  <w:style w:type="table" w:customStyle="1" w:styleId="afff6">
    <w:basedOn w:val="TableNormal"/>
    <w:tblPr>
      <w:tblStyleRowBandSize w:val="1"/>
      <w:tblStyleColBandSize w:val="1"/>
      <w:tblCellMar>
        <w:top w:w="14" w:type="dxa"/>
        <w:left w:w="72" w:type="dxa"/>
        <w:bottom w:w="14" w:type="dxa"/>
        <w:right w:w="72" w:type="dxa"/>
      </w:tblCellMar>
    </w:tblPr>
  </w:style>
  <w:style w:type="table" w:customStyle="1" w:styleId="afff7">
    <w:basedOn w:val="TableNormal"/>
    <w:tblPr>
      <w:tblStyleRowBandSize w:val="1"/>
      <w:tblStyleColBandSize w:val="1"/>
      <w:tblCellMar>
        <w:top w:w="14" w:type="dxa"/>
        <w:left w:w="72" w:type="dxa"/>
        <w:bottom w:w="14" w:type="dxa"/>
        <w:right w:w="72"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top w:w="14" w:type="dxa"/>
        <w:left w:w="72" w:type="dxa"/>
        <w:bottom w:w="14" w:type="dxa"/>
        <w:right w:w="72" w:type="dxa"/>
      </w:tblCellMar>
    </w:tblPr>
  </w:style>
  <w:style w:type="table" w:customStyle="1" w:styleId="afffa">
    <w:basedOn w:val="TableNormal"/>
    <w:tblPr>
      <w:tblStyleRowBandSize w:val="1"/>
      <w:tblStyleColBandSize w:val="1"/>
      <w:tblCellMar>
        <w:top w:w="14" w:type="dxa"/>
        <w:left w:w="72" w:type="dxa"/>
        <w:bottom w:w="14" w:type="dxa"/>
        <w:right w:w="72" w:type="dxa"/>
      </w:tblCellMar>
    </w:tblPr>
  </w:style>
  <w:style w:type="table" w:customStyle="1" w:styleId="afffb">
    <w:basedOn w:val="TableNormal"/>
    <w:tblPr>
      <w:tblStyleRowBandSize w:val="1"/>
      <w:tblStyleColBandSize w:val="1"/>
      <w:tblCellMar>
        <w:top w:w="14" w:type="dxa"/>
        <w:left w:w="72" w:type="dxa"/>
        <w:bottom w:w="14" w:type="dxa"/>
        <w:right w:w="72" w:type="dxa"/>
      </w:tblCellMar>
    </w:tblPr>
  </w:style>
  <w:style w:type="table" w:customStyle="1" w:styleId="afffc">
    <w:basedOn w:val="TableNormal"/>
    <w:tblPr>
      <w:tblStyleRowBandSize w:val="1"/>
      <w:tblStyleColBandSize w:val="1"/>
      <w:tblCellMar>
        <w:left w:w="115" w:type="dxa"/>
        <w:right w:w="115" w:type="dxa"/>
      </w:tblCellMar>
    </w:tblPr>
  </w:style>
  <w:style w:type="paragraph" w:styleId="TOC4">
    <w:name w:val="toc 4"/>
    <w:basedOn w:val="Normal"/>
    <w:next w:val="Normal"/>
    <w:autoRedefine/>
    <w:uiPriority w:val="39"/>
    <w:unhideWhenUsed/>
    <w:rsid w:val="00B84708"/>
    <w:pPr>
      <w:spacing w:after="100"/>
      <w:ind w:left="660"/>
    </w:p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top w:w="14" w:type="dxa"/>
        <w:left w:w="72" w:type="dxa"/>
        <w:bottom w:w="14" w:type="dxa"/>
        <w:right w:w="72" w:type="dxa"/>
      </w:tblCellMar>
    </w:tblPr>
  </w:style>
  <w:style w:type="table" w:customStyle="1" w:styleId="affff0">
    <w:basedOn w:val="TableNormal"/>
    <w:tblPr>
      <w:tblStyleRowBandSize w:val="1"/>
      <w:tblStyleColBandSize w:val="1"/>
      <w:tblCellMar>
        <w:top w:w="14" w:type="dxa"/>
        <w:left w:w="72" w:type="dxa"/>
        <w:bottom w:w="14" w:type="dxa"/>
        <w:right w:w="72" w:type="dxa"/>
      </w:tblCellMar>
    </w:tblPr>
  </w:style>
  <w:style w:type="table" w:customStyle="1" w:styleId="affff1">
    <w:basedOn w:val="TableNormal"/>
    <w:tblPr>
      <w:tblStyleRowBandSize w:val="1"/>
      <w:tblStyleColBandSize w:val="1"/>
      <w:tblCellMar>
        <w:top w:w="14" w:type="dxa"/>
        <w:left w:w="72" w:type="dxa"/>
        <w:bottom w:w="14" w:type="dxa"/>
        <w:right w:w="72"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top w:w="14" w:type="dxa"/>
        <w:left w:w="72" w:type="dxa"/>
        <w:bottom w:w="14" w:type="dxa"/>
        <w:right w:w="72"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top w:w="14" w:type="dxa"/>
        <w:left w:w="72" w:type="dxa"/>
        <w:bottom w:w="14" w:type="dxa"/>
        <w:right w:w="72"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top w:w="14" w:type="dxa"/>
        <w:left w:w="72" w:type="dxa"/>
        <w:bottom w:w="14" w:type="dxa"/>
        <w:right w:w="72"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top w:w="14" w:type="dxa"/>
        <w:left w:w="72" w:type="dxa"/>
        <w:bottom w:w="14" w:type="dxa"/>
        <w:right w:w="72"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CellMar>
        <w:top w:w="14" w:type="dxa"/>
        <w:left w:w="72" w:type="dxa"/>
        <w:bottom w:w="14" w:type="dxa"/>
        <w:right w:w="72"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top w:w="14" w:type="dxa"/>
        <w:left w:w="72" w:type="dxa"/>
        <w:bottom w:w="14" w:type="dxa"/>
        <w:right w:w="72" w:type="dxa"/>
      </w:tblCellMar>
    </w:tblPr>
  </w:style>
  <w:style w:type="table" w:customStyle="1" w:styleId="afffff">
    <w:basedOn w:val="TableNormal"/>
    <w:tblPr>
      <w:tblStyleRowBandSize w:val="1"/>
      <w:tblStyleColBandSize w:val="1"/>
      <w:tblCellMar>
        <w:top w:w="14" w:type="dxa"/>
        <w:left w:w="72" w:type="dxa"/>
        <w:bottom w:w="14" w:type="dxa"/>
        <w:right w:w="72" w:type="dxa"/>
      </w:tblCellMar>
    </w:tblPr>
  </w:style>
  <w:style w:type="table" w:customStyle="1" w:styleId="afffff0">
    <w:basedOn w:val="TableNormal"/>
    <w:tblPr>
      <w:tblStyleRowBandSize w:val="1"/>
      <w:tblStyleColBandSize w:val="1"/>
      <w:tblCellMar>
        <w:top w:w="14" w:type="dxa"/>
        <w:left w:w="72" w:type="dxa"/>
        <w:bottom w:w="14" w:type="dxa"/>
        <w:right w:w="72" w:type="dxa"/>
      </w:tblCellMar>
    </w:tblPr>
  </w:style>
  <w:style w:type="table" w:customStyle="1" w:styleId="afffff1">
    <w:basedOn w:val="TableNormal"/>
    <w:tblPr>
      <w:tblStyleRowBandSize w:val="1"/>
      <w:tblStyleColBandSize w:val="1"/>
      <w:tblCellMar>
        <w:top w:w="14" w:type="dxa"/>
        <w:left w:w="72" w:type="dxa"/>
        <w:bottom w:w="14" w:type="dxa"/>
        <w:right w:w="72" w:type="dxa"/>
      </w:tblCellMar>
    </w:tblPr>
  </w:style>
  <w:style w:type="table" w:customStyle="1" w:styleId="afffff2">
    <w:basedOn w:val="TableNormal"/>
    <w:tblPr>
      <w:tblStyleRowBandSize w:val="1"/>
      <w:tblStyleColBandSize w:val="1"/>
      <w:tblCellMar>
        <w:top w:w="14" w:type="dxa"/>
        <w:left w:w="72" w:type="dxa"/>
        <w:bottom w:w="14" w:type="dxa"/>
        <w:right w:w="72" w:type="dxa"/>
      </w:tblCellMar>
    </w:tblPr>
  </w:style>
  <w:style w:type="table" w:customStyle="1" w:styleId="afffff3">
    <w:basedOn w:val="TableNormal"/>
    <w:tblPr>
      <w:tblStyleRowBandSize w:val="1"/>
      <w:tblStyleColBandSize w:val="1"/>
      <w:tblCellMar>
        <w:top w:w="14" w:type="dxa"/>
        <w:left w:w="72" w:type="dxa"/>
        <w:bottom w:w="14" w:type="dxa"/>
        <w:right w:w="72" w:type="dxa"/>
      </w:tblCellMar>
    </w:tblPr>
  </w:style>
  <w:style w:type="table" w:customStyle="1" w:styleId="afffff4">
    <w:basedOn w:val="TableNormal"/>
    <w:tblPr>
      <w:tblStyleRowBandSize w:val="1"/>
      <w:tblStyleColBandSize w:val="1"/>
      <w:tblCellMar>
        <w:top w:w="14" w:type="dxa"/>
        <w:left w:w="72" w:type="dxa"/>
        <w:bottom w:w="14" w:type="dxa"/>
        <w:right w:w="72" w:type="dxa"/>
      </w:tblCellMar>
    </w:tblPr>
  </w:style>
  <w:style w:type="table" w:customStyle="1" w:styleId="afffff5">
    <w:basedOn w:val="TableNormal"/>
    <w:tblPr>
      <w:tblStyleRowBandSize w:val="1"/>
      <w:tblStyleColBandSize w:val="1"/>
      <w:tblCellMar>
        <w:top w:w="14" w:type="dxa"/>
        <w:left w:w="72" w:type="dxa"/>
        <w:bottom w:w="14" w:type="dxa"/>
        <w:right w:w="72" w:type="dxa"/>
      </w:tblCellMar>
    </w:tblPr>
  </w:style>
  <w:style w:type="table" w:customStyle="1" w:styleId="afffff6">
    <w:basedOn w:val="TableNormal"/>
    <w:tblPr>
      <w:tblStyleRowBandSize w:val="1"/>
      <w:tblStyleColBandSize w:val="1"/>
      <w:tblCellMar>
        <w:top w:w="14" w:type="dxa"/>
        <w:left w:w="72" w:type="dxa"/>
        <w:bottom w:w="14" w:type="dxa"/>
        <w:right w:w="72" w:type="dxa"/>
      </w:tblCellMar>
    </w:tblPr>
  </w:style>
  <w:style w:type="table" w:customStyle="1" w:styleId="afffff7">
    <w:basedOn w:val="TableNormal"/>
    <w:tblPr>
      <w:tblStyleRowBandSize w:val="1"/>
      <w:tblStyleColBandSize w:val="1"/>
      <w:tblCellMar>
        <w:top w:w="14" w:type="dxa"/>
        <w:left w:w="72" w:type="dxa"/>
        <w:bottom w:w="14" w:type="dxa"/>
        <w:right w:w="72" w:type="dxa"/>
      </w:tblCellMar>
    </w:tblPr>
  </w:style>
  <w:style w:type="table" w:customStyle="1" w:styleId="afffff8">
    <w:basedOn w:val="TableNormal"/>
    <w:tblPr>
      <w:tblStyleRowBandSize w:val="1"/>
      <w:tblStyleColBandSize w:val="1"/>
      <w:tblCellMar>
        <w:top w:w="14" w:type="dxa"/>
        <w:left w:w="72" w:type="dxa"/>
        <w:bottom w:w="14" w:type="dxa"/>
        <w:right w:w="72" w:type="dxa"/>
      </w:tblCellMar>
    </w:tblPr>
  </w:style>
  <w:style w:type="table" w:customStyle="1" w:styleId="afffff9">
    <w:basedOn w:val="TableNormal"/>
    <w:tblPr>
      <w:tblStyleRowBandSize w:val="1"/>
      <w:tblStyleColBandSize w:val="1"/>
      <w:tblCellMar>
        <w:top w:w="14" w:type="dxa"/>
        <w:left w:w="72" w:type="dxa"/>
        <w:bottom w:w="14" w:type="dxa"/>
        <w:right w:w="72" w:type="dxa"/>
      </w:tblCellMar>
    </w:tblPr>
  </w:style>
  <w:style w:type="table" w:customStyle="1" w:styleId="afffffa">
    <w:basedOn w:val="TableNormal"/>
    <w:tblPr>
      <w:tblStyleRowBandSize w:val="1"/>
      <w:tblStyleColBandSize w:val="1"/>
      <w:tblCellMar>
        <w:left w:w="115" w:type="dxa"/>
        <w:right w:w="115" w:type="dxa"/>
      </w:tblCellMar>
    </w:tblPr>
  </w:style>
  <w:style w:type="table" w:customStyle="1" w:styleId="afffffb">
    <w:basedOn w:val="TableNormal"/>
    <w:tblPr>
      <w:tblStyleRowBandSize w:val="1"/>
      <w:tblStyleColBandSize w:val="1"/>
      <w:tblCellMar>
        <w:left w:w="115" w:type="dxa"/>
        <w:right w:w="115" w:type="dxa"/>
      </w:tblCellMar>
    </w:tblPr>
  </w:style>
  <w:style w:type="table" w:customStyle="1" w:styleId="afffffc">
    <w:basedOn w:val="TableNormal"/>
    <w:tblPr>
      <w:tblStyleRowBandSize w:val="1"/>
      <w:tblStyleColBandSize w:val="1"/>
      <w:tblCellMar>
        <w:left w:w="115" w:type="dxa"/>
        <w:right w:w="115" w:type="dxa"/>
      </w:tblCellMar>
    </w:tblPr>
  </w:style>
  <w:style w:type="table" w:customStyle="1" w:styleId="afffffd">
    <w:basedOn w:val="TableNormal"/>
    <w:tblPr>
      <w:tblStyleRowBandSize w:val="1"/>
      <w:tblStyleColBandSize w:val="1"/>
      <w:tblCellMar>
        <w:left w:w="115" w:type="dxa"/>
        <w:right w:w="115" w:type="dxa"/>
      </w:tblCellMar>
    </w:tblPr>
  </w:style>
  <w:style w:type="table" w:customStyle="1" w:styleId="afffffe">
    <w:basedOn w:val="TableNormal"/>
    <w:pPr>
      <w:spacing w:after="0" w:line="240" w:lineRule="auto"/>
    </w:pPr>
    <w:tblPr>
      <w:tblStyleRowBandSize w:val="1"/>
      <w:tblStyleColBandSize w:val="1"/>
      <w:tblCellMar>
        <w:top w:w="14" w:type="dxa"/>
        <w:left w:w="115" w:type="dxa"/>
        <w:bottom w:w="14" w:type="dxa"/>
        <w:right w:w="115" w:type="dxa"/>
      </w:tblCellMar>
    </w:tblPr>
  </w:style>
  <w:style w:type="table" w:customStyle="1" w:styleId="affffff">
    <w:basedOn w:val="TableNormal"/>
    <w:tblPr>
      <w:tblStyleRowBandSize w:val="1"/>
      <w:tblStyleColBandSize w:val="1"/>
      <w:tblCellMar>
        <w:left w:w="115" w:type="dxa"/>
        <w:right w:w="115" w:type="dxa"/>
      </w:tblCellMar>
    </w:tblPr>
  </w:style>
  <w:style w:type="table" w:customStyle="1" w:styleId="affffff0">
    <w:basedOn w:val="TableNormal"/>
    <w:tblPr>
      <w:tblStyleRowBandSize w:val="1"/>
      <w:tblStyleColBandSize w:val="1"/>
      <w:tblCellMar>
        <w:top w:w="14" w:type="dxa"/>
        <w:left w:w="72" w:type="dxa"/>
        <w:bottom w:w="14" w:type="dxa"/>
        <w:right w:w="72" w:type="dxa"/>
      </w:tblCellMar>
    </w:tblPr>
  </w:style>
  <w:style w:type="table" w:customStyle="1" w:styleId="affffff1">
    <w:basedOn w:val="TableNormal"/>
    <w:tblPr>
      <w:tblStyleRowBandSize w:val="1"/>
      <w:tblStyleColBandSize w:val="1"/>
      <w:tblCellMar>
        <w:top w:w="14" w:type="dxa"/>
        <w:left w:w="72" w:type="dxa"/>
        <w:bottom w:w="14" w:type="dxa"/>
        <w:right w:w="72" w:type="dxa"/>
      </w:tblCellMar>
    </w:tblPr>
  </w:style>
  <w:style w:type="table" w:customStyle="1" w:styleId="affffff2">
    <w:basedOn w:val="TableNormal"/>
    <w:tblPr>
      <w:tblStyleRowBandSize w:val="1"/>
      <w:tblStyleColBandSize w:val="1"/>
      <w:tblCellMar>
        <w:top w:w="14" w:type="dxa"/>
        <w:left w:w="72" w:type="dxa"/>
        <w:bottom w:w="14" w:type="dxa"/>
        <w:right w:w="72" w:type="dxa"/>
      </w:tblCellMar>
    </w:tblPr>
  </w:style>
  <w:style w:type="table" w:customStyle="1" w:styleId="affffff3">
    <w:basedOn w:val="TableNormal"/>
    <w:tblPr>
      <w:tblStyleRowBandSize w:val="1"/>
      <w:tblStyleColBandSize w:val="1"/>
      <w:tblCellMar>
        <w:top w:w="14" w:type="dxa"/>
        <w:left w:w="72" w:type="dxa"/>
        <w:bottom w:w="14" w:type="dxa"/>
        <w:right w:w="72" w:type="dxa"/>
      </w:tblCellMar>
    </w:tblPr>
  </w:style>
  <w:style w:type="table" w:customStyle="1" w:styleId="affffff4">
    <w:basedOn w:val="TableNormal"/>
    <w:tblPr>
      <w:tblStyleRowBandSize w:val="1"/>
      <w:tblStyleColBandSize w:val="1"/>
      <w:tblCellMar>
        <w:top w:w="14" w:type="dxa"/>
        <w:left w:w="72" w:type="dxa"/>
        <w:bottom w:w="14" w:type="dxa"/>
        <w:right w:w="72" w:type="dxa"/>
      </w:tblCellMar>
    </w:tblPr>
  </w:style>
  <w:style w:type="table" w:customStyle="1" w:styleId="affffff5">
    <w:basedOn w:val="TableNormal"/>
    <w:tblPr>
      <w:tblStyleRowBandSize w:val="1"/>
      <w:tblStyleColBandSize w:val="1"/>
      <w:tblCellMar>
        <w:top w:w="14" w:type="dxa"/>
        <w:left w:w="72" w:type="dxa"/>
        <w:bottom w:w="14" w:type="dxa"/>
        <w:right w:w="72" w:type="dxa"/>
      </w:tblCellMar>
    </w:tblPr>
  </w:style>
  <w:style w:type="table" w:customStyle="1" w:styleId="affffff6">
    <w:basedOn w:val="TableNormal"/>
    <w:tblPr>
      <w:tblStyleRowBandSize w:val="1"/>
      <w:tblStyleColBandSize w:val="1"/>
      <w:tblCellMar>
        <w:top w:w="14" w:type="dxa"/>
        <w:left w:w="72" w:type="dxa"/>
        <w:bottom w:w="14" w:type="dxa"/>
        <w:right w:w="72" w:type="dxa"/>
      </w:tblCellMar>
    </w:tblPr>
  </w:style>
  <w:style w:type="table" w:customStyle="1" w:styleId="affffff7">
    <w:basedOn w:val="TableNormal"/>
    <w:tblPr>
      <w:tblStyleRowBandSize w:val="1"/>
      <w:tblStyleColBandSize w:val="1"/>
      <w:tblCellMar>
        <w:top w:w="14" w:type="dxa"/>
        <w:left w:w="72" w:type="dxa"/>
        <w:bottom w:w="14" w:type="dxa"/>
        <w:right w:w="72" w:type="dxa"/>
      </w:tblCellMar>
    </w:tblPr>
  </w:style>
  <w:style w:type="table" w:customStyle="1" w:styleId="affffff8">
    <w:basedOn w:val="TableNormal"/>
    <w:tblPr>
      <w:tblStyleRowBandSize w:val="1"/>
      <w:tblStyleColBandSize w:val="1"/>
      <w:tblCellMar>
        <w:top w:w="14" w:type="dxa"/>
        <w:left w:w="72" w:type="dxa"/>
        <w:bottom w:w="14" w:type="dxa"/>
        <w:right w:w="72" w:type="dxa"/>
      </w:tblCellMar>
    </w:tblPr>
  </w:style>
  <w:style w:type="table" w:customStyle="1" w:styleId="affffff9">
    <w:basedOn w:val="TableNormal"/>
    <w:tblPr>
      <w:tblStyleRowBandSize w:val="1"/>
      <w:tblStyleColBandSize w:val="1"/>
      <w:tblCellMar>
        <w:left w:w="115" w:type="dxa"/>
        <w:right w:w="115" w:type="dxa"/>
      </w:tblCellMar>
    </w:tblPr>
  </w:style>
  <w:style w:type="table" w:customStyle="1" w:styleId="affffffa">
    <w:basedOn w:val="TableNormal"/>
    <w:tblPr>
      <w:tblStyleRowBandSize w:val="1"/>
      <w:tblStyleColBandSize w:val="1"/>
      <w:tblCellMar>
        <w:top w:w="14" w:type="dxa"/>
        <w:left w:w="72" w:type="dxa"/>
        <w:bottom w:w="14" w:type="dxa"/>
        <w:right w:w="72" w:type="dxa"/>
      </w:tblCellMar>
    </w:tblPr>
  </w:style>
  <w:style w:type="table" w:customStyle="1" w:styleId="affffffb">
    <w:basedOn w:val="TableNormal"/>
    <w:tblPr>
      <w:tblStyleRowBandSize w:val="1"/>
      <w:tblStyleColBandSize w:val="1"/>
      <w:tblCellMar>
        <w:top w:w="14" w:type="dxa"/>
        <w:left w:w="72" w:type="dxa"/>
        <w:bottom w:w="14" w:type="dxa"/>
        <w:right w:w="72" w:type="dxa"/>
      </w:tblCellMar>
    </w:tblPr>
  </w:style>
  <w:style w:type="table" w:customStyle="1" w:styleId="affffffc">
    <w:basedOn w:val="TableNormal"/>
    <w:tblPr>
      <w:tblStyleRowBandSize w:val="1"/>
      <w:tblStyleColBandSize w:val="1"/>
      <w:tblCellMar>
        <w:top w:w="14" w:type="dxa"/>
        <w:left w:w="72" w:type="dxa"/>
        <w:bottom w:w="14" w:type="dxa"/>
        <w:right w:w="72" w:type="dxa"/>
      </w:tblCellMar>
    </w:tblPr>
  </w:style>
  <w:style w:type="table" w:customStyle="1" w:styleId="affffffd">
    <w:basedOn w:val="TableNormal"/>
    <w:tblPr>
      <w:tblStyleRowBandSize w:val="1"/>
      <w:tblStyleColBandSize w:val="1"/>
      <w:tblCellMar>
        <w:left w:w="115" w:type="dxa"/>
        <w:right w:w="115" w:type="dxa"/>
      </w:tblCellMar>
    </w:tblPr>
  </w:style>
  <w:style w:type="table" w:customStyle="1" w:styleId="affffffe">
    <w:basedOn w:val="TableNormal"/>
    <w:tblPr>
      <w:tblStyleRowBandSize w:val="1"/>
      <w:tblStyleColBandSize w:val="1"/>
      <w:tblCellMar>
        <w:top w:w="14" w:type="dxa"/>
        <w:left w:w="72" w:type="dxa"/>
        <w:bottom w:w="14" w:type="dxa"/>
        <w:right w:w="72" w:type="dxa"/>
      </w:tblCellMar>
    </w:tblPr>
  </w:style>
  <w:style w:type="table" w:customStyle="1" w:styleId="afffffff">
    <w:basedOn w:val="TableNormal"/>
    <w:tblPr>
      <w:tblStyleRowBandSize w:val="1"/>
      <w:tblStyleColBandSize w:val="1"/>
      <w:tblCellMar>
        <w:top w:w="14" w:type="dxa"/>
        <w:left w:w="72" w:type="dxa"/>
        <w:bottom w:w="14" w:type="dxa"/>
        <w:right w:w="72" w:type="dxa"/>
      </w:tblCellMar>
    </w:tblPr>
  </w:style>
  <w:style w:type="table" w:customStyle="1" w:styleId="afffffff0">
    <w:basedOn w:val="TableNormal"/>
    <w:tblPr>
      <w:tblStyleRowBandSize w:val="1"/>
      <w:tblStyleColBandSize w:val="1"/>
      <w:tblCellMar>
        <w:top w:w="14" w:type="dxa"/>
        <w:left w:w="72" w:type="dxa"/>
        <w:bottom w:w="14" w:type="dxa"/>
        <w:right w:w="72" w:type="dxa"/>
      </w:tblCellMar>
    </w:tblPr>
  </w:style>
  <w:style w:type="table" w:customStyle="1" w:styleId="afffffff1">
    <w:basedOn w:val="TableNormal"/>
    <w:tblPr>
      <w:tblStyleRowBandSize w:val="1"/>
      <w:tblStyleColBandSize w:val="1"/>
      <w:tblCellMar>
        <w:top w:w="14" w:type="dxa"/>
        <w:left w:w="72" w:type="dxa"/>
        <w:bottom w:w="14" w:type="dxa"/>
        <w:right w:w="72" w:type="dxa"/>
      </w:tblCellMar>
    </w:tblPr>
  </w:style>
  <w:style w:type="table" w:customStyle="1" w:styleId="afffffff2">
    <w:basedOn w:val="TableNormal"/>
    <w:tblPr>
      <w:tblStyleRowBandSize w:val="1"/>
      <w:tblStyleColBandSize w:val="1"/>
      <w:tblCellMar>
        <w:top w:w="14" w:type="dxa"/>
        <w:left w:w="72" w:type="dxa"/>
        <w:bottom w:w="14" w:type="dxa"/>
        <w:right w:w="72" w:type="dxa"/>
      </w:tblCellMar>
    </w:tblPr>
  </w:style>
  <w:style w:type="table" w:customStyle="1" w:styleId="afffffff3">
    <w:basedOn w:val="TableNormal"/>
    <w:tblPr>
      <w:tblStyleRowBandSize w:val="1"/>
      <w:tblStyleColBandSize w:val="1"/>
      <w:tblCellMar>
        <w:top w:w="14" w:type="dxa"/>
        <w:left w:w="72" w:type="dxa"/>
        <w:bottom w:w="14" w:type="dxa"/>
        <w:right w:w="72" w:type="dxa"/>
      </w:tblCellMar>
    </w:tblPr>
  </w:style>
  <w:style w:type="table" w:customStyle="1" w:styleId="afffffff4">
    <w:basedOn w:val="TableNormal"/>
    <w:tblPr>
      <w:tblStyleRowBandSize w:val="1"/>
      <w:tblStyleColBandSize w:val="1"/>
      <w:tblCellMar>
        <w:top w:w="14" w:type="dxa"/>
        <w:left w:w="72" w:type="dxa"/>
        <w:bottom w:w="14" w:type="dxa"/>
        <w:right w:w="72" w:type="dxa"/>
      </w:tblCellMar>
    </w:tblPr>
  </w:style>
  <w:style w:type="table" w:customStyle="1" w:styleId="afffffff5">
    <w:basedOn w:val="TableNormal"/>
    <w:tblPr>
      <w:tblStyleRowBandSize w:val="1"/>
      <w:tblStyleColBandSize w:val="1"/>
      <w:tblCellMar>
        <w:left w:w="115" w:type="dxa"/>
        <w:right w:w="115" w:type="dxa"/>
      </w:tblCellMar>
    </w:tblPr>
  </w:style>
  <w:style w:type="table" w:customStyle="1" w:styleId="afffffff6">
    <w:basedOn w:val="TableNormal"/>
    <w:tblPr>
      <w:tblStyleRowBandSize w:val="1"/>
      <w:tblStyleColBandSize w:val="1"/>
      <w:tblCellMar>
        <w:top w:w="14" w:type="dxa"/>
        <w:left w:w="72" w:type="dxa"/>
        <w:bottom w:w="14" w:type="dxa"/>
        <w:right w:w="72" w:type="dxa"/>
      </w:tblCellMar>
    </w:tblPr>
  </w:style>
  <w:style w:type="table" w:customStyle="1" w:styleId="afffffff7">
    <w:basedOn w:val="TableNormal"/>
    <w:tblPr>
      <w:tblStyleRowBandSize w:val="1"/>
      <w:tblStyleColBandSize w:val="1"/>
      <w:tblCellMar>
        <w:top w:w="14" w:type="dxa"/>
        <w:left w:w="72" w:type="dxa"/>
        <w:bottom w:w="14" w:type="dxa"/>
        <w:right w:w="72" w:type="dxa"/>
      </w:tblCellMar>
    </w:tblPr>
  </w:style>
  <w:style w:type="table" w:customStyle="1" w:styleId="afffffff8">
    <w:basedOn w:val="TableNormal"/>
    <w:tblPr>
      <w:tblStyleRowBandSize w:val="1"/>
      <w:tblStyleColBandSize w:val="1"/>
      <w:tblCellMar>
        <w:top w:w="14" w:type="dxa"/>
        <w:left w:w="72" w:type="dxa"/>
        <w:bottom w:w="14" w:type="dxa"/>
        <w:right w:w="72" w:type="dxa"/>
      </w:tblCellMar>
    </w:tblPr>
  </w:style>
  <w:style w:type="table" w:customStyle="1" w:styleId="afffffff9">
    <w:basedOn w:val="TableNormal"/>
    <w:tblPr>
      <w:tblStyleRowBandSize w:val="1"/>
      <w:tblStyleColBandSize w:val="1"/>
      <w:tblCellMar>
        <w:left w:w="115" w:type="dxa"/>
        <w:right w:w="115" w:type="dxa"/>
      </w:tblCellMar>
    </w:tblPr>
  </w:style>
  <w:style w:type="table" w:customStyle="1" w:styleId="afffffffa">
    <w:basedOn w:val="TableNormal"/>
    <w:tblPr>
      <w:tblStyleRowBandSize w:val="1"/>
      <w:tblStyleColBandSize w:val="1"/>
      <w:tblCellMar>
        <w:top w:w="14" w:type="dxa"/>
        <w:left w:w="72" w:type="dxa"/>
        <w:bottom w:w="14" w:type="dxa"/>
        <w:right w:w="72" w:type="dxa"/>
      </w:tblCellMar>
    </w:tblPr>
  </w:style>
  <w:style w:type="table" w:customStyle="1" w:styleId="afffffffb">
    <w:basedOn w:val="TableNormal"/>
    <w:tblPr>
      <w:tblStyleRowBandSize w:val="1"/>
      <w:tblStyleColBandSize w:val="1"/>
      <w:tblCellMar>
        <w:top w:w="14" w:type="dxa"/>
        <w:left w:w="72" w:type="dxa"/>
        <w:bottom w:w="14" w:type="dxa"/>
        <w:right w:w="72" w:type="dxa"/>
      </w:tblCellMar>
    </w:tblPr>
  </w:style>
  <w:style w:type="table" w:customStyle="1" w:styleId="afffffffc">
    <w:basedOn w:val="TableNormal"/>
    <w:tblPr>
      <w:tblStyleRowBandSize w:val="1"/>
      <w:tblStyleColBandSize w:val="1"/>
      <w:tblCellMar>
        <w:top w:w="14" w:type="dxa"/>
        <w:left w:w="72" w:type="dxa"/>
        <w:bottom w:w="14" w:type="dxa"/>
        <w:right w:w="72" w:type="dxa"/>
      </w:tblCellMar>
    </w:tblPr>
  </w:style>
  <w:style w:type="table" w:customStyle="1" w:styleId="afffffffd">
    <w:basedOn w:val="TableNormal"/>
    <w:tblPr>
      <w:tblStyleRowBandSize w:val="1"/>
      <w:tblStyleColBandSize w:val="1"/>
      <w:tblCellMar>
        <w:left w:w="115" w:type="dxa"/>
        <w:right w:w="115" w:type="dxa"/>
      </w:tblCellMar>
    </w:tblPr>
  </w:style>
  <w:style w:type="table" w:customStyle="1" w:styleId="afffffffe">
    <w:basedOn w:val="TableNormal"/>
    <w:tblPr>
      <w:tblStyleRowBandSize w:val="1"/>
      <w:tblStyleColBandSize w:val="1"/>
      <w:tblCellMar>
        <w:top w:w="14" w:type="dxa"/>
        <w:left w:w="72" w:type="dxa"/>
        <w:bottom w:w="14" w:type="dxa"/>
        <w:right w:w="72" w:type="dxa"/>
      </w:tblCellMar>
    </w:tblPr>
  </w:style>
  <w:style w:type="table" w:customStyle="1" w:styleId="affffffff">
    <w:basedOn w:val="TableNormal"/>
    <w:tblPr>
      <w:tblStyleRowBandSize w:val="1"/>
      <w:tblStyleColBandSize w:val="1"/>
      <w:tblCellMar>
        <w:top w:w="14" w:type="dxa"/>
        <w:left w:w="72" w:type="dxa"/>
        <w:bottom w:w="14" w:type="dxa"/>
        <w:right w:w="72" w:type="dxa"/>
      </w:tblCellMar>
    </w:tblPr>
  </w:style>
  <w:style w:type="table" w:customStyle="1" w:styleId="affffffff0">
    <w:basedOn w:val="TableNormal"/>
    <w:tblPr>
      <w:tblStyleRowBandSize w:val="1"/>
      <w:tblStyleColBandSize w:val="1"/>
      <w:tblCellMar>
        <w:left w:w="115" w:type="dxa"/>
        <w:right w:w="115" w:type="dxa"/>
      </w:tblCellMar>
    </w:tblPr>
  </w:style>
  <w:style w:type="table" w:customStyle="1" w:styleId="affffffff1">
    <w:basedOn w:val="TableNormal"/>
    <w:tblPr>
      <w:tblStyleRowBandSize w:val="1"/>
      <w:tblStyleColBandSize w:val="1"/>
      <w:tblCellMar>
        <w:top w:w="14" w:type="dxa"/>
        <w:left w:w="72" w:type="dxa"/>
        <w:bottom w:w="14" w:type="dxa"/>
        <w:right w:w="72" w:type="dxa"/>
      </w:tblCellMar>
    </w:tblPr>
  </w:style>
  <w:style w:type="table" w:customStyle="1" w:styleId="affffffff2">
    <w:basedOn w:val="TableNormal"/>
    <w:tblPr>
      <w:tblStyleRowBandSize w:val="1"/>
      <w:tblStyleColBandSize w:val="1"/>
      <w:tblCellMar>
        <w:left w:w="115" w:type="dxa"/>
        <w:right w:w="115" w:type="dxa"/>
      </w:tblCellMar>
    </w:tblPr>
  </w:style>
  <w:style w:type="table" w:customStyle="1" w:styleId="affffffff3">
    <w:basedOn w:val="TableNormal"/>
    <w:tblPr>
      <w:tblStyleRowBandSize w:val="1"/>
      <w:tblStyleColBandSize w:val="1"/>
      <w:tblCellMar>
        <w:top w:w="14" w:type="dxa"/>
        <w:left w:w="72" w:type="dxa"/>
        <w:bottom w:w="14" w:type="dxa"/>
        <w:right w:w="72" w:type="dxa"/>
      </w:tblCellMar>
    </w:tblPr>
  </w:style>
  <w:style w:type="table" w:customStyle="1" w:styleId="affffffff4">
    <w:basedOn w:val="TableNormal"/>
    <w:tblPr>
      <w:tblStyleRowBandSize w:val="1"/>
      <w:tblStyleColBandSize w:val="1"/>
      <w:tblCellMar>
        <w:top w:w="14" w:type="dxa"/>
        <w:left w:w="72" w:type="dxa"/>
        <w:bottom w:w="14" w:type="dxa"/>
        <w:right w:w="72" w:type="dxa"/>
      </w:tblCellMar>
    </w:tblPr>
  </w:style>
  <w:style w:type="table" w:customStyle="1" w:styleId="affffffff5">
    <w:basedOn w:val="TableNormal"/>
    <w:tblPr>
      <w:tblStyleRowBandSize w:val="1"/>
      <w:tblStyleColBandSize w:val="1"/>
      <w:tblCellMar>
        <w:top w:w="14" w:type="dxa"/>
        <w:left w:w="72" w:type="dxa"/>
        <w:bottom w:w="14" w:type="dxa"/>
        <w:right w:w="72" w:type="dxa"/>
      </w:tblCellMar>
    </w:tblPr>
  </w:style>
  <w:style w:type="table" w:customStyle="1" w:styleId="affffffff6">
    <w:basedOn w:val="TableNormal"/>
    <w:tblPr>
      <w:tblStyleRowBandSize w:val="1"/>
      <w:tblStyleColBandSize w:val="1"/>
      <w:tblCellMar>
        <w:left w:w="115" w:type="dxa"/>
        <w:right w:w="115" w:type="dxa"/>
      </w:tblCellMar>
    </w:tblPr>
  </w:style>
  <w:style w:type="table" w:customStyle="1" w:styleId="affffffff7">
    <w:basedOn w:val="TableNormal"/>
    <w:tblPr>
      <w:tblStyleRowBandSize w:val="1"/>
      <w:tblStyleColBandSize w:val="1"/>
      <w:tblCellMar>
        <w:left w:w="115" w:type="dxa"/>
        <w:right w:w="115" w:type="dxa"/>
      </w:tblCellMar>
    </w:tblPr>
  </w:style>
  <w:style w:type="table" w:customStyle="1" w:styleId="affffffff8">
    <w:basedOn w:val="TableNormal"/>
    <w:tblPr>
      <w:tblStyleRowBandSize w:val="1"/>
      <w:tblStyleColBandSize w:val="1"/>
      <w:tblCellMar>
        <w:left w:w="115" w:type="dxa"/>
        <w:right w:w="115" w:type="dxa"/>
      </w:tblCellMar>
    </w:tblPr>
  </w:style>
  <w:style w:type="table" w:customStyle="1" w:styleId="affffffff9">
    <w:basedOn w:val="TableNormal"/>
    <w:tblPr>
      <w:tblStyleRowBandSize w:val="1"/>
      <w:tblStyleColBandSize w:val="1"/>
      <w:tblCellMar>
        <w:left w:w="115" w:type="dxa"/>
        <w:right w:w="115" w:type="dxa"/>
      </w:tblCellMar>
    </w:tblPr>
  </w:style>
  <w:style w:type="table" w:customStyle="1" w:styleId="affffffffa">
    <w:basedOn w:val="TableNormal"/>
    <w:tblPr>
      <w:tblStyleRowBandSize w:val="1"/>
      <w:tblStyleColBandSize w:val="1"/>
      <w:tblCellMar>
        <w:left w:w="115" w:type="dxa"/>
        <w:right w:w="115" w:type="dxa"/>
      </w:tblCellMar>
    </w:tblPr>
  </w:style>
  <w:style w:type="table" w:customStyle="1" w:styleId="affffffffb">
    <w:basedOn w:val="TableNormal"/>
    <w:tblPr>
      <w:tblStyleRowBandSize w:val="1"/>
      <w:tblStyleColBandSize w:val="1"/>
      <w:tblCellMar>
        <w:left w:w="115" w:type="dxa"/>
        <w:right w:w="115" w:type="dxa"/>
      </w:tblCellMar>
    </w:tblPr>
  </w:style>
  <w:style w:type="table" w:customStyle="1" w:styleId="affffffffc">
    <w:basedOn w:val="TableNormal"/>
    <w:tblPr>
      <w:tblStyleRowBandSize w:val="1"/>
      <w:tblStyleColBandSize w:val="1"/>
      <w:tblCellMar>
        <w:left w:w="115" w:type="dxa"/>
        <w:right w:w="115" w:type="dxa"/>
      </w:tblCellMar>
    </w:tblPr>
  </w:style>
  <w:style w:type="table" w:customStyle="1" w:styleId="affffffffd">
    <w:basedOn w:val="TableNormal"/>
    <w:tblPr>
      <w:tblStyleRowBandSize w:val="1"/>
      <w:tblStyleColBandSize w:val="1"/>
      <w:tblCellMar>
        <w:left w:w="115" w:type="dxa"/>
        <w:right w:w="115" w:type="dxa"/>
      </w:tblCellMar>
    </w:tblPr>
  </w:style>
  <w:style w:type="table" w:customStyle="1" w:styleId="affffffffe">
    <w:basedOn w:val="TableNormal"/>
    <w:tblPr>
      <w:tblStyleRowBandSize w:val="1"/>
      <w:tblStyleColBandSize w:val="1"/>
      <w:tblCellMar>
        <w:left w:w="115" w:type="dxa"/>
        <w:right w:w="115" w:type="dxa"/>
      </w:tblCellMar>
    </w:tblPr>
  </w:style>
  <w:style w:type="table" w:customStyle="1" w:styleId="afffffffff">
    <w:basedOn w:val="TableNormal"/>
    <w:tblPr>
      <w:tblStyleRowBandSize w:val="1"/>
      <w:tblStyleColBandSize w:val="1"/>
      <w:tblCellMar>
        <w:left w:w="115" w:type="dxa"/>
        <w:right w:w="115" w:type="dxa"/>
      </w:tblCellMar>
    </w:tblPr>
  </w:style>
  <w:style w:type="table" w:customStyle="1" w:styleId="afffffffff0">
    <w:basedOn w:val="TableNormal"/>
    <w:tblPr>
      <w:tblStyleRowBandSize w:val="1"/>
      <w:tblStyleColBandSize w:val="1"/>
      <w:tblCellMar>
        <w:left w:w="115" w:type="dxa"/>
        <w:right w:w="115" w:type="dxa"/>
      </w:tblCellMar>
    </w:tblPr>
  </w:style>
  <w:style w:type="table" w:customStyle="1" w:styleId="afffffffff1">
    <w:basedOn w:val="TableNormal"/>
    <w:tblPr>
      <w:tblStyleRowBandSize w:val="1"/>
      <w:tblStyleColBandSize w:val="1"/>
      <w:tblCellMar>
        <w:left w:w="115" w:type="dxa"/>
        <w:right w:w="115" w:type="dxa"/>
      </w:tblCellMar>
    </w:tblPr>
  </w:style>
  <w:style w:type="table" w:customStyle="1" w:styleId="afffffffff2">
    <w:basedOn w:val="TableNormal"/>
    <w:tblPr>
      <w:tblStyleRowBandSize w:val="1"/>
      <w:tblStyleColBandSize w:val="1"/>
      <w:tblCellMar>
        <w:left w:w="115" w:type="dxa"/>
        <w:right w:w="115" w:type="dxa"/>
      </w:tblCellMar>
    </w:tblPr>
  </w:style>
  <w:style w:type="table" w:customStyle="1" w:styleId="afffffffff3">
    <w:basedOn w:val="TableNormal"/>
    <w:tblPr>
      <w:tblStyleRowBandSize w:val="1"/>
      <w:tblStyleColBandSize w:val="1"/>
      <w:tblCellMar>
        <w:left w:w="115" w:type="dxa"/>
        <w:right w:w="115" w:type="dxa"/>
      </w:tblCellMar>
    </w:tblPr>
  </w:style>
  <w:style w:type="table" w:customStyle="1" w:styleId="afffffffff4">
    <w:basedOn w:val="TableNormal"/>
    <w:tblPr>
      <w:tblStyleRowBandSize w:val="1"/>
      <w:tblStyleColBandSize w:val="1"/>
      <w:tblCellMar>
        <w:left w:w="115" w:type="dxa"/>
        <w:right w:w="115" w:type="dxa"/>
      </w:tblCellMar>
    </w:tblPr>
  </w:style>
  <w:style w:type="table" w:customStyle="1" w:styleId="afffffffff5">
    <w:basedOn w:val="TableNormal"/>
    <w:tblPr>
      <w:tblStyleRowBandSize w:val="1"/>
      <w:tblStyleColBandSize w:val="1"/>
      <w:tblCellMar>
        <w:left w:w="115" w:type="dxa"/>
        <w:right w:w="115" w:type="dxa"/>
      </w:tblCellMar>
    </w:tblPr>
  </w:style>
  <w:style w:type="table" w:customStyle="1" w:styleId="afffffffff6">
    <w:basedOn w:val="TableNormal"/>
    <w:tblPr>
      <w:tblStyleRowBandSize w:val="1"/>
      <w:tblStyleColBandSize w:val="1"/>
      <w:tblCellMar>
        <w:left w:w="115" w:type="dxa"/>
        <w:right w:w="115" w:type="dxa"/>
      </w:tblCellMar>
    </w:tblPr>
  </w:style>
  <w:style w:type="table" w:customStyle="1" w:styleId="afffffffff7">
    <w:basedOn w:val="TableNormal"/>
    <w:tblPr>
      <w:tblStyleRowBandSize w:val="1"/>
      <w:tblStyleColBandSize w:val="1"/>
      <w:tblCellMar>
        <w:left w:w="115" w:type="dxa"/>
        <w:right w:w="115" w:type="dxa"/>
      </w:tblCellMar>
    </w:tblPr>
  </w:style>
  <w:style w:type="table" w:customStyle="1" w:styleId="afffffffff8">
    <w:basedOn w:val="TableNormal"/>
    <w:tblPr>
      <w:tblStyleRowBandSize w:val="1"/>
      <w:tblStyleColBandSize w:val="1"/>
      <w:tblCellMar>
        <w:left w:w="115" w:type="dxa"/>
        <w:right w:w="115" w:type="dxa"/>
      </w:tblCellMar>
    </w:tblPr>
  </w:style>
  <w:style w:type="table" w:customStyle="1" w:styleId="afffffffff9">
    <w:basedOn w:val="TableNormal"/>
    <w:tblPr>
      <w:tblStyleRowBandSize w:val="1"/>
      <w:tblStyleColBandSize w:val="1"/>
      <w:tblCellMar>
        <w:left w:w="115" w:type="dxa"/>
        <w:right w:w="115" w:type="dxa"/>
      </w:tblCellMar>
    </w:tblPr>
  </w:style>
  <w:style w:type="table" w:customStyle="1" w:styleId="afffffffffa">
    <w:basedOn w:val="TableNormal"/>
    <w:tblPr>
      <w:tblStyleRowBandSize w:val="1"/>
      <w:tblStyleColBandSize w:val="1"/>
      <w:tblCellMar>
        <w:left w:w="115" w:type="dxa"/>
        <w:right w:w="115" w:type="dxa"/>
      </w:tblCellMar>
    </w:tblPr>
  </w:style>
  <w:style w:type="table" w:customStyle="1" w:styleId="afffffffffb">
    <w:basedOn w:val="TableNormal"/>
    <w:tblPr>
      <w:tblStyleRowBandSize w:val="1"/>
      <w:tblStyleColBandSize w:val="1"/>
      <w:tblCellMar>
        <w:left w:w="115" w:type="dxa"/>
        <w:right w:w="115" w:type="dxa"/>
      </w:tblCellMar>
    </w:tblPr>
  </w:style>
  <w:style w:type="table" w:customStyle="1" w:styleId="afffffffffc">
    <w:basedOn w:val="TableNormal"/>
    <w:tblPr>
      <w:tblStyleRowBandSize w:val="1"/>
      <w:tblStyleColBandSize w:val="1"/>
      <w:tblCellMar>
        <w:left w:w="115" w:type="dxa"/>
        <w:right w:w="115" w:type="dxa"/>
      </w:tblCellMar>
    </w:tblPr>
  </w:style>
  <w:style w:type="table" w:customStyle="1" w:styleId="afffffffffd">
    <w:basedOn w:val="TableNormal"/>
    <w:tblPr>
      <w:tblStyleRowBandSize w:val="1"/>
      <w:tblStyleColBandSize w:val="1"/>
      <w:tblCellMar>
        <w:left w:w="115" w:type="dxa"/>
        <w:right w:w="115" w:type="dxa"/>
      </w:tblCellMar>
    </w:tblPr>
  </w:style>
  <w:style w:type="table" w:customStyle="1" w:styleId="afffffffffe">
    <w:basedOn w:val="TableNormal"/>
    <w:tblPr>
      <w:tblStyleRowBandSize w:val="1"/>
      <w:tblStyleColBandSize w:val="1"/>
      <w:tblCellMar>
        <w:left w:w="115" w:type="dxa"/>
        <w:right w:w="115" w:type="dxa"/>
      </w:tblCellMar>
    </w:tblPr>
  </w:style>
  <w:style w:type="table" w:customStyle="1" w:styleId="affffffffff">
    <w:basedOn w:val="TableNormal"/>
    <w:tblPr>
      <w:tblStyleRowBandSize w:val="1"/>
      <w:tblStyleColBandSize w:val="1"/>
      <w:tblCellMar>
        <w:left w:w="115" w:type="dxa"/>
        <w:right w:w="115" w:type="dxa"/>
      </w:tblCellMar>
    </w:tblPr>
  </w:style>
  <w:style w:type="table" w:customStyle="1" w:styleId="affffffffff0">
    <w:basedOn w:val="TableNormal"/>
    <w:tblPr>
      <w:tblStyleRowBandSize w:val="1"/>
      <w:tblStyleColBandSize w:val="1"/>
      <w:tblCellMar>
        <w:left w:w="115" w:type="dxa"/>
        <w:right w:w="115" w:type="dxa"/>
      </w:tblCellMar>
    </w:tblPr>
  </w:style>
  <w:style w:type="table" w:customStyle="1" w:styleId="affffffffff1">
    <w:basedOn w:val="TableNormal"/>
    <w:tblPr>
      <w:tblStyleRowBandSize w:val="1"/>
      <w:tblStyleColBandSize w:val="1"/>
      <w:tblCellMar>
        <w:left w:w="115" w:type="dxa"/>
        <w:right w:w="115" w:type="dxa"/>
      </w:tblCellMar>
    </w:tblPr>
  </w:style>
  <w:style w:type="table" w:customStyle="1" w:styleId="affffffffff2">
    <w:basedOn w:val="TableNormal"/>
    <w:tblPr>
      <w:tblStyleRowBandSize w:val="1"/>
      <w:tblStyleColBandSize w:val="1"/>
      <w:tblCellMar>
        <w:left w:w="115" w:type="dxa"/>
        <w:right w:w="115" w:type="dxa"/>
      </w:tblCellMar>
    </w:tblPr>
  </w:style>
  <w:style w:type="table" w:customStyle="1" w:styleId="affffffffff3">
    <w:basedOn w:val="TableNormal"/>
    <w:tblPr>
      <w:tblStyleRowBandSize w:val="1"/>
      <w:tblStyleColBandSize w:val="1"/>
      <w:tblCellMar>
        <w:left w:w="115" w:type="dxa"/>
        <w:right w:w="115" w:type="dxa"/>
      </w:tblCellMar>
    </w:tblPr>
  </w:style>
  <w:style w:type="table" w:customStyle="1" w:styleId="affffffffff4">
    <w:basedOn w:val="TableNormal"/>
    <w:tblPr>
      <w:tblStyleRowBandSize w:val="1"/>
      <w:tblStyleColBandSize w:val="1"/>
      <w:tblCellMar>
        <w:left w:w="115" w:type="dxa"/>
        <w:right w:w="115" w:type="dxa"/>
      </w:tblCellMar>
    </w:tblPr>
  </w:style>
  <w:style w:type="table" w:customStyle="1" w:styleId="affffffffff5">
    <w:basedOn w:val="TableNormal"/>
    <w:tblPr>
      <w:tblStyleRowBandSize w:val="1"/>
      <w:tblStyleColBandSize w:val="1"/>
      <w:tblCellMar>
        <w:left w:w="115" w:type="dxa"/>
        <w:right w:w="115" w:type="dxa"/>
      </w:tblCellMar>
    </w:tblPr>
  </w:style>
  <w:style w:type="table" w:customStyle="1" w:styleId="affffffffff6">
    <w:basedOn w:val="TableNormal"/>
    <w:tblPr>
      <w:tblStyleRowBandSize w:val="1"/>
      <w:tblStyleColBandSize w:val="1"/>
      <w:tblCellMar>
        <w:left w:w="115" w:type="dxa"/>
        <w:right w:w="115" w:type="dxa"/>
      </w:tblCellMar>
    </w:tblPr>
  </w:style>
  <w:style w:type="table" w:customStyle="1" w:styleId="affffffffff7">
    <w:basedOn w:val="TableNormal"/>
    <w:tblPr>
      <w:tblStyleRowBandSize w:val="1"/>
      <w:tblStyleColBandSize w:val="1"/>
      <w:tblCellMar>
        <w:left w:w="115" w:type="dxa"/>
        <w:right w:w="115" w:type="dxa"/>
      </w:tblCellMar>
    </w:tblPr>
  </w:style>
  <w:style w:type="table" w:customStyle="1" w:styleId="affffffffff8">
    <w:basedOn w:val="TableNormal"/>
    <w:tblPr>
      <w:tblStyleRowBandSize w:val="1"/>
      <w:tblStyleColBandSize w:val="1"/>
      <w:tblCellMar>
        <w:left w:w="115" w:type="dxa"/>
        <w:right w:w="115" w:type="dxa"/>
      </w:tblCellMar>
    </w:tblPr>
  </w:style>
  <w:style w:type="table" w:customStyle="1" w:styleId="affffffffff9">
    <w:basedOn w:val="TableNormal"/>
    <w:tblPr>
      <w:tblStyleRowBandSize w:val="1"/>
      <w:tblStyleColBandSize w:val="1"/>
      <w:tblCellMar>
        <w:left w:w="115" w:type="dxa"/>
        <w:right w:w="115" w:type="dxa"/>
      </w:tblCellMar>
    </w:tblPr>
  </w:style>
  <w:style w:type="table" w:customStyle="1" w:styleId="affffffffffa">
    <w:basedOn w:val="TableNormal"/>
    <w:tblPr>
      <w:tblStyleRowBandSize w:val="1"/>
      <w:tblStyleColBandSize w:val="1"/>
      <w:tblCellMar>
        <w:left w:w="115" w:type="dxa"/>
        <w:right w:w="115" w:type="dxa"/>
      </w:tblCellMar>
    </w:tblPr>
  </w:style>
  <w:style w:type="table" w:customStyle="1" w:styleId="affffffffffb">
    <w:basedOn w:val="TableNormal"/>
    <w:tblPr>
      <w:tblStyleRowBandSize w:val="1"/>
      <w:tblStyleColBandSize w:val="1"/>
      <w:tblCellMar>
        <w:left w:w="115" w:type="dxa"/>
        <w:right w:w="115" w:type="dxa"/>
      </w:tblCellMar>
    </w:tblPr>
  </w:style>
  <w:style w:type="table" w:customStyle="1" w:styleId="affffffffffc">
    <w:basedOn w:val="TableNormal"/>
    <w:tblPr>
      <w:tblStyleRowBandSize w:val="1"/>
      <w:tblStyleColBandSize w:val="1"/>
      <w:tblCellMar>
        <w:left w:w="115" w:type="dxa"/>
        <w:right w:w="115" w:type="dxa"/>
      </w:tblCellMar>
    </w:tblPr>
  </w:style>
  <w:style w:type="table" w:customStyle="1" w:styleId="affffffffffd">
    <w:basedOn w:val="TableNormal"/>
    <w:tblPr>
      <w:tblStyleRowBandSize w:val="1"/>
      <w:tblStyleColBandSize w:val="1"/>
      <w:tblCellMar>
        <w:left w:w="115" w:type="dxa"/>
        <w:right w:w="115" w:type="dxa"/>
      </w:tblCellMar>
    </w:tblPr>
  </w:style>
  <w:style w:type="table" w:customStyle="1" w:styleId="affffffffffe">
    <w:basedOn w:val="TableNormal"/>
    <w:tblPr>
      <w:tblStyleRowBandSize w:val="1"/>
      <w:tblStyleColBandSize w:val="1"/>
      <w:tblCellMar>
        <w:left w:w="115" w:type="dxa"/>
        <w:right w:w="115" w:type="dxa"/>
      </w:tblCellMar>
    </w:tblPr>
  </w:style>
  <w:style w:type="table" w:customStyle="1" w:styleId="afffffffffff">
    <w:basedOn w:val="TableNormal"/>
    <w:tblPr>
      <w:tblStyleRowBandSize w:val="1"/>
      <w:tblStyleColBandSize w:val="1"/>
      <w:tblCellMar>
        <w:left w:w="115" w:type="dxa"/>
        <w:right w:w="115" w:type="dxa"/>
      </w:tblCellMar>
    </w:tblPr>
  </w:style>
  <w:style w:type="table" w:customStyle="1" w:styleId="afffffffffff0">
    <w:basedOn w:val="TableNormal"/>
    <w:tblPr>
      <w:tblStyleRowBandSize w:val="1"/>
      <w:tblStyleColBandSize w:val="1"/>
      <w:tblCellMar>
        <w:left w:w="115" w:type="dxa"/>
        <w:right w:w="115" w:type="dxa"/>
      </w:tblCellMar>
    </w:tblPr>
  </w:style>
  <w:style w:type="table" w:customStyle="1" w:styleId="afffffffffff1">
    <w:basedOn w:val="TableNormal"/>
    <w:tblPr>
      <w:tblStyleRowBandSize w:val="1"/>
      <w:tblStyleColBandSize w:val="1"/>
      <w:tblCellMar>
        <w:left w:w="115" w:type="dxa"/>
        <w:right w:w="115" w:type="dxa"/>
      </w:tblCellMar>
    </w:tblPr>
  </w:style>
  <w:style w:type="table" w:customStyle="1" w:styleId="afffffffffff2">
    <w:basedOn w:val="TableNormal"/>
    <w:tblPr>
      <w:tblStyleRowBandSize w:val="1"/>
      <w:tblStyleColBandSize w:val="1"/>
      <w:tblCellMar>
        <w:left w:w="115" w:type="dxa"/>
        <w:right w:w="115" w:type="dxa"/>
      </w:tblCellMar>
    </w:tblPr>
  </w:style>
  <w:style w:type="table" w:customStyle="1" w:styleId="afffffffffff3">
    <w:basedOn w:val="TableNormal"/>
    <w:tblPr>
      <w:tblStyleRowBandSize w:val="1"/>
      <w:tblStyleColBandSize w:val="1"/>
      <w:tblCellMar>
        <w:left w:w="115" w:type="dxa"/>
        <w:right w:w="115" w:type="dxa"/>
      </w:tblCellMar>
    </w:tblPr>
  </w:style>
  <w:style w:type="table" w:customStyle="1" w:styleId="afffffffffff4">
    <w:basedOn w:val="TableNormal"/>
    <w:tblPr>
      <w:tblStyleRowBandSize w:val="1"/>
      <w:tblStyleColBandSize w:val="1"/>
      <w:tblCellMar>
        <w:left w:w="115" w:type="dxa"/>
        <w:right w:w="115" w:type="dxa"/>
      </w:tblCellMar>
    </w:tblPr>
  </w:style>
  <w:style w:type="table" w:customStyle="1" w:styleId="afffffffffff5">
    <w:basedOn w:val="TableNormal"/>
    <w:tblPr>
      <w:tblStyleRowBandSize w:val="1"/>
      <w:tblStyleColBandSize w:val="1"/>
      <w:tblCellMar>
        <w:left w:w="115" w:type="dxa"/>
        <w:right w:w="115" w:type="dxa"/>
      </w:tblCellMar>
    </w:tblPr>
  </w:style>
  <w:style w:type="table" w:customStyle="1" w:styleId="afffffffffff6">
    <w:basedOn w:val="TableNormal"/>
    <w:tblPr>
      <w:tblStyleRowBandSize w:val="1"/>
      <w:tblStyleColBandSize w:val="1"/>
      <w:tblCellMar>
        <w:left w:w="115" w:type="dxa"/>
        <w:right w:w="115" w:type="dxa"/>
      </w:tblCellMar>
    </w:tblPr>
  </w:style>
  <w:style w:type="table" w:customStyle="1" w:styleId="afffffffffff7">
    <w:basedOn w:val="TableNormal"/>
    <w:tblPr>
      <w:tblStyleRowBandSize w:val="1"/>
      <w:tblStyleColBandSize w:val="1"/>
      <w:tblCellMar>
        <w:left w:w="115" w:type="dxa"/>
        <w:right w:w="115" w:type="dxa"/>
      </w:tblCellMar>
    </w:tblPr>
  </w:style>
  <w:style w:type="table" w:customStyle="1" w:styleId="afffffffffff8">
    <w:basedOn w:val="TableNormal"/>
    <w:tblPr>
      <w:tblStyleRowBandSize w:val="1"/>
      <w:tblStyleColBandSize w:val="1"/>
      <w:tblCellMar>
        <w:left w:w="115" w:type="dxa"/>
        <w:right w:w="115" w:type="dxa"/>
      </w:tblCellMar>
    </w:tblPr>
  </w:style>
  <w:style w:type="table" w:customStyle="1" w:styleId="afffffffffff9">
    <w:basedOn w:val="TableNormal"/>
    <w:tblPr>
      <w:tblStyleRowBandSize w:val="1"/>
      <w:tblStyleColBandSize w:val="1"/>
      <w:tblCellMar>
        <w:left w:w="115" w:type="dxa"/>
        <w:right w:w="115" w:type="dxa"/>
      </w:tblCellMar>
    </w:tblPr>
  </w:style>
  <w:style w:type="table" w:customStyle="1" w:styleId="afffffffffffa">
    <w:basedOn w:val="TableNormal"/>
    <w:tblPr>
      <w:tblStyleRowBandSize w:val="1"/>
      <w:tblStyleColBandSize w:val="1"/>
      <w:tblCellMar>
        <w:left w:w="115" w:type="dxa"/>
        <w:right w:w="115" w:type="dxa"/>
      </w:tblCellMar>
    </w:tblPr>
  </w:style>
  <w:style w:type="table" w:customStyle="1" w:styleId="afffffffffffb">
    <w:basedOn w:val="TableNormal"/>
    <w:tblPr>
      <w:tblStyleRowBandSize w:val="1"/>
      <w:tblStyleColBandSize w:val="1"/>
      <w:tblCellMar>
        <w:left w:w="115" w:type="dxa"/>
        <w:right w:w="115" w:type="dxa"/>
      </w:tblCellMar>
    </w:tblPr>
  </w:style>
  <w:style w:type="table" w:customStyle="1" w:styleId="afffffffffffc">
    <w:basedOn w:val="TableNormal"/>
    <w:tblPr>
      <w:tblStyleRowBandSize w:val="1"/>
      <w:tblStyleColBandSize w:val="1"/>
      <w:tblCellMar>
        <w:left w:w="115" w:type="dxa"/>
        <w:right w:w="115" w:type="dxa"/>
      </w:tblCellMar>
    </w:tblPr>
  </w:style>
  <w:style w:type="table" w:customStyle="1" w:styleId="afffffffffffd">
    <w:basedOn w:val="TableNormal"/>
    <w:tblPr>
      <w:tblStyleRowBandSize w:val="1"/>
      <w:tblStyleColBandSize w:val="1"/>
      <w:tblCellMar>
        <w:left w:w="115" w:type="dxa"/>
        <w:right w:w="115" w:type="dxa"/>
      </w:tblCellMar>
    </w:tblPr>
  </w:style>
  <w:style w:type="table" w:customStyle="1" w:styleId="afffffffffffe">
    <w:basedOn w:val="TableNormal"/>
    <w:tblPr>
      <w:tblStyleRowBandSize w:val="1"/>
      <w:tblStyleColBandSize w:val="1"/>
      <w:tblCellMar>
        <w:left w:w="115" w:type="dxa"/>
        <w:right w:w="115" w:type="dxa"/>
      </w:tblCellMar>
    </w:tblPr>
  </w:style>
  <w:style w:type="table" w:customStyle="1" w:styleId="affffffffffff">
    <w:basedOn w:val="TableNormal"/>
    <w:tblPr>
      <w:tblStyleRowBandSize w:val="1"/>
      <w:tblStyleColBandSize w:val="1"/>
      <w:tblCellMar>
        <w:left w:w="115" w:type="dxa"/>
        <w:right w:w="115" w:type="dxa"/>
      </w:tblCellMar>
    </w:tblPr>
  </w:style>
  <w:style w:type="table" w:customStyle="1" w:styleId="affffffffffff0">
    <w:basedOn w:val="TableNormal"/>
    <w:tblPr>
      <w:tblStyleRowBandSize w:val="1"/>
      <w:tblStyleColBandSize w:val="1"/>
      <w:tblCellMar>
        <w:left w:w="115" w:type="dxa"/>
        <w:right w:w="115" w:type="dxa"/>
      </w:tblCellMar>
    </w:tblPr>
  </w:style>
  <w:style w:type="table" w:customStyle="1" w:styleId="affffffffffff1">
    <w:basedOn w:val="TableNormal"/>
    <w:tblPr>
      <w:tblStyleRowBandSize w:val="1"/>
      <w:tblStyleColBandSize w:val="1"/>
      <w:tblCellMar>
        <w:left w:w="115" w:type="dxa"/>
        <w:right w:w="115" w:type="dxa"/>
      </w:tblCellMar>
    </w:tblPr>
  </w:style>
  <w:style w:type="table" w:customStyle="1" w:styleId="affffffffffff2">
    <w:basedOn w:val="TableNormal"/>
    <w:tblPr>
      <w:tblStyleRowBandSize w:val="1"/>
      <w:tblStyleColBandSize w:val="1"/>
      <w:tblCellMar>
        <w:left w:w="115" w:type="dxa"/>
        <w:right w:w="115" w:type="dxa"/>
      </w:tblCellMar>
    </w:tblPr>
  </w:style>
  <w:style w:type="table" w:customStyle="1" w:styleId="affffffffffff3">
    <w:basedOn w:val="TableNormal"/>
    <w:tblPr>
      <w:tblStyleRowBandSize w:val="1"/>
      <w:tblStyleColBandSize w:val="1"/>
      <w:tblCellMar>
        <w:left w:w="115" w:type="dxa"/>
        <w:right w:w="115" w:type="dxa"/>
      </w:tblCellMar>
    </w:tblPr>
  </w:style>
  <w:style w:type="table" w:customStyle="1" w:styleId="affffffffffff4">
    <w:basedOn w:val="TableNormal"/>
    <w:tblPr>
      <w:tblStyleRowBandSize w:val="1"/>
      <w:tblStyleColBandSize w:val="1"/>
      <w:tblCellMar>
        <w:left w:w="115" w:type="dxa"/>
        <w:right w:w="115" w:type="dxa"/>
      </w:tblCellMar>
    </w:tblPr>
  </w:style>
  <w:style w:type="table" w:customStyle="1" w:styleId="affffffffffff5">
    <w:basedOn w:val="TableNormal"/>
    <w:tblPr>
      <w:tblStyleRowBandSize w:val="1"/>
      <w:tblStyleColBandSize w:val="1"/>
      <w:tblCellMar>
        <w:left w:w="115" w:type="dxa"/>
        <w:right w:w="115" w:type="dxa"/>
      </w:tblCellMar>
    </w:tblPr>
  </w:style>
  <w:style w:type="paragraph" w:customStyle="1" w:styleId="InsideCoverPage-Text">
    <w:name w:val="Inside Cover Page-Text"/>
    <w:basedOn w:val="Normal"/>
    <w:rsid w:val="007B2C52"/>
    <w:pPr>
      <w:spacing w:before="160" w:line="280" w:lineRule="exact"/>
    </w:pPr>
    <w:rPr>
      <w:rFonts w:eastAsia="Times New Roman" w:cs="Arial"/>
      <w:sz w:val="20"/>
      <w:szCs w:val="24"/>
    </w:rPr>
  </w:style>
  <w:style w:type="paragraph" w:styleId="TOC5">
    <w:name w:val="toc 5"/>
    <w:basedOn w:val="Normal"/>
    <w:next w:val="Normal"/>
    <w:autoRedefine/>
    <w:uiPriority w:val="39"/>
    <w:unhideWhenUsed/>
    <w:rsid w:val="00DA72A6"/>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DA72A6"/>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DA72A6"/>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DA72A6"/>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DA72A6"/>
    <w:pPr>
      <w:spacing w:after="100"/>
      <w:ind w:left="1760"/>
    </w:pPr>
    <w:rPr>
      <w:rFonts w:asciiTheme="minorHAnsi" w:eastAsiaTheme="minorEastAsia" w:hAnsiTheme="minorHAnsi"/>
    </w:rPr>
  </w:style>
  <w:style w:type="table" w:customStyle="1" w:styleId="Style1">
    <w:name w:val="Style1"/>
    <w:basedOn w:val="TableNormal"/>
    <w:uiPriority w:val="99"/>
    <w:rsid w:val="00402D2C"/>
    <w:pPr>
      <w:spacing w:after="0" w:line="240" w:lineRule="auto"/>
    </w:pPr>
    <w:tblPr>
      <w:tblStyleRowBandSize w:val="1"/>
    </w:tblPr>
    <w:tblStylePr w:type="band2Horz">
      <w:tblPr/>
      <w:tcPr>
        <w:shd w:val="clear" w:color="auto" w:fill="E6E7E6" w:themeFill="accent5" w:themeFillTint="33"/>
      </w:tcPr>
    </w:tblStylePr>
  </w:style>
  <w:style w:type="paragraph" w:styleId="TableofFigures">
    <w:name w:val="table of figures"/>
    <w:basedOn w:val="Normal"/>
    <w:next w:val="Normal"/>
    <w:uiPriority w:val="99"/>
    <w:unhideWhenUsed/>
    <w:rsid w:val="00FD6777"/>
    <w:pPr>
      <w:spacing w:after="0"/>
    </w:pPr>
  </w:style>
  <w:style w:type="paragraph" w:styleId="Caption">
    <w:name w:val="caption"/>
    <w:basedOn w:val="Normal"/>
    <w:next w:val="Normal"/>
    <w:uiPriority w:val="35"/>
    <w:unhideWhenUsed/>
    <w:qFormat/>
    <w:rsid w:val="001D3E8C"/>
    <w:pPr>
      <w:keepNext/>
      <w:spacing w:after="200" w:line="240" w:lineRule="auto"/>
    </w:pPr>
    <w:rPr>
      <w:i/>
      <w:iCs/>
      <w:color w:val="002F6C" w:themeColor="text2"/>
      <w:sz w:val="18"/>
      <w:szCs w:val="18"/>
    </w:rPr>
  </w:style>
  <w:style w:type="paragraph" w:customStyle="1" w:styleId="CoverSubtitleDate">
    <w:name w:val="Cover: Subtitle Date"/>
    <w:basedOn w:val="Normal"/>
    <w:next w:val="Normal"/>
    <w:qFormat/>
    <w:rsid w:val="00C87127"/>
    <w:rPr>
      <w:color w:val="002F6C" w:themeColor="text2"/>
      <w:sz w:val="28"/>
      <w:szCs w:val="28"/>
    </w:rPr>
  </w:style>
  <w:style w:type="paragraph" w:customStyle="1" w:styleId="CoverINRMSubtitle">
    <w:name w:val="Cover: INRM Subtitle"/>
    <w:basedOn w:val="Normal"/>
    <w:qFormat/>
    <w:rsid w:val="00C87127"/>
    <w:pPr>
      <w:spacing w:before="2800"/>
    </w:pPr>
    <w:rPr>
      <w:color w:val="002F6C" w:themeColor="text2"/>
      <w:sz w:val="32"/>
      <w:szCs w:val="32"/>
    </w:rPr>
  </w:style>
  <w:style w:type="character" w:customStyle="1" w:styleId="Heading5Char">
    <w:name w:val="Heading 5 Char"/>
    <w:basedOn w:val="DefaultParagraphFont"/>
    <w:link w:val="Heading5"/>
    <w:uiPriority w:val="9"/>
    <w:semiHidden/>
    <w:rsid w:val="00C87127"/>
    <w:rPr>
      <w:rFonts w:ascii="Gill Sans MT" w:eastAsia="Source Sans Pro" w:hAnsi="Gill Sans MT" w:cstheme="minorBidi"/>
      <w:i/>
      <w:iCs/>
      <w:color w:val="4D8EDC" w:themeColor="accent2" w:themeShade="BF"/>
      <w:sz w:val="20"/>
      <w:szCs w:val="20"/>
    </w:rPr>
  </w:style>
  <w:style w:type="character" w:customStyle="1" w:styleId="Heading6Char">
    <w:name w:val="Heading 6 Char"/>
    <w:basedOn w:val="DefaultParagraphFont"/>
    <w:link w:val="Heading6"/>
    <w:uiPriority w:val="9"/>
    <w:semiHidden/>
    <w:rsid w:val="00C87127"/>
    <w:rPr>
      <w:rFonts w:asciiTheme="majorHAnsi" w:eastAsia="Lato Light" w:hAnsiTheme="majorHAnsi" w:cs="Lato Light"/>
      <w:i/>
      <w:color w:val="4D8EDC" w:themeColor="accent2" w:themeShade="BF"/>
      <w:sz w:val="18"/>
      <w:szCs w:val="18"/>
    </w:rPr>
  </w:style>
  <w:style w:type="character" w:customStyle="1" w:styleId="SubtitleChar">
    <w:name w:val="Subtitle Char"/>
    <w:basedOn w:val="DefaultParagraphFont"/>
    <w:link w:val="Subtitle"/>
    <w:uiPriority w:val="11"/>
    <w:rsid w:val="00C87127"/>
    <w:rPr>
      <w:rFonts w:ascii="Gill Sans MT" w:eastAsia="Source Sans Pro" w:hAnsi="Gill Sans MT" w:cstheme="minorBidi"/>
      <w:i/>
      <w:iCs/>
      <w:color w:val="002F6C" w:themeColor="text2"/>
      <w:sz w:val="40"/>
      <w:szCs w:val="40"/>
    </w:rPr>
  </w:style>
  <w:style w:type="table" w:customStyle="1" w:styleId="Style2">
    <w:name w:val="Style2"/>
    <w:basedOn w:val="TableNormal"/>
    <w:uiPriority w:val="99"/>
    <w:rsid w:val="00C1627E"/>
    <w:pPr>
      <w:spacing w:after="0"/>
    </w:pPr>
    <w:rPr>
      <w:rFonts w:asciiTheme="minorHAnsi" w:hAnsiTheme="minorHAnsi"/>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bottom w:w="58" w:type="dxa"/>
      </w:tblCellMar>
    </w:tblPr>
  </w:style>
  <w:style w:type="table" w:customStyle="1" w:styleId="Style3">
    <w:name w:val="Style3"/>
    <w:basedOn w:val="TableNormal"/>
    <w:uiPriority w:val="99"/>
    <w:rsid w:val="00FD619E"/>
    <w:pPr>
      <w:spacing w:after="0"/>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bottom w:w="58" w:type="dxa"/>
      </w:tblCellMar>
    </w:tblPr>
    <w:tcPr>
      <w:shd w:val="clear" w:color="auto" w:fill="auto"/>
    </w:tcPr>
  </w:style>
  <w:style w:type="table" w:customStyle="1" w:styleId="INRMbasetable">
    <w:name w:val="INRM base table"/>
    <w:basedOn w:val="TableNormal"/>
    <w:uiPriority w:val="99"/>
    <w:rsid w:val="007246EA"/>
    <w:pPr>
      <w:spacing w:after="0"/>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bottom w:w="58" w:type="dxa"/>
      </w:tblCellMar>
    </w:tblPr>
    <w:tcPr>
      <w:shd w:val="clear" w:color="auto" w:fill="auto"/>
    </w:tcPr>
  </w:style>
  <w:style w:type="character" w:styleId="FootnoteReference">
    <w:name w:val="footnote reference"/>
    <w:aliases w:val=" BVI fnr,BVI fnr, BVI fnr Car Car,BVI fnr Car, BVI fnr Car Car Car Car,ftref,Знак сноски 1,BVI fnr Car Car,BVI fnr Car Car Car Car,16 Point,Superscript 6 Point,footnoteAsia1,Char Char,Carattere Char1, Carattere Char1,Ref,BVI fnr1 Char"/>
    <w:basedOn w:val="DefaultParagraphFont"/>
    <w:link w:val="BVIfnr1"/>
    <w:uiPriority w:val="99"/>
    <w:unhideWhenUsed/>
    <w:qFormat/>
    <w:rsid w:val="00CD7EC6"/>
    <w:rPr>
      <w:vertAlign w:val="superscript"/>
    </w:rPr>
  </w:style>
  <w:style w:type="paragraph" w:customStyle="1" w:styleId="BVIfnr1">
    <w:name w:val="BVI fnr1"/>
    <w:aliases w:val=" BVI fnr Car Car1,BVI fnr Car1, BVI fnr Car Car Car Car1, BVI fnr Car Car Car Car Char,BVI fnr Car Car1,BVI fnr Car Car Car Car1,BVI fnr Car Car Car Car Char"/>
    <w:basedOn w:val="Normal"/>
    <w:link w:val="FootnoteReference"/>
    <w:uiPriority w:val="99"/>
    <w:rsid w:val="00CD7EC6"/>
    <w:pPr>
      <w:spacing w:after="160" w:line="240" w:lineRule="exact"/>
    </w:pPr>
    <w:rPr>
      <w:rFonts w:ascii="Lato" w:eastAsia="Lato" w:hAnsi="Lato" w:cs="Lato"/>
      <w:vertAlign w:val="superscript"/>
    </w:rPr>
  </w:style>
  <w:style w:type="character" w:styleId="UnresolvedMention">
    <w:name w:val="Unresolved Mention"/>
    <w:basedOn w:val="DefaultParagraphFont"/>
    <w:uiPriority w:val="99"/>
    <w:semiHidden/>
    <w:unhideWhenUsed/>
    <w:rsid w:val="00197103"/>
    <w:rPr>
      <w:color w:val="605E5C"/>
      <w:shd w:val="clear" w:color="auto" w:fill="E1DFDD"/>
    </w:rPr>
  </w:style>
  <w:style w:type="paragraph" w:customStyle="1" w:styleId="SectionTitle">
    <w:name w:val="Section Title"/>
    <w:basedOn w:val="Heading1"/>
    <w:qFormat/>
    <w:rsid w:val="00C408C8"/>
    <w:pPr>
      <w:pBdr>
        <w:bottom w:val="single" w:sz="8" w:space="1" w:color="auto"/>
      </w:pBdr>
    </w:pPr>
    <w:rPr>
      <w:sz w:val="96"/>
      <w:szCs w:val="96"/>
    </w:rPr>
  </w:style>
  <w:style w:type="paragraph" w:customStyle="1" w:styleId="TOCSectionTitle">
    <w:name w:val="TOC Section Title"/>
    <w:basedOn w:val="TOC1"/>
    <w:qFormat/>
    <w:rsid w:val="00CF3474"/>
    <w:pPr>
      <w:pBdr>
        <w:bottom w:val="single" w:sz="4" w:space="1" w:color="auto"/>
      </w:pBdr>
      <w:tabs>
        <w:tab w:val="right" w:pos="9360"/>
      </w:tabs>
    </w:pPr>
    <w:rPr>
      <w:bCs/>
      <w:sz w:val="36"/>
    </w:rPr>
  </w:style>
  <w:style w:type="paragraph" w:customStyle="1" w:styleId="CoverModuleTitle">
    <w:name w:val="Cover: Module Title"/>
    <w:basedOn w:val="Subtitle"/>
    <w:qFormat/>
    <w:rsid w:val="005D4DF1"/>
    <w:pPr>
      <w:spacing w:after="480"/>
    </w:pPr>
    <w:rPr>
      <w:sz w:val="56"/>
      <w:szCs w:val="56"/>
    </w:rPr>
  </w:style>
  <w:style w:type="table" w:customStyle="1" w:styleId="affffffffffff6">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ffffffffffff7">
    <w:basedOn w:val="TableNormal"/>
    <w:pPr>
      <w:spacing w:after="0" w:line="240" w:lineRule="auto"/>
    </w:pPr>
    <w:tblPr>
      <w:tblStyleRowBandSize w:val="1"/>
      <w:tblStyleColBandSize w:val="1"/>
      <w:tblCellMar>
        <w:top w:w="29" w:type="dxa"/>
        <w:left w:w="115" w:type="dxa"/>
        <w:bottom w:w="29" w:type="dxa"/>
        <w:right w:w="115" w:type="dxa"/>
      </w:tblCellMar>
    </w:tblPr>
    <w:tcPr>
      <w:shd w:val="clear" w:color="auto" w:fill="auto"/>
    </w:tcPr>
  </w:style>
  <w:style w:type="table" w:customStyle="1" w:styleId="affffffffffff8">
    <w:basedOn w:val="TableNormal"/>
    <w:tblPr>
      <w:tblStyleRowBandSize w:val="1"/>
      <w:tblStyleColBandSize w:val="1"/>
      <w:tblCellMar>
        <w:top w:w="58" w:type="dxa"/>
        <w:left w:w="115" w:type="dxa"/>
        <w:bottom w:w="58" w:type="dxa"/>
        <w:right w:w="115" w:type="dxa"/>
      </w:tblCellMar>
    </w:tblPr>
  </w:style>
  <w:style w:type="table" w:customStyle="1" w:styleId="affffffffffff9">
    <w:basedOn w:val="TableNormal"/>
    <w:pPr>
      <w:spacing w:after="0" w:line="240" w:lineRule="auto"/>
    </w:pPr>
    <w:tblPr>
      <w:tblStyleRowBandSize w:val="1"/>
      <w:tblStyleColBandSize w:val="1"/>
      <w:tblCellMar>
        <w:top w:w="58" w:type="dxa"/>
        <w:left w:w="115" w:type="dxa"/>
        <w:bottom w:w="58" w:type="dxa"/>
        <w:right w:w="115" w:type="dxa"/>
      </w:tblCellMar>
    </w:tblPr>
    <w:tcPr>
      <w:shd w:val="clear" w:color="auto" w:fill="auto"/>
    </w:tcPr>
    <w:tblStylePr w:type="firstRow">
      <w:rPr>
        <w:b/>
        <w:color w:val="FFFFFF"/>
      </w:rPr>
      <w:tblPr/>
      <w:tcPr>
        <w:tcBorders>
          <w:top w:val="single" w:sz="4" w:space="0" w:color="A2C4ED"/>
          <w:left w:val="single" w:sz="4" w:space="0" w:color="A2C4ED"/>
          <w:bottom w:val="single" w:sz="4" w:space="0" w:color="A2C4ED"/>
          <w:right w:val="single" w:sz="4" w:space="0" w:color="A2C4ED"/>
          <w:insideH w:val="nil"/>
          <w:insideV w:val="nil"/>
        </w:tcBorders>
        <w:shd w:val="clear" w:color="auto" w:fill="A2C4ED"/>
      </w:tcPr>
    </w:tblStylePr>
    <w:tblStylePr w:type="lastRow">
      <w:rPr>
        <w:b/>
      </w:rPr>
      <w:tblPr/>
      <w:tcPr>
        <w:tcBorders>
          <w:top w:val="single" w:sz="4" w:space="0" w:color="A2C4ED"/>
        </w:tcBorders>
      </w:tcPr>
    </w:tblStylePr>
    <w:tblStylePr w:type="firstCol">
      <w:rPr>
        <w:b/>
      </w:rPr>
    </w:tblStylePr>
    <w:tblStylePr w:type="lastCol">
      <w:rPr>
        <w:b/>
      </w:rPr>
    </w:tblStylePr>
    <w:tblStylePr w:type="band1Vert">
      <w:tblPr/>
      <w:tcPr>
        <w:shd w:val="clear" w:color="auto" w:fill="ECF3FB"/>
      </w:tcPr>
    </w:tblStylePr>
    <w:tblStylePr w:type="band1Horz">
      <w:tblPr/>
      <w:tcPr>
        <w:shd w:val="clear" w:color="auto" w:fill="ECF3FB"/>
      </w:tcPr>
    </w:tblStylePr>
  </w:style>
  <w:style w:type="table" w:customStyle="1" w:styleId="affffffffffffa">
    <w:basedOn w:val="TableNormal"/>
    <w:tblPr>
      <w:tblStyleRowBandSize w:val="1"/>
      <w:tblStyleColBandSize w:val="1"/>
      <w:tblCellMar>
        <w:top w:w="58" w:type="dxa"/>
        <w:left w:w="115" w:type="dxa"/>
        <w:bottom w:w="58" w:type="dxa"/>
        <w:right w:w="115" w:type="dxa"/>
      </w:tblCellMar>
    </w:tblPr>
  </w:style>
  <w:style w:type="table" w:customStyle="1" w:styleId="affffffffffffb">
    <w:basedOn w:val="TableNormal"/>
    <w:tblPr>
      <w:tblStyleRowBandSize w:val="1"/>
      <w:tblStyleColBandSize w:val="1"/>
      <w:tblCellMar>
        <w:top w:w="58" w:type="dxa"/>
        <w:left w:w="115" w:type="dxa"/>
        <w:bottom w:w="58" w:type="dxa"/>
        <w:right w:w="115" w:type="dxa"/>
      </w:tblCellMar>
    </w:tblPr>
  </w:style>
  <w:style w:type="table" w:customStyle="1" w:styleId="affffffffffffc">
    <w:basedOn w:val="TableNormal"/>
    <w:tblPr>
      <w:tblStyleRowBandSize w:val="1"/>
      <w:tblStyleColBandSize w:val="1"/>
      <w:tblCellMar>
        <w:top w:w="58" w:type="dxa"/>
        <w:left w:w="115" w:type="dxa"/>
        <w:bottom w:w="58" w:type="dxa"/>
        <w:right w:w="115" w:type="dxa"/>
      </w:tblCellMar>
    </w:tblPr>
  </w:style>
  <w:style w:type="table" w:customStyle="1" w:styleId="affffffffffffd">
    <w:basedOn w:val="TableNormal"/>
    <w:tblPr>
      <w:tblStyleRowBandSize w:val="1"/>
      <w:tblStyleColBandSize w:val="1"/>
      <w:tblCellMar>
        <w:left w:w="115" w:type="dxa"/>
        <w:right w:w="115" w:type="dxa"/>
      </w:tblCellMar>
    </w:tblPr>
  </w:style>
  <w:style w:type="table" w:customStyle="1" w:styleId="affffffffffffe">
    <w:basedOn w:val="TableNormal"/>
    <w:tblPr>
      <w:tblStyleRowBandSize w:val="1"/>
      <w:tblStyleColBandSize w:val="1"/>
      <w:tblCellMar>
        <w:top w:w="58" w:type="dxa"/>
        <w:left w:w="115" w:type="dxa"/>
        <w:bottom w:w="58" w:type="dxa"/>
        <w:right w:w="115" w:type="dxa"/>
      </w:tblCellMar>
    </w:tblPr>
  </w:style>
  <w:style w:type="table" w:customStyle="1" w:styleId="afffffffffffff">
    <w:basedOn w:val="TableNormal"/>
    <w:tblPr>
      <w:tblStyleRowBandSize w:val="1"/>
      <w:tblStyleColBandSize w:val="1"/>
      <w:tblCellMar>
        <w:left w:w="115" w:type="dxa"/>
        <w:right w:w="115" w:type="dxa"/>
      </w:tblCellMar>
    </w:tblPr>
  </w:style>
  <w:style w:type="paragraph" w:customStyle="1" w:styleId="TableParagraph">
    <w:name w:val="Table Paragraph"/>
    <w:basedOn w:val="Normal"/>
    <w:uiPriority w:val="1"/>
    <w:qFormat/>
    <w:rsid w:val="00C50BA6"/>
    <w:pPr>
      <w:widowControl w:val="0"/>
      <w:autoSpaceDE w:val="0"/>
      <w:autoSpaceDN w:val="0"/>
      <w:spacing w:after="0" w:line="240" w:lineRule="auto"/>
      <w:ind w:left="115"/>
    </w:pPr>
    <w:rPr>
      <w:rFonts w:eastAsia="Gill Sans MT" w:cs="Gill Sans MT"/>
    </w:rPr>
  </w:style>
  <w:style w:type="character" w:customStyle="1" w:styleId="Heading8Char">
    <w:name w:val="Heading 8 Char"/>
    <w:basedOn w:val="DefaultParagraphFont"/>
    <w:link w:val="Heading8"/>
    <w:uiPriority w:val="9"/>
    <w:semiHidden/>
    <w:rsid w:val="000F2A47"/>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1"/>
    <w:rsid w:val="000F2A47"/>
    <w:rPr>
      <w:rFonts w:ascii="Gill Sans MT" w:eastAsia="Gill Sans MT" w:hAnsi="Gill Sans MT" w:cs="Gill Sans MT"/>
      <w:i/>
      <w:iCs/>
      <w:sz w:val="28"/>
      <w:szCs w:val="28"/>
    </w:rPr>
  </w:style>
  <w:style w:type="numbering" w:customStyle="1" w:styleId="NoList1">
    <w:name w:val="No List1"/>
    <w:next w:val="NoList"/>
    <w:uiPriority w:val="99"/>
    <w:semiHidden/>
    <w:unhideWhenUsed/>
    <w:rsid w:val="000F2A47"/>
  </w:style>
  <w:style w:type="paragraph" w:styleId="BodyText">
    <w:name w:val="Body Text"/>
    <w:basedOn w:val="Normal"/>
    <w:link w:val="BodyTextChar"/>
    <w:uiPriority w:val="1"/>
    <w:qFormat/>
    <w:rsid w:val="000F2A47"/>
    <w:pPr>
      <w:widowControl w:val="0"/>
      <w:autoSpaceDE w:val="0"/>
      <w:autoSpaceDN w:val="0"/>
      <w:spacing w:after="0" w:line="240" w:lineRule="auto"/>
    </w:pPr>
    <w:rPr>
      <w:rFonts w:eastAsia="Gill Sans MT" w:cs="Gill Sans MT"/>
    </w:rPr>
  </w:style>
  <w:style w:type="character" w:customStyle="1" w:styleId="BodyTextChar">
    <w:name w:val="Body Text Char"/>
    <w:basedOn w:val="DefaultParagraphFont"/>
    <w:link w:val="BodyText"/>
    <w:uiPriority w:val="1"/>
    <w:rsid w:val="000F2A47"/>
    <w:rPr>
      <w:rFonts w:ascii="Gill Sans MT" w:eastAsia="Gill Sans MT" w:hAnsi="Gill Sans MT" w:cs="Gill Sans MT"/>
    </w:rPr>
  </w:style>
  <w:style w:type="paragraph" w:customStyle="1" w:styleId="BasicParagraph">
    <w:name w:val="[Basic Paragraph]"/>
    <w:basedOn w:val="Normal"/>
    <w:uiPriority w:val="99"/>
    <w:rsid w:val="00143666"/>
    <w:pPr>
      <w:autoSpaceDE w:val="0"/>
      <w:autoSpaceDN w:val="0"/>
      <w:adjustRightInd w:val="0"/>
      <w:spacing w:after="270" w:line="288" w:lineRule="auto"/>
      <w:textAlignment w:val="center"/>
    </w:pPr>
    <w:rPr>
      <w:rFonts w:ascii="Gill Sans Nova Book" w:eastAsia="Lato" w:hAnsi="Gill Sans Nova Book" w:cs="Gill Sans Nova Book"/>
      <w:color w:val="000000"/>
    </w:rPr>
  </w:style>
  <w:style w:type="paragraph" w:customStyle="1" w:styleId="Contractpage-INRMheading">
    <w:name w:val="Contract page - INRM heading"/>
    <w:basedOn w:val="BasicParagraph"/>
    <w:next w:val="BasicParagraph"/>
    <w:uiPriority w:val="99"/>
    <w:rsid w:val="00143666"/>
    <w:pPr>
      <w:spacing w:after="90"/>
    </w:pPr>
    <w:rPr>
      <w:rFonts w:asciiTheme="minorHAnsi" w:hAnsiTheme="minorHAnsi" w:cs="Gill Sans Nova SemiBold"/>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952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biodiversitylinks.org/projects/current-global-projects/integrated-natural-resource-management-inrm/usaid-hearth-monitoring-and-evaluation-toolkit-2022-4-508.pdf/view"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ru.nl/publish/pages/516298/nice_12107.pdf" TargetMode="External"/><Relationship Id="rId2" Type="http://schemas.openxmlformats.org/officeDocument/2006/relationships/hyperlink" Target="https://www.dhsprogram.com/pubs/pdf/MR9/MR9.pdf" TargetMode="External"/><Relationship Id="rId1" Type="http://schemas.openxmlformats.org/officeDocument/2006/relationships/hyperlink" Target="https://doi.org/10.1016/j.jdeveco.2011.11.001" TargetMode="External"/><Relationship Id="rId4" Type="http://schemas.openxmlformats.org/officeDocument/2006/relationships/hyperlink" Target="https://www.povertyindex.org/about-ppi" TargetMode="External"/></Relationships>
</file>

<file path=word/theme/theme1.xml><?xml version="1.0" encoding="utf-8"?>
<a:theme xmlns:a="http://schemas.openxmlformats.org/drawingml/2006/main" name="INRM 2022-1">
  <a:themeElements>
    <a:clrScheme name="Custom 2">
      <a:dk1>
        <a:srgbClr val="000000"/>
      </a:dk1>
      <a:lt1>
        <a:srgbClr val="FFFFFF"/>
      </a:lt1>
      <a:dk2>
        <a:srgbClr val="002F6C"/>
      </a:dk2>
      <a:lt2>
        <a:srgbClr val="BA0C2F"/>
      </a:lt2>
      <a:accent1>
        <a:srgbClr val="0064BB"/>
      </a:accent1>
      <a:accent2>
        <a:srgbClr val="A2C4ED"/>
      </a:accent2>
      <a:accent3>
        <a:srgbClr val="651C2F"/>
      </a:accent3>
      <a:accent4>
        <a:srgbClr val="6A6261"/>
      </a:accent4>
      <a:accent5>
        <a:srgbClr val="878885"/>
      </a:accent5>
      <a:accent6>
        <a:srgbClr val="C9CBC7"/>
      </a:accent6>
      <a:hlink>
        <a:srgbClr val="0064B9"/>
      </a:hlink>
      <a:folHlink>
        <a:srgbClr val="A0C2E9"/>
      </a:folHlink>
    </a:clrScheme>
    <a:fontScheme name="Solstice">
      <a:majorFont>
        <a:latin typeface="Gill Sans MT"/>
        <a:ea typeface=""/>
        <a:cs typeface=""/>
        <a:font script="Grek" typeface="Corbel"/>
        <a:font script="Cyrl" typeface="Corbel"/>
        <a:font script="Jpan" typeface="ＭＳ ゴシック"/>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ＭＳ ゴシック"/>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INRM USAID 2021-10" id="{A5107712-0335-4C44-9EBD-29939CBDCC4A}" vid="{62D570DA-F41A-284E-9AEB-0CCB5B2D837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de9b860-b3f0-454b-ad59-30bbf9bc5255" xsi:nil="true"/>
    <lcf76f155ced4ddcb4097134ff3c332f xmlns="232de6c4-d0fc-440e-b2d6-a396664edb32">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FDJxFjQllyd8vmVQXm/o4+nPw6A==">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</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3F81BD81BD9FDF44A4A8483796F7566F" ma:contentTypeVersion="16" ma:contentTypeDescription="Create a new document." ma:contentTypeScope="" ma:versionID="f2969a6bfe76f194994587e0a0410888">
  <xsd:schema xmlns:xsd="http://www.w3.org/2001/XMLSchema" xmlns:xs="http://www.w3.org/2001/XMLSchema" xmlns:p="http://schemas.microsoft.com/office/2006/metadata/properties" xmlns:ns2="6de9b860-b3f0-454b-ad59-30bbf9bc5255" xmlns:ns3="232de6c4-d0fc-440e-b2d6-a396664edb32" targetNamespace="http://schemas.microsoft.com/office/2006/metadata/properties" ma:root="true" ma:fieldsID="fb6085b3595ddcc97fd7a56108c7940a" ns2:_="" ns3:_="">
    <xsd:import namespace="6de9b860-b3f0-454b-ad59-30bbf9bc5255"/>
    <xsd:import namespace="232de6c4-d0fc-440e-b2d6-a396664edb3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e9b860-b3f0-454b-ad59-30bbf9bc525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437e096-6667-4091-8530-bf2d6f7ae66c}" ma:internalName="TaxCatchAll" ma:showField="CatchAllData" ma:web="6de9b860-b3f0-454b-ad59-30bbf9bc525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2de6c4-d0fc-440e-b2d6-a396664edb3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3e14187-b4d4-4fc9-8c4a-20dc3ccbfd5c"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27847C-D2DE-4720-A405-8FF1FDAE5D5D}">
  <ds:schemaRefs>
    <ds:schemaRef ds:uri="http://schemas.microsoft.com/sharepoint/v3/contenttype/forms"/>
  </ds:schemaRefs>
</ds:datastoreItem>
</file>

<file path=customXml/itemProps2.xml><?xml version="1.0" encoding="utf-8"?>
<ds:datastoreItem xmlns:ds="http://schemas.openxmlformats.org/officeDocument/2006/customXml" ds:itemID="{B77BDB56-5806-4B47-A27A-C6A4491EC859}">
  <ds:schemaRefs>
    <ds:schemaRef ds:uri="http://schemas.microsoft.com/office/2006/metadata/properties"/>
    <ds:schemaRef ds:uri="http://schemas.microsoft.com/office/infopath/2007/PartnerControls"/>
    <ds:schemaRef ds:uri="fb4cb492-e5b9-4187-bcdd-96002f49a92b"/>
    <ds:schemaRef ds:uri="640d5905-ba30-4455-9c2d-3e4d1382593f"/>
    <ds:schemaRef ds:uri="6de9b860-b3f0-454b-ad59-30bbf9bc5255"/>
    <ds:schemaRef ds:uri="232de6c4-d0fc-440e-b2d6-a396664edb32"/>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2E3E9EF-3432-4450-8E9E-40C85EAF7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e9b860-b3f0-454b-ad59-30bbf9bc5255"/>
    <ds:schemaRef ds:uri="232de6c4-d0fc-440e-b2d6-a396664ed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3934</Words>
  <Characters>22426</Characters>
  <Application>Microsoft Office Word</Application>
  <DocSecurity>4</DocSecurity>
  <Lines>186</Lines>
  <Paragraphs>52</Paragraphs>
  <ScaleCrop>false</ScaleCrop>
  <Company/>
  <LinksUpToDate>false</LinksUpToDate>
  <CharactersWithSpaces>26308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Christina Seybolt</dc:creator>
  <cp:lastModifiedBy>Anna Dunn</cp:lastModifiedBy>
  <cp:revision>2</cp:revision>
  <dcterms:created xsi:type="dcterms:W3CDTF">2022-08-05T21:22:00Z</dcterms:created>
  <dcterms:modified xsi:type="dcterms:W3CDTF">2022-08-05T21:22:00Z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0x0101003F81BD81BD9FDF44A4A8483796F7566F</vt:lpwstr>
  </property>
  <property fmtid="{D5CDD505-2E9C-101B-9397-08002B2CF9AE}" pid="3" name="MediaServiceImageTags">
    <vt:lpwstr/>
  </property>
</Properties>
</file>