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Calibri" w:hAnsi="Calibri"/>
          <w:b w:val="0"/>
          <w:i w:val="0"/>
          <w:sz w:val="22"/>
        </w:rPr>
      </w:r>
    </w:p>
    <w:p>
      <w:pPr>
        <w:spacing w:before="0" w:after="0"/>
        <w:jc w:val="left"/>
      </w:pPr>
      <w:r>
        <w:rPr>
          <w:rFonts w:ascii="Calibri" w:hAnsi="Calibri"/>
          <w:b w:val="0"/>
          <w:i w:val="0"/>
          <w:sz w:val="22"/>
        </w:rPr>
      </w:r>
    </w:p>
    <w:p>
      <w:pPr>
        <w:spacing w:before="0" w:after="0"/>
        <w:jc w:val="left"/>
      </w:pPr>
      <w:r>
        <w:rPr>
          <w:rFonts w:ascii="Calibri" w:hAnsi="Calibri"/>
          <w:b w:val="0"/>
          <w:i w:val="0"/>
          <w:sz w:val="22"/>
        </w:rPr>
      </w:r>
    </w:p>
    <w:p>
      <w:pPr>
        <w:spacing w:before="0" w:after="0"/>
        <w:jc w:val="left"/>
      </w:pPr>
      <w:r>
        <w:rPr>
          <w:rFonts w:ascii="Calibri" w:hAnsi="Calibri"/>
          <w:b w:val="0"/>
          <w:i w:val="0"/>
          <w:sz w:val="22"/>
        </w:rPr>
      </w:r>
    </w:p>
    <w:p>
      <w:pPr>
        <w:spacing w:before="0" w:after="240"/>
        <w:jc w:val="center"/>
      </w:pPr>
      <w:r>
        <w:rPr>
          <w:rFonts w:ascii="Calibri" w:hAnsi="Calibri"/>
          <w:b/>
          <w:i w:val="0"/>
          <w:color w:val="003366"/>
          <w:sz w:val="52"/>
        </w:rPr>
        <w:t>Professional Online Certification Report</w:t>
      </w:r>
    </w:p>
    <w:p>
      <w:pPr>
        <w:jc w:val="center"/>
      </w:pPr>
      <w:r>
        <w:rPr>
          <w:color w:val="006699"/>
          <w:sz w:val="24"/>
        </w:rPr>
        <w:t>____________________________________________________________</w:t>
      </w:r>
    </w:p>
    <w:p>
      <w:pPr>
        <w:spacing w:before="240" w:after="120"/>
        <w:jc w:val="center"/>
      </w:pPr>
      <w:r>
        <w:rPr>
          <w:rFonts w:ascii="Calibri" w:hAnsi="Calibri"/>
          <w:b/>
          <w:i w:val="0"/>
          <w:color w:val="006699"/>
          <w:sz w:val="32"/>
        </w:rPr>
        <w:t>Network Scanning: Master Nmap, Nessus &amp; Wireshark Tools</w:t>
      </w:r>
    </w:p>
    <w:p>
      <w:pPr>
        <w:spacing w:before="0" w:after="480"/>
        <w:jc w:val="center"/>
      </w:pPr>
      <w:r>
        <w:rPr>
          <w:rFonts w:ascii="Calibri" w:hAnsi="Calibri"/>
          <w:b w:val="0"/>
          <w:i/>
          <w:color w:val="505050"/>
          <w:sz w:val="24"/>
        </w:rPr>
        <w:t>Udemy - Instructor: Muharrem Aydin</w:t>
      </w:r>
    </w:p>
    <w:p>
      <w:pPr>
        <w:jc w:val="center"/>
      </w:pPr>
      <w:r>
        <w:rPr>
          <w:color w:val="006699"/>
          <w:sz w:val="24"/>
        </w:rPr>
        <w:t>____________________________________________________________</w:t>
      </w:r>
    </w:p>
    <w:p>
      <w:pPr>
        <w:spacing w:before="240" w:after="80"/>
        <w:jc w:val="center"/>
      </w:pPr>
      <w:r>
        <w:rPr>
          <w:rFonts w:ascii="Calibri" w:hAnsi="Calibri"/>
          <w:b w:val="0"/>
          <w:i w:val="0"/>
          <w:color w:val="505050"/>
          <w:sz w:val="24"/>
        </w:rPr>
        <w:t>Supporting Project:</w:t>
      </w:r>
    </w:p>
    <w:p>
      <w:pPr>
        <w:spacing w:before="0" w:after="600"/>
        <w:jc w:val="center"/>
      </w:pPr>
      <w:r>
        <w:rPr>
          <w:rFonts w:ascii="Calibri" w:hAnsi="Calibri"/>
          <w:b/>
          <w:i w:val="0"/>
          <w:color w:val="003366"/>
          <w:sz w:val="28"/>
        </w:rPr>
        <w:t>AI-Driven Cyber Deception &amp; Attack Detection Framework</w:t>
      </w:r>
    </w:p>
    <w:p>
      <w:pPr>
        <w:spacing w:after="40"/>
        <w:jc w:val="center"/>
      </w:pPr>
      <w:r>
        <w:rPr>
          <w:rFonts w:ascii="Calibri" w:hAnsi="Calibri"/>
          <w:b/>
          <w:color w:val="003366"/>
          <w:sz w:val="22"/>
        </w:rPr>
        <w:t xml:space="preserve">Student Name:  </w:t>
      </w:r>
      <w:r>
        <w:rPr>
          <w:rFonts w:ascii="Calibri" w:hAnsi="Calibri"/>
          <w:sz w:val="22"/>
        </w:rPr>
        <w:t>[Your Name]</w:t>
      </w:r>
    </w:p>
    <w:p>
      <w:pPr>
        <w:spacing w:after="40"/>
        <w:jc w:val="center"/>
      </w:pPr>
      <w:r>
        <w:rPr>
          <w:rFonts w:ascii="Calibri" w:hAnsi="Calibri"/>
          <w:b/>
          <w:color w:val="003366"/>
          <w:sz w:val="22"/>
        </w:rPr>
        <w:t xml:space="preserve">Roll Number:  </w:t>
      </w:r>
      <w:r>
        <w:rPr>
          <w:rFonts w:ascii="Calibri" w:hAnsi="Calibri"/>
          <w:sz w:val="22"/>
        </w:rPr>
        <w:t>[Your Roll Number]</w:t>
      </w:r>
    </w:p>
    <w:p>
      <w:pPr>
        <w:spacing w:after="40"/>
        <w:jc w:val="center"/>
      </w:pPr>
      <w:r>
        <w:rPr>
          <w:rFonts w:ascii="Calibri" w:hAnsi="Calibri"/>
          <w:b/>
          <w:color w:val="003366"/>
          <w:sz w:val="22"/>
        </w:rPr>
        <w:t xml:space="preserve">Department:  </w:t>
      </w:r>
      <w:r>
        <w:rPr>
          <w:rFonts w:ascii="Calibri" w:hAnsi="Calibri"/>
          <w:sz w:val="22"/>
        </w:rPr>
        <w:t>[Your Department]</w:t>
      </w:r>
    </w:p>
    <w:p>
      <w:pPr>
        <w:spacing w:after="40"/>
        <w:jc w:val="center"/>
      </w:pPr>
      <w:r>
        <w:rPr>
          <w:rFonts w:ascii="Calibri" w:hAnsi="Calibri"/>
          <w:b/>
          <w:color w:val="003366"/>
          <w:sz w:val="22"/>
        </w:rPr>
        <w:t xml:space="preserve">Project Guide:  </w:t>
      </w:r>
      <w:r>
        <w:rPr>
          <w:rFonts w:ascii="Calibri" w:hAnsi="Calibri"/>
          <w:sz w:val="22"/>
        </w:rPr>
        <w:t>[Guide Name]</w:t>
      </w:r>
    </w:p>
    <w:p>
      <w:pPr>
        <w:spacing w:after="40"/>
        <w:jc w:val="center"/>
      </w:pPr>
      <w:r>
        <w:rPr>
          <w:rFonts w:ascii="Calibri" w:hAnsi="Calibri"/>
          <w:b/>
          <w:color w:val="003366"/>
          <w:sz w:val="22"/>
        </w:rPr>
        <w:t xml:space="preserve">Academic Year:  </w:t>
      </w:r>
      <w:r>
        <w:rPr>
          <w:rFonts w:ascii="Calibri" w:hAnsi="Calibri"/>
          <w:sz w:val="22"/>
        </w:rPr>
        <w:t>2025 - 2026</w:t>
      </w:r>
    </w:p>
    <w:p>
      <w:r>
        <w:br w:type="page"/>
      </w:r>
    </w:p>
    <w:p>
      <w:pPr>
        <w:pStyle w:val="Heading1"/>
      </w:pPr>
      <w:r>
        <w:rPr>
          <w:rFonts w:ascii="Calibri" w:hAnsi="Calibri"/>
          <w:color w:val="003366"/>
        </w:rPr>
        <w:t>1. Certification Details</w:t>
      </w:r>
    </w:p>
    <w:tbl>
      <w:tblPr>
        <w:tblW w:type="auto" w:w="0"/>
        <w:jc w:val="center"/>
        <w:tblLook w:firstColumn="1" w:firstRow="1" w:lastColumn="0" w:lastRow="0" w:noHBand="0" w:noVBand="1" w:val="04A0"/>
      </w:tblPr>
      <w:tblGrid>
        <w:gridCol w:w="4680"/>
        <w:gridCol w:w="4680"/>
      </w:tblGrid>
      <w:tr>
        <w:tc>
          <w:tcPr>
            <w:tcW w:type="dxa" w:w="2835"/>
            <w:shd w:fill="003366" w:val="clear"/>
          </w:tcPr>
          <w:p>
            <w:pPr>
              <w:jc w:val="center"/>
            </w:pPr>
            <w:r/>
            <w:r>
              <w:rPr>
                <w:rFonts w:ascii="Calibri" w:hAnsi="Calibri"/>
                <w:b/>
                <w:color w:val="FFFFFF"/>
                <w:sz w:val="20"/>
              </w:rPr>
              <w:t>Field</w:t>
            </w:r>
          </w:p>
        </w:tc>
        <w:tc>
          <w:tcPr>
            <w:tcW w:type="dxa" w:w="6803"/>
            <w:shd w:fill="003366" w:val="clear"/>
          </w:tcPr>
          <w:p>
            <w:pPr>
              <w:jc w:val="center"/>
            </w:pPr>
            <w:r/>
            <w:r>
              <w:rPr>
                <w:rFonts w:ascii="Calibri" w:hAnsi="Calibri"/>
                <w:b/>
                <w:color w:val="FFFFFF"/>
                <w:sz w:val="20"/>
              </w:rPr>
              <w:t>Details</w:t>
            </w:r>
          </w:p>
        </w:tc>
      </w:tr>
      <w:tr>
        <w:tc>
          <w:tcPr>
            <w:tcW w:type="dxa" w:w="2835"/>
            <w:shd w:fill="F2F7FB" w:val="clear"/>
          </w:tcPr>
          <w:p>
            <w:pPr>
              <w:jc w:val="left"/>
            </w:pPr>
            <w:r/>
            <w:r>
              <w:rPr>
                <w:rFonts w:ascii="Calibri" w:hAnsi="Calibri"/>
                <w:sz w:val="20"/>
              </w:rPr>
              <w:t>Course Title</w:t>
            </w:r>
          </w:p>
        </w:tc>
        <w:tc>
          <w:tcPr>
            <w:tcW w:type="dxa" w:w="6803"/>
            <w:shd w:fill="F2F7FB" w:val="clear"/>
          </w:tcPr>
          <w:p>
            <w:pPr>
              <w:jc w:val="left"/>
            </w:pPr>
            <w:r/>
            <w:r>
              <w:rPr>
                <w:rFonts w:ascii="Calibri" w:hAnsi="Calibri"/>
                <w:sz w:val="20"/>
              </w:rPr>
              <w:t>Network Scanning: Master Nmap, Nessus &amp; Wireshark Tools</w:t>
            </w:r>
          </w:p>
        </w:tc>
      </w:tr>
      <w:tr>
        <w:tc>
          <w:tcPr>
            <w:tcW w:type="dxa" w:w="2835"/>
            <w:shd w:fill="FFFFFF" w:val="clear"/>
          </w:tcPr>
          <w:p>
            <w:pPr>
              <w:jc w:val="left"/>
            </w:pPr>
            <w:r/>
            <w:r>
              <w:rPr>
                <w:rFonts w:ascii="Calibri" w:hAnsi="Calibri"/>
                <w:sz w:val="20"/>
              </w:rPr>
              <w:t>Platform</w:t>
            </w:r>
          </w:p>
        </w:tc>
        <w:tc>
          <w:tcPr>
            <w:tcW w:type="dxa" w:w="6803"/>
            <w:shd w:fill="FFFFFF" w:val="clear"/>
          </w:tcPr>
          <w:p>
            <w:pPr>
              <w:jc w:val="left"/>
            </w:pPr>
            <w:r/>
            <w:r>
              <w:rPr>
                <w:rFonts w:ascii="Calibri" w:hAnsi="Calibri"/>
                <w:sz w:val="20"/>
              </w:rPr>
              <w:t>Udemy (www.udemy.com)</w:t>
            </w:r>
          </w:p>
        </w:tc>
      </w:tr>
      <w:tr>
        <w:tc>
          <w:tcPr>
            <w:tcW w:type="dxa" w:w="2835"/>
            <w:shd w:fill="F2F7FB" w:val="clear"/>
          </w:tcPr>
          <w:p>
            <w:pPr>
              <w:jc w:val="left"/>
            </w:pPr>
            <w:r/>
            <w:r>
              <w:rPr>
                <w:rFonts w:ascii="Calibri" w:hAnsi="Calibri"/>
                <w:sz w:val="20"/>
              </w:rPr>
              <w:t>Instructor</w:t>
            </w:r>
          </w:p>
        </w:tc>
        <w:tc>
          <w:tcPr>
            <w:tcW w:type="dxa" w:w="6803"/>
            <w:shd w:fill="F2F7FB" w:val="clear"/>
          </w:tcPr>
          <w:p>
            <w:pPr>
              <w:jc w:val="left"/>
            </w:pPr>
            <w:r/>
            <w:r>
              <w:rPr>
                <w:rFonts w:ascii="Calibri" w:hAnsi="Calibri"/>
                <w:sz w:val="20"/>
              </w:rPr>
              <w:t>Muharrem Aydin</w:t>
            </w:r>
          </w:p>
        </w:tc>
      </w:tr>
      <w:tr>
        <w:tc>
          <w:tcPr>
            <w:tcW w:type="dxa" w:w="2835"/>
            <w:shd w:fill="FFFFFF" w:val="clear"/>
          </w:tcPr>
          <w:p>
            <w:pPr>
              <w:jc w:val="left"/>
            </w:pPr>
            <w:r/>
            <w:r>
              <w:rPr>
                <w:rFonts w:ascii="Calibri" w:hAnsi="Calibri"/>
                <w:sz w:val="20"/>
              </w:rPr>
              <w:t>Course Duration</w:t>
            </w:r>
          </w:p>
        </w:tc>
        <w:tc>
          <w:tcPr>
            <w:tcW w:type="dxa" w:w="6803"/>
            <w:shd w:fill="FFFFFF" w:val="clear"/>
          </w:tcPr>
          <w:p>
            <w:pPr>
              <w:jc w:val="left"/>
            </w:pPr>
            <w:r/>
            <w:r>
              <w:rPr>
                <w:rFonts w:ascii="Calibri" w:hAnsi="Calibri"/>
                <w:sz w:val="20"/>
              </w:rPr>
              <w:t>11.5 hours of video content (110 lectures)</w:t>
            </w:r>
          </w:p>
        </w:tc>
      </w:tr>
      <w:tr>
        <w:tc>
          <w:tcPr>
            <w:tcW w:type="dxa" w:w="2835"/>
            <w:shd w:fill="F2F7FB" w:val="clear"/>
          </w:tcPr>
          <w:p>
            <w:pPr>
              <w:jc w:val="left"/>
            </w:pPr>
            <w:r/>
            <w:r>
              <w:rPr>
                <w:rFonts w:ascii="Calibri" w:hAnsi="Calibri"/>
                <w:sz w:val="20"/>
              </w:rPr>
              <w:t>Skill Level</w:t>
            </w:r>
          </w:p>
        </w:tc>
        <w:tc>
          <w:tcPr>
            <w:tcW w:type="dxa" w:w="6803"/>
            <w:shd w:fill="F2F7FB" w:val="clear"/>
          </w:tcPr>
          <w:p>
            <w:pPr>
              <w:jc w:val="left"/>
            </w:pPr>
            <w:r/>
            <w:r>
              <w:rPr>
                <w:rFonts w:ascii="Calibri" w:hAnsi="Calibri"/>
                <w:sz w:val="20"/>
              </w:rPr>
              <w:t>All Levels (Beginner to Advanced)</w:t>
            </w:r>
          </w:p>
        </w:tc>
      </w:tr>
      <w:tr>
        <w:tc>
          <w:tcPr>
            <w:tcW w:type="dxa" w:w="2835"/>
            <w:shd w:fill="FFFFFF" w:val="clear"/>
          </w:tcPr>
          <w:p>
            <w:pPr>
              <w:jc w:val="left"/>
            </w:pPr>
            <w:r/>
            <w:r>
              <w:rPr>
                <w:rFonts w:ascii="Calibri" w:hAnsi="Calibri"/>
                <w:sz w:val="20"/>
              </w:rPr>
              <w:t>Rating</w:t>
            </w:r>
          </w:p>
        </w:tc>
        <w:tc>
          <w:tcPr>
            <w:tcW w:type="dxa" w:w="6803"/>
            <w:shd w:fill="FFFFFF" w:val="clear"/>
          </w:tcPr>
          <w:p>
            <w:pPr>
              <w:jc w:val="left"/>
            </w:pPr>
            <w:r/>
            <w:r>
              <w:rPr>
                <w:rFonts w:ascii="Calibri" w:hAnsi="Calibri"/>
                <w:sz w:val="20"/>
              </w:rPr>
              <w:t>4.4 / 5.0 (14 ratings, 335 students enrolled)</w:t>
            </w:r>
          </w:p>
        </w:tc>
      </w:tr>
      <w:tr>
        <w:tc>
          <w:tcPr>
            <w:tcW w:type="dxa" w:w="2835"/>
            <w:shd w:fill="F2F7FB" w:val="clear"/>
          </w:tcPr>
          <w:p>
            <w:pPr>
              <w:jc w:val="left"/>
            </w:pPr>
            <w:r/>
            <w:r>
              <w:rPr>
                <w:rFonts w:ascii="Calibri" w:hAnsi="Calibri"/>
                <w:sz w:val="20"/>
              </w:rPr>
              <w:t>Language</w:t>
            </w:r>
          </w:p>
        </w:tc>
        <w:tc>
          <w:tcPr>
            <w:tcW w:type="dxa" w:w="6803"/>
            <w:shd w:fill="F2F7FB" w:val="clear"/>
          </w:tcPr>
          <w:p>
            <w:pPr>
              <w:jc w:val="left"/>
            </w:pPr>
            <w:r/>
            <w:r>
              <w:rPr>
                <w:rFonts w:ascii="Calibri" w:hAnsi="Calibri"/>
                <w:sz w:val="20"/>
              </w:rPr>
              <w:t>English (with English auto-generated captions)</w:t>
            </w:r>
          </w:p>
        </w:tc>
      </w:tr>
      <w:tr>
        <w:tc>
          <w:tcPr>
            <w:tcW w:type="dxa" w:w="2835"/>
            <w:shd w:fill="FFFFFF" w:val="clear"/>
          </w:tcPr>
          <w:p>
            <w:pPr>
              <w:jc w:val="left"/>
            </w:pPr>
            <w:r/>
            <w:r>
              <w:rPr>
                <w:rFonts w:ascii="Calibri" w:hAnsi="Calibri"/>
                <w:sz w:val="20"/>
              </w:rPr>
              <w:t>Last Updated</w:t>
            </w:r>
          </w:p>
        </w:tc>
        <w:tc>
          <w:tcPr>
            <w:tcW w:type="dxa" w:w="6803"/>
            <w:shd w:fill="FFFFFF" w:val="clear"/>
          </w:tcPr>
          <w:p>
            <w:pPr>
              <w:jc w:val="left"/>
            </w:pPr>
            <w:r/>
            <w:r>
              <w:rPr>
                <w:rFonts w:ascii="Calibri" w:hAnsi="Calibri"/>
                <w:sz w:val="20"/>
              </w:rPr>
              <w:t>October 2026</w:t>
            </w:r>
          </w:p>
        </w:tc>
      </w:tr>
      <w:tr>
        <w:tc>
          <w:tcPr>
            <w:tcW w:type="dxa" w:w="2835"/>
            <w:shd w:fill="F2F7FB" w:val="clear"/>
          </w:tcPr>
          <w:p>
            <w:pPr>
              <w:jc w:val="left"/>
            </w:pPr>
            <w:r/>
            <w:r>
              <w:rPr>
                <w:rFonts w:ascii="Calibri" w:hAnsi="Calibri"/>
                <w:sz w:val="20"/>
              </w:rPr>
              <w:t>Completion Status</w:t>
            </w:r>
          </w:p>
        </w:tc>
        <w:tc>
          <w:tcPr>
            <w:tcW w:type="dxa" w:w="6803"/>
            <w:shd w:fill="F2F7FB" w:val="clear"/>
          </w:tcPr>
          <w:p>
            <w:pPr>
              <w:jc w:val="left"/>
            </w:pPr>
            <w:r/>
            <w:r>
              <w:rPr>
                <w:rFonts w:ascii="Calibri" w:hAnsi="Calibri"/>
                <w:sz w:val="20"/>
              </w:rPr>
              <w:t>Completed (Certificate attached)</w:t>
            </w:r>
          </w:p>
        </w:tc>
      </w:tr>
    </w:tbl>
    <w:p>
      <w:pPr>
        <w:spacing w:before="0" w:after="120"/>
        <w:jc w:val="left"/>
      </w:pPr>
      <w:r>
        <w:rPr>
          <w:rFonts w:ascii="Calibri" w:hAnsi="Calibri"/>
          <w:b w:val="0"/>
          <w:i w:val="0"/>
          <w:sz w:val="22"/>
        </w:rPr>
      </w:r>
    </w:p>
    <w:p>
      <w:pPr>
        <w:spacing w:before="80" w:after="120"/>
        <w:jc w:val="left"/>
      </w:pPr>
      <w:r>
        <w:rPr>
          <w:rFonts w:ascii="Calibri" w:hAnsi="Calibri"/>
          <w:b w:val="0"/>
          <w:i/>
          <w:color w:val="646464"/>
          <w:sz w:val="20"/>
        </w:rPr>
        <w:t>Note: The completion certificate issued by Udemy is attached as an appendix to this report.</w:t>
      </w:r>
    </w:p>
    <w:p>
      <w:pPr>
        <w:pStyle w:val="Heading1"/>
      </w:pPr>
      <w:r>
        <w:rPr>
          <w:rFonts w:ascii="Calibri" w:hAnsi="Calibri"/>
          <w:color w:val="003366"/>
        </w:rPr>
        <w:t>2. Course Content Overview</w:t>
      </w:r>
    </w:p>
    <w:p>
      <w:pPr>
        <w:spacing w:before="0" w:after="160"/>
        <w:jc w:val="left"/>
      </w:pPr>
      <w:r>
        <w:rPr>
          <w:rFonts w:ascii="Calibri" w:hAnsi="Calibri"/>
          <w:b w:val="0"/>
          <w:i w:val="0"/>
          <w:sz w:val="22"/>
        </w:rPr>
        <w:t>The course provides a comprehensive, ground-up education in network scanning, traffic analysis, and vulnerability assessment - the three foundational pillars of network security. It is structured into four progressive modules:</w:t>
      </w:r>
    </w:p>
    <w:p>
      <w:pPr>
        <w:pStyle w:val="ListBullet"/>
        <w:spacing w:after="60"/>
      </w:pPr>
      <w:r>
        <w:rPr>
          <w:rFonts w:ascii="Calibri" w:hAnsi="Calibri"/>
          <w:b/>
          <w:sz w:val="21"/>
        </w:rPr>
        <w:t xml:space="preserve">Module 1 - Networking Fundamentals (30+ lectures): </w:t>
      </w:r>
      <w:r>
        <w:rPr>
          <w:rFonts w:ascii="Calibri" w:hAnsi="Calibri"/>
          <w:sz w:val="21"/>
        </w:rPr>
        <w:t>Covers the OSI and TCP/IP models, Ethernet and ARP, IPv4/IPv6 addressing, subnetting, NAT, TCP and UDP transport protocols, DNS, HTTP/HTTPS, and foundational packet-level understanding of how data traverses networks.</w:t>
      </w:r>
    </w:p>
    <w:p>
      <w:pPr>
        <w:pStyle w:val="ListBullet"/>
        <w:spacing w:after="60"/>
      </w:pPr>
      <w:r>
        <w:rPr>
          <w:rFonts w:ascii="Calibri" w:hAnsi="Calibri"/>
          <w:b/>
          <w:sz w:val="21"/>
        </w:rPr>
        <w:t xml:space="preserve">Module 2 - Wireshark Traffic Analysis: </w:t>
      </w:r>
      <w:r>
        <w:rPr>
          <w:rFonts w:ascii="Calibri" w:hAnsi="Calibri"/>
          <w:sz w:val="21"/>
        </w:rPr>
        <w:t>Installation on Windows and Linux, interface navigation, coloring rules, capture and display filters, conversation filters, and packet-by-packet analysis of IP, TCP three-way handshake, DHCP, DNS, HTTP, and HTTPS traffic.</w:t>
      </w:r>
    </w:p>
    <w:p>
      <w:pPr>
        <w:pStyle w:val="ListBullet"/>
        <w:spacing w:after="60"/>
      </w:pPr>
      <w:r>
        <w:rPr>
          <w:rFonts w:ascii="Calibri" w:hAnsi="Calibri"/>
          <w:b/>
          <w:sz w:val="21"/>
        </w:rPr>
        <w:t xml:space="preserve">Module 3 - Nmap Scanning in Depth: </w:t>
      </w:r>
      <w:r>
        <w:rPr>
          <w:rFonts w:ascii="Calibri" w:hAnsi="Calibri"/>
          <w:sz w:val="21"/>
        </w:rPr>
        <w:t>Target and port specification, eight scan types (Ping, SYN, TCP Connect, UDP, NULL, FIN, Xmas, ACK), service version detection, OS detection, Nmap Scripting Engine (NSE) with HTTP/FTP/SMB/Vulners scripts, timing templates, and firewall/IDS evasion techniques.</w:t>
      </w:r>
    </w:p>
    <w:p>
      <w:pPr>
        <w:pStyle w:val="ListBullet"/>
        <w:spacing w:after="60"/>
      </w:pPr>
      <w:r>
        <w:rPr>
          <w:rFonts w:ascii="Calibri" w:hAnsi="Calibri"/>
          <w:b/>
          <w:sz w:val="21"/>
        </w:rPr>
        <w:t xml:space="preserve">Module 4 - Vulnerability Assessment with Nessus: </w:t>
      </w:r>
      <w:r>
        <w:rPr>
          <w:rFonts w:ascii="Calibri" w:hAnsi="Calibri"/>
          <w:sz w:val="21"/>
        </w:rPr>
        <w:t>Running basic network scans, host discovery scans, advanced scans, credentialed scanning, web application scanning, compliance scans, result analysis, CVE/CVSS interpretation, and professional vulnerability reporting.</w:t>
      </w:r>
    </w:p>
    <w:p>
      <w:pPr>
        <w:spacing w:before="0" w:after="40"/>
        <w:jc w:val="left"/>
      </w:pPr>
      <w:r>
        <w:rPr>
          <w:rFonts w:ascii="Calibri" w:hAnsi="Calibri"/>
          <w:b w:val="0"/>
          <w:i w:val="0"/>
          <w:sz w:val="22"/>
        </w:rPr>
      </w:r>
    </w:p>
    <w:p>
      <w:pPr>
        <w:spacing w:before="80" w:after="200"/>
        <w:jc w:val="left"/>
      </w:pPr>
      <w:r>
        <w:rPr>
          <w:rFonts w:ascii="Calibri" w:hAnsi="Calibri"/>
          <w:b w:val="0"/>
          <w:i/>
          <w:sz w:val="21"/>
        </w:rPr>
        <w:t>Lab Environment: The course uses VirtualBox with Kali Linux, Metasploitable, and OWASP BWA as targets on a NAT network - all scanning is performed in a safe, isolated environment.</w:t>
      </w:r>
    </w:p>
    <w:p>
      <w:pPr>
        <w:pStyle w:val="Heading1"/>
      </w:pPr>
      <w:r>
        <w:rPr>
          <w:rFonts w:ascii="Calibri" w:hAnsi="Calibri"/>
          <w:color w:val="003366"/>
        </w:rPr>
        <w:t>3. Project Overview</w:t>
      </w:r>
    </w:p>
    <w:p>
      <w:pPr>
        <w:spacing w:before="0" w:after="160"/>
        <w:jc w:val="left"/>
      </w:pPr>
      <w:r>
        <w:rPr>
          <w:rFonts w:ascii="Calibri" w:hAnsi="Calibri"/>
          <w:b w:val="0"/>
          <w:i w:val="0"/>
          <w:sz w:val="22"/>
        </w:rPr>
        <w:t>The project, titled "AI-Driven Cyber Deception &amp; Attack Detection Framework," is a research-oriented honeypot platform that combines three core innovations:</w:t>
      </w:r>
    </w:p>
    <w:p>
      <w:pPr>
        <w:pStyle w:val="ListBullet"/>
        <w:spacing w:after="60"/>
      </w:pPr>
      <w:r>
        <w:rPr>
          <w:rFonts w:ascii="Calibri" w:hAnsi="Calibri"/>
          <w:b/>
          <w:sz w:val="21"/>
        </w:rPr>
        <w:t xml:space="preserve">LLM-Powered Deception: </w:t>
      </w:r>
      <w:r>
        <w:rPr>
          <w:rFonts w:ascii="Calibri" w:hAnsi="Calibri"/>
          <w:sz w:val="21"/>
        </w:rPr>
        <w:t>Five decoy services use a hosted Large Language Model (LLaMA 3.1 via OpenRouter API) to generate dynamic, context-aware responses that are indistinguishable from real system outputs, making the honeypots adaptive and resistant to fingerprinting.</w:t>
      </w:r>
    </w:p>
    <w:p>
      <w:pPr>
        <w:pStyle w:val="ListBullet"/>
        <w:spacing w:after="60"/>
      </w:pPr>
      <w:r>
        <w:rPr>
          <w:rFonts w:ascii="Calibri" w:hAnsi="Calibri"/>
          <w:b/>
          <w:sz w:val="21"/>
        </w:rPr>
        <w:t xml:space="preserve">Multi-Protocol Honeypots: </w:t>
      </w:r>
      <w:r>
        <w:rPr>
          <w:rFonts w:ascii="Calibri" w:hAnsi="Calibri"/>
          <w:sz w:val="21"/>
        </w:rPr>
        <w:t>The framework deploys five distinct fake services covering modern attack surfaces - SSH server (shadow-shell), Corporate AI API (oracle-ai), PostgreSQL database (vault-sql), Ethereum JSON-RPC node (ledger-trap), and Jenkins CI/CD server (forge-ci).</w:t>
      </w:r>
    </w:p>
    <w:p>
      <w:pPr>
        <w:pStyle w:val="ListBullet"/>
        <w:spacing w:after="60"/>
      </w:pPr>
      <w:r>
        <w:rPr>
          <w:rFonts w:ascii="Calibri" w:hAnsi="Calibri"/>
          <w:b/>
          <w:sz w:val="21"/>
        </w:rPr>
        <w:t xml:space="preserve">Blockchain-Anchored Tamper-Evident Logging: </w:t>
      </w:r>
      <w:r>
        <w:rPr>
          <w:rFonts w:ascii="Calibri" w:hAnsi="Calibri"/>
          <w:sz w:val="21"/>
        </w:rPr>
        <w:t>Every intercepted interaction is SHA-256 hashed and anchored to a local Ethereum blockchain (Ganache), creating immutable, forensically verifiable evidence chains.</w:t>
      </w:r>
    </w:p>
    <w:p>
      <w:pPr>
        <w:spacing w:before="0" w:after="80"/>
        <w:jc w:val="left"/>
      </w:pPr>
      <w:r>
        <w:rPr>
          <w:rFonts w:ascii="Calibri" w:hAnsi="Calibri"/>
          <w:b w:val="0"/>
          <w:i w:val="0"/>
          <w:sz w:val="22"/>
        </w:rPr>
      </w:r>
    </w:p>
    <w:p>
      <w:pPr>
        <w:pStyle w:val="Heading2"/>
      </w:pPr>
      <w:r>
        <w:rPr>
          <w:rFonts w:ascii="Calibri" w:hAnsi="Calibri"/>
          <w:color w:val="003366"/>
        </w:rPr>
        <w:t>Project Architecture</w:t>
      </w:r>
    </w:p>
    <w:tbl>
      <w:tblPr>
        <w:tblW w:type="auto" w:w="0"/>
        <w:jc w:val="center"/>
        <w:tblLook w:firstColumn="1" w:firstRow="1" w:lastColumn="0" w:lastRow="0" w:noHBand="0" w:noVBand="1" w:val="04A0"/>
      </w:tblPr>
      <w:tblGrid>
        <w:gridCol w:w="4680"/>
        <w:gridCol w:w="4680"/>
      </w:tblGrid>
      <w:tr>
        <w:tc>
          <w:tcPr>
            <w:tcW w:type="dxa" w:w="2835"/>
            <w:shd w:fill="003366" w:val="clear"/>
          </w:tcPr>
          <w:p>
            <w:pPr>
              <w:jc w:val="center"/>
            </w:pPr>
            <w:r/>
            <w:r>
              <w:rPr>
                <w:rFonts w:ascii="Calibri" w:hAnsi="Calibri"/>
                <w:b/>
                <w:color w:val="FFFFFF"/>
                <w:sz w:val="20"/>
              </w:rPr>
              <w:t>Component</w:t>
            </w:r>
          </w:p>
        </w:tc>
        <w:tc>
          <w:tcPr>
            <w:tcW w:type="dxa" w:w="6803"/>
            <w:shd w:fill="003366" w:val="clear"/>
          </w:tcPr>
          <w:p>
            <w:pPr>
              <w:jc w:val="center"/>
            </w:pPr>
            <w:r/>
            <w:r>
              <w:rPr>
                <w:rFonts w:ascii="Calibri" w:hAnsi="Calibri"/>
                <w:b/>
                <w:color w:val="FFFFFF"/>
                <w:sz w:val="20"/>
              </w:rPr>
              <w:t>Role</w:t>
            </w:r>
          </w:p>
        </w:tc>
      </w:tr>
      <w:tr>
        <w:tc>
          <w:tcPr>
            <w:tcW w:type="dxa" w:w="2835"/>
            <w:shd w:fill="F2F7FB" w:val="clear"/>
          </w:tcPr>
          <w:p>
            <w:pPr>
              <w:jc w:val="left"/>
            </w:pPr>
            <w:r/>
            <w:r>
              <w:rPr>
                <w:rFonts w:ascii="Calibri" w:hAnsi="Calibri"/>
                <w:sz w:val="20"/>
              </w:rPr>
              <w:t>Proxy (asyncio TCP)</w:t>
            </w:r>
          </w:p>
        </w:tc>
        <w:tc>
          <w:tcPr>
            <w:tcW w:type="dxa" w:w="6803"/>
            <w:shd w:fill="F2F7FB" w:val="clear"/>
          </w:tcPr>
          <w:p>
            <w:pPr>
              <w:jc w:val="left"/>
            </w:pPr>
            <w:r/>
            <w:r>
              <w:rPr>
                <w:rFonts w:ascii="Calibri" w:hAnsi="Calibri"/>
                <w:sz w:val="20"/>
              </w:rPr>
              <w:t>Public-facing port router; logs every connection before forwarding to decoys</w:t>
            </w:r>
          </w:p>
        </w:tc>
      </w:tr>
      <w:tr>
        <w:tc>
          <w:tcPr>
            <w:tcW w:type="dxa" w:w="2835"/>
            <w:shd w:fill="FFFFFF" w:val="clear"/>
          </w:tcPr>
          <w:p>
            <w:pPr>
              <w:jc w:val="left"/>
            </w:pPr>
            <w:r/>
            <w:r>
              <w:rPr>
                <w:rFonts w:ascii="Calibri" w:hAnsi="Calibri"/>
                <w:sz w:val="20"/>
              </w:rPr>
              <w:t>5 Decoy Services</w:t>
            </w:r>
          </w:p>
        </w:tc>
        <w:tc>
          <w:tcPr>
            <w:tcW w:type="dxa" w:w="6803"/>
            <w:shd w:fill="FFFFFF" w:val="clear"/>
          </w:tcPr>
          <w:p>
            <w:pPr>
              <w:jc w:val="left"/>
            </w:pPr>
            <w:r/>
            <w:r>
              <w:rPr>
                <w:rFonts w:ascii="Calibri" w:hAnsi="Calibri"/>
                <w:sz w:val="20"/>
              </w:rPr>
              <w:t>SSH, AI API, SQL DB, Ethereum RPC, Jenkins - each with AI-backed responses</w:t>
            </w:r>
          </w:p>
        </w:tc>
      </w:tr>
      <w:tr>
        <w:tc>
          <w:tcPr>
            <w:tcW w:type="dxa" w:w="2835"/>
            <w:shd w:fill="F2F7FB" w:val="clear"/>
          </w:tcPr>
          <w:p>
            <w:pPr>
              <w:jc w:val="left"/>
            </w:pPr>
            <w:r/>
            <w:r>
              <w:rPr>
                <w:rFonts w:ascii="Calibri" w:hAnsi="Calibri"/>
                <w:sz w:val="20"/>
              </w:rPr>
              <w:t>Backend (FastAPI)</w:t>
            </w:r>
          </w:p>
        </w:tc>
        <w:tc>
          <w:tcPr>
            <w:tcW w:type="dxa" w:w="6803"/>
            <w:shd w:fill="F2F7FB" w:val="clear"/>
          </w:tcPr>
          <w:p>
            <w:pPr>
              <w:jc w:val="left"/>
            </w:pPr>
            <w:r/>
            <w:r>
              <w:rPr>
                <w:rFonts w:ascii="Calibri" w:hAnsi="Calibri"/>
                <w:sz w:val="20"/>
              </w:rPr>
              <w:t>Central API: intent classification, SHA-256 hashing, blockchain anchoring, WebSocket broadcast</w:t>
            </w:r>
          </w:p>
        </w:tc>
      </w:tr>
      <w:tr>
        <w:tc>
          <w:tcPr>
            <w:tcW w:type="dxa" w:w="2835"/>
            <w:shd w:fill="FFFFFF" w:val="clear"/>
          </w:tcPr>
          <w:p>
            <w:pPr>
              <w:jc w:val="left"/>
            </w:pPr>
            <w:r/>
            <w:r>
              <w:rPr>
                <w:rFonts w:ascii="Calibri" w:hAnsi="Calibri"/>
                <w:sz w:val="20"/>
              </w:rPr>
              <w:t>AI Engine (OpenRouter)</w:t>
            </w:r>
          </w:p>
        </w:tc>
        <w:tc>
          <w:tcPr>
            <w:tcW w:type="dxa" w:w="6803"/>
            <w:shd w:fill="FFFFFF" w:val="clear"/>
          </w:tcPr>
          <w:p>
            <w:pPr>
              <w:jc w:val="left"/>
            </w:pPr>
            <w:r/>
            <w:r>
              <w:rPr>
                <w:rFonts w:ascii="Calibri" w:hAnsi="Calibri"/>
                <w:sz w:val="20"/>
              </w:rPr>
              <w:t>3-tier response: static dict &gt; Redis cache &gt; LLM call for unknown commands</w:t>
            </w:r>
          </w:p>
        </w:tc>
      </w:tr>
      <w:tr>
        <w:tc>
          <w:tcPr>
            <w:tcW w:type="dxa" w:w="2835"/>
            <w:shd w:fill="F2F7FB" w:val="clear"/>
          </w:tcPr>
          <w:p>
            <w:pPr>
              <w:jc w:val="left"/>
            </w:pPr>
            <w:r/>
            <w:r>
              <w:rPr>
                <w:rFonts w:ascii="Calibri" w:hAnsi="Calibri"/>
                <w:sz w:val="20"/>
              </w:rPr>
              <w:t>Redis</w:t>
            </w:r>
          </w:p>
        </w:tc>
        <w:tc>
          <w:tcPr>
            <w:tcW w:type="dxa" w:w="6803"/>
            <w:shd w:fill="F2F7FB" w:val="clear"/>
          </w:tcPr>
          <w:p>
            <w:pPr>
              <w:jc w:val="left"/>
            </w:pPr>
            <w:r/>
            <w:r>
              <w:rPr>
                <w:rFonts w:ascii="Calibri" w:hAnsi="Calibri"/>
                <w:sz w:val="20"/>
              </w:rPr>
              <w:t>Fast log storage (10,000 events) and LLM response caching</w:t>
            </w:r>
          </w:p>
        </w:tc>
      </w:tr>
      <w:tr>
        <w:tc>
          <w:tcPr>
            <w:tcW w:type="dxa" w:w="2835"/>
            <w:shd w:fill="FFFFFF" w:val="clear"/>
          </w:tcPr>
          <w:p>
            <w:pPr>
              <w:jc w:val="left"/>
            </w:pPr>
            <w:r/>
            <w:r>
              <w:rPr>
                <w:rFonts w:ascii="Calibri" w:hAnsi="Calibri"/>
                <w:sz w:val="20"/>
              </w:rPr>
              <w:t>Ganache (Ethereum)</w:t>
            </w:r>
          </w:p>
        </w:tc>
        <w:tc>
          <w:tcPr>
            <w:tcW w:type="dxa" w:w="6803"/>
            <w:shd w:fill="FFFFFF" w:val="clear"/>
          </w:tcPr>
          <w:p>
            <w:pPr>
              <w:jc w:val="left"/>
            </w:pPr>
            <w:r/>
            <w:r>
              <w:rPr>
                <w:rFonts w:ascii="Calibri" w:hAnsi="Calibri"/>
                <w:sz w:val="20"/>
              </w:rPr>
              <w:t>Local blockchain for tamper-proof evidence anchoring</w:t>
            </w:r>
          </w:p>
        </w:tc>
      </w:tr>
      <w:tr>
        <w:tc>
          <w:tcPr>
            <w:tcW w:type="dxa" w:w="2835"/>
            <w:shd w:fill="F2F7FB" w:val="clear"/>
          </w:tcPr>
          <w:p>
            <w:pPr>
              <w:jc w:val="left"/>
            </w:pPr>
            <w:r/>
            <w:r>
              <w:rPr>
                <w:rFonts w:ascii="Calibri" w:hAnsi="Calibri"/>
                <w:sz w:val="20"/>
              </w:rPr>
              <w:t>Dashboard (React)</w:t>
            </w:r>
          </w:p>
        </w:tc>
        <w:tc>
          <w:tcPr>
            <w:tcW w:type="dxa" w:w="6803"/>
            <w:shd w:fill="F2F7FB" w:val="clear"/>
          </w:tcPr>
          <w:p>
            <w:pPr>
              <w:jc w:val="left"/>
            </w:pPr>
            <w:r/>
            <w:r>
              <w:rPr>
                <w:rFonts w:ascii="Calibri" w:hAnsi="Calibri"/>
                <w:sz w:val="20"/>
              </w:rPr>
              <w:t>Real-time attack monitoring via WebSocket with live feed, KPIs, and intent breakdown</w:t>
            </w:r>
          </w:p>
        </w:tc>
      </w:tr>
    </w:tbl>
    <w:p>
      <w:r>
        <w:br w:type="page"/>
      </w:r>
    </w:p>
    <w:p>
      <w:pPr>
        <w:pStyle w:val="Heading1"/>
      </w:pPr>
      <w:r>
        <w:rPr>
          <w:rFonts w:ascii="Calibri" w:hAnsi="Calibri"/>
          <w:color w:val="003366"/>
        </w:rPr>
        <w:t>4. How the Course Supports the Project</w:t>
      </w:r>
    </w:p>
    <w:p>
      <w:pPr>
        <w:spacing w:before="0" w:after="200"/>
        <w:jc w:val="left"/>
      </w:pPr>
      <w:r>
        <w:rPr>
          <w:rFonts w:ascii="Calibri" w:hAnsi="Calibri"/>
          <w:b w:val="0"/>
          <w:i w:val="0"/>
          <w:sz w:val="22"/>
        </w:rPr>
        <w:t>The Udemy certification on Nmap, Nessus, and Wireshark is directly and substantively relevant to the honeypot project. The knowledge areas map to concrete project components and design decisions as follows:</w:t>
      </w:r>
    </w:p>
    <w:p>
      <w:pPr>
        <w:pStyle w:val="Heading2"/>
      </w:pPr>
      <w:r>
        <w:rPr>
          <w:rFonts w:ascii="Calibri" w:hAnsi="Calibri"/>
          <w:color w:val="003366"/>
        </w:rPr>
        <w:t>4.1 Understanding Attacker Reconnaissance - The Threat Model Foundation</w:t>
      </w:r>
    </w:p>
    <w:p>
      <w:pPr>
        <w:spacing w:before="0" w:after="120"/>
        <w:jc w:val="left"/>
      </w:pPr>
      <w:r>
        <w:rPr>
          <w:rFonts w:ascii="Calibri" w:hAnsi="Calibri"/>
          <w:b w:val="0"/>
          <w:i w:val="0"/>
          <w:sz w:val="21"/>
        </w:rPr>
        <w:t>The honeypot framework is designed to intercept and study attacker behavior. To build convincing decoys, one must first understand how attackers discover and probe targets. The course's deep coverage of Nmap scan types - SYN, TCP Connect, UDP, NULL, FIN, Xmas, and ACK scans - directly informed the design of the project's proxy component, which listens on five public-facing ports (2222, 8080, 5433, 8545, 9090) and must respond convincingly to each scan type to avoid detection as a honeypot.</w:t>
      </w:r>
    </w:p>
    <w:p>
      <w:pPr>
        <w:spacing w:before="0" w:after="160"/>
        <w:jc w:val="left"/>
      </w:pPr>
      <w:r>
        <w:rPr>
          <w:rFonts w:ascii="Calibri" w:hAnsi="Calibri"/>
          <w:b w:val="0"/>
          <w:i w:val="0"/>
          <w:sz w:val="21"/>
        </w:rPr>
        <w:t>The project's backend classifies 'reconnaissance' as a distinct attack intent category (detecting keywords like 'nmap', 'masscan', 'scan', 'ping sweep', 'port scan'). Understanding what reconnaissance looks like at the packet level - from the course's Wireshark labs - was essential to building accurate classification rules.</w:t>
      </w:r>
    </w:p>
    <w:p>
      <w:pPr>
        <w:pStyle w:val="Heading2"/>
      </w:pPr>
      <w:r>
        <w:rPr>
          <w:rFonts w:ascii="Calibri" w:hAnsi="Calibri"/>
          <w:color w:val="003366"/>
        </w:rPr>
        <w:t>4.2 Protocol-Level Knowledge for Realistic Decoy Design</w:t>
      </w:r>
    </w:p>
    <w:p>
      <w:pPr>
        <w:spacing w:before="0" w:after="120"/>
        <w:jc w:val="left"/>
      </w:pPr>
      <w:r>
        <w:rPr>
          <w:rFonts w:ascii="Calibri" w:hAnsi="Calibri"/>
          <w:b w:val="0"/>
          <w:i w:val="0"/>
          <w:sz w:val="21"/>
        </w:rPr>
        <w:t>The course's networking fundamentals module (TCP/IP models, TCP three-way handshake, UDP, DNS, HTTP/HTTPS) provided the protocol-level understanding required to make each decoy service behave realistically:</w:t>
      </w:r>
    </w:p>
    <w:tbl>
      <w:tblPr>
        <w:tblW w:type="auto" w:w="0"/>
        <w:jc w:val="center"/>
        <w:tblLook w:firstColumn="1" w:firstRow="1" w:lastColumn="0" w:lastRow="0" w:noHBand="0" w:noVBand="1" w:val="04A0"/>
      </w:tblPr>
      <w:tblGrid>
        <w:gridCol w:w="3120"/>
        <w:gridCol w:w="3120"/>
        <w:gridCol w:w="3120"/>
      </w:tblGrid>
      <w:tr>
        <w:tc>
          <w:tcPr>
            <w:tcW w:type="dxa" w:w="2268"/>
            <w:shd w:fill="003366" w:val="clear"/>
          </w:tcPr>
          <w:p>
            <w:pPr>
              <w:jc w:val="center"/>
            </w:pPr>
            <w:r/>
            <w:r>
              <w:rPr>
                <w:rFonts w:ascii="Calibri" w:hAnsi="Calibri"/>
                <w:b/>
                <w:color w:val="FFFFFF"/>
                <w:sz w:val="20"/>
              </w:rPr>
              <w:t>Course Topic</w:t>
            </w:r>
          </w:p>
        </w:tc>
        <w:tc>
          <w:tcPr>
            <w:tcW w:type="dxa" w:w="2268"/>
            <w:shd w:fill="003366" w:val="clear"/>
          </w:tcPr>
          <w:p>
            <w:pPr>
              <w:jc w:val="center"/>
            </w:pPr>
            <w:r/>
            <w:r>
              <w:rPr>
                <w:rFonts w:ascii="Calibri" w:hAnsi="Calibri"/>
                <w:b/>
                <w:color w:val="FFFFFF"/>
                <w:sz w:val="20"/>
              </w:rPr>
              <w:t>Project Component</w:t>
            </w:r>
          </w:p>
        </w:tc>
        <w:tc>
          <w:tcPr>
            <w:tcW w:type="dxa" w:w="5386"/>
            <w:shd w:fill="003366" w:val="clear"/>
          </w:tcPr>
          <w:p>
            <w:pPr>
              <w:jc w:val="center"/>
            </w:pPr>
            <w:r/>
            <w:r>
              <w:rPr>
                <w:rFonts w:ascii="Calibri" w:hAnsi="Calibri"/>
                <w:b/>
                <w:color w:val="FFFFFF"/>
                <w:sz w:val="20"/>
              </w:rPr>
              <w:t>How It Applies</w:t>
            </w:r>
          </w:p>
        </w:tc>
      </w:tr>
      <w:tr>
        <w:tc>
          <w:tcPr>
            <w:tcW w:type="dxa" w:w="2268"/>
            <w:shd w:fill="F2F7FB" w:val="clear"/>
          </w:tcPr>
          <w:p>
            <w:pPr>
              <w:jc w:val="left"/>
            </w:pPr>
            <w:r/>
            <w:r>
              <w:rPr>
                <w:rFonts w:ascii="Calibri" w:hAnsi="Calibri"/>
                <w:sz w:val="20"/>
              </w:rPr>
              <w:t>TCP three-way handshake</w:t>
            </w:r>
          </w:p>
        </w:tc>
        <w:tc>
          <w:tcPr>
            <w:tcW w:type="dxa" w:w="2268"/>
            <w:shd w:fill="F2F7FB" w:val="clear"/>
          </w:tcPr>
          <w:p>
            <w:pPr>
              <w:jc w:val="left"/>
            </w:pPr>
            <w:r/>
            <w:r>
              <w:rPr>
                <w:rFonts w:ascii="Calibri" w:hAnsi="Calibri"/>
                <w:sz w:val="20"/>
              </w:rPr>
              <w:t>SSH Decoy (shadow-shell)</w:t>
            </w:r>
          </w:p>
        </w:tc>
        <w:tc>
          <w:tcPr>
            <w:tcW w:type="dxa" w:w="5386"/>
            <w:shd w:fill="F2F7FB" w:val="clear"/>
          </w:tcPr>
          <w:p>
            <w:pPr>
              <w:jc w:val="left"/>
            </w:pPr>
            <w:r/>
            <w:r>
              <w:rPr>
                <w:rFonts w:ascii="Calibri" w:hAnsi="Calibri"/>
                <w:sz w:val="20"/>
              </w:rPr>
              <w:t>The fake SSH server uses asyncssh to perform a real TCP/SSH handshake - understanding the SYN&gt;SYN-ACK&gt;ACK sequence was critical for ensuring the decoy passes Nmap service detection probes.</w:t>
            </w:r>
          </w:p>
        </w:tc>
      </w:tr>
      <w:tr>
        <w:tc>
          <w:tcPr>
            <w:tcW w:type="dxa" w:w="2268"/>
            <w:shd w:fill="FFFFFF" w:val="clear"/>
          </w:tcPr>
          <w:p>
            <w:pPr>
              <w:jc w:val="left"/>
            </w:pPr>
            <w:r/>
            <w:r>
              <w:rPr>
                <w:rFonts w:ascii="Calibri" w:hAnsi="Calibri"/>
                <w:sz w:val="20"/>
              </w:rPr>
              <w:t>HTTP/HTTPS protocols</w:t>
            </w:r>
          </w:p>
        </w:tc>
        <w:tc>
          <w:tcPr>
            <w:tcW w:type="dxa" w:w="2268"/>
            <w:shd w:fill="FFFFFF" w:val="clear"/>
          </w:tcPr>
          <w:p>
            <w:pPr>
              <w:jc w:val="left"/>
            </w:pPr>
            <w:r/>
            <w:r>
              <w:rPr>
                <w:rFonts w:ascii="Calibri" w:hAnsi="Calibri"/>
                <w:sz w:val="20"/>
              </w:rPr>
              <w:t>AI API, Jenkins, SQL Decoys</w:t>
            </w:r>
          </w:p>
        </w:tc>
        <w:tc>
          <w:tcPr>
            <w:tcW w:type="dxa" w:w="5386"/>
            <w:shd w:fill="FFFFFF" w:val="clear"/>
          </w:tcPr>
          <w:p>
            <w:pPr>
              <w:jc w:val="left"/>
            </w:pPr>
            <w:r/>
            <w:r>
              <w:rPr>
                <w:rFonts w:ascii="Calibri" w:hAnsi="Calibri"/>
                <w:sz w:val="20"/>
              </w:rPr>
              <w:t>Three decoys (oracle-ai, forge-ci, vault-sql) serve HTTP APIs. Course knowledge of HTTP methods, headers, and status codes ensured responses match what Nmap HTTP scripts and real scanners expect.</w:t>
            </w:r>
          </w:p>
        </w:tc>
      </w:tr>
      <w:tr>
        <w:tc>
          <w:tcPr>
            <w:tcW w:type="dxa" w:w="2268"/>
            <w:shd w:fill="F2F7FB" w:val="clear"/>
          </w:tcPr>
          <w:p>
            <w:pPr>
              <w:jc w:val="left"/>
            </w:pPr>
            <w:r/>
            <w:r>
              <w:rPr>
                <w:rFonts w:ascii="Calibri" w:hAnsi="Calibri"/>
                <w:sz w:val="20"/>
              </w:rPr>
              <w:t>TCP vs UDP behavior</w:t>
            </w:r>
          </w:p>
        </w:tc>
        <w:tc>
          <w:tcPr>
            <w:tcW w:type="dxa" w:w="2268"/>
            <w:shd w:fill="F2F7FB" w:val="clear"/>
          </w:tcPr>
          <w:p>
            <w:pPr>
              <w:jc w:val="left"/>
            </w:pPr>
            <w:r/>
            <w:r>
              <w:rPr>
                <w:rFonts w:ascii="Calibri" w:hAnsi="Calibri"/>
                <w:sz w:val="20"/>
              </w:rPr>
              <w:t>Proxy port routing</w:t>
            </w:r>
          </w:p>
        </w:tc>
        <w:tc>
          <w:tcPr>
            <w:tcW w:type="dxa" w:w="5386"/>
            <w:shd w:fill="F2F7FB" w:val="clear"/>
          </w:tcPr>
          <w:p>
            <w:pPr>
              <w:jc w:val="left"/>
            </w:pPr>
            <w:r/>
            <w:r>
              <w:rPr>
                <w:rFonts w:ascii="Calibri" w:hAnsi="Calibri"/>
                <w:sz w:val="20"/>
              </w:rPr>
              <w:t>Understanding why UDP scans behave differently from TCP scans (open|filtered ambiguity) informed the proxy asyncio-based TCP forwarding design.</w:t>
            </w:r>
          </w:p>
        </w:tc>
      </w:tr>
      <w:tr>
        <w:tc>
          <w:tcPr>
            <w:tcW w:type="dxa" w:w="2268"/>
            <w:shd w:fill="FFFFFF" w:val="clear"/>
          </w:tcPr>
          <w:p>
            <w:pPr>
              <w:jc w:val="left"/>
            </w:pPr>
            <w:r/>
            <w:r>
              <w:rPr>
                <w:rFonts w:ascii="Calibri" w:hAnsi="Calibri"/>
                <w:sz w:val="20"/>
              </w:rPr>
              <w:t>DNS resolution</w:t>
            </w:r>
          </w:p>
        </w:tc>
        <w:tc>
          <w:tcPr>
            <w:tcW w:type="dxa" w:w="2268"/>
            <w:shd w:fill="FFFFFF" w:val="clear"/>
          </w:tcPr>
          <w:p>
            <w:pPr>
              <w:jc w:val="left"/>
            </w:pPr>
            <w:r/>
            <w:r>
              <w:rPr>
                <w:rFonts w:ascii="Calibri" w:hAnsi="Calibri"/>
                <w:sz w:val="20"/>
              </w:rPr>
              <w:t>Network architecture</w:t>
            </w:r>
          </w:p>
        </w:tc>
        <w:tc>
          <w:tcPr>
            <w:tcW w:type="dxa" w:w="5386"/>
            <w:shd w:fill="FFFFFF" w:val="clear"/>
          </w:tcPr>
          <w:p>
            <w:pPr>
              <w:jc w:val="left"/>
            </w:pPr>
            <w:r/>
            <w:r>
              <w:rPr>
                <w:rFonts w:ascii="Calibri" w:hAnsi="Calibri"/>
                <w:sz w:val="20"/>
              </w:rPr>
              <w:t>Docker internal DNS (service-name resolution on honeypot-net) mirrors real network DNS behavior taught in the course.</w:t>
            </w:r>
          </w:p>
        </w:tc>
      </w:tr>
    </w:tbl>
    <w:p>
      <w:pPr>
        <w:spacing w:before="0" w:after="120"/>
        <w:jc w:val="left"/>
      </w:pPr>
      <w:r>
        <w:rPr>
          <w:rFonts w:ascii="Calibri" w:hAnsi="Calibri"/>
          <w:b w:val="0"/>
          <w:i w:val="0"/>
          <w:sz w:val="22"/>
        </w:rPr>
      </w:r>
    </w:p>
    <w:p>
      <w:pPr>
        <w:pStyle w:val="Heading2"/>
      </w:pPr>
      <w:r>
        <w:rPr>
          <w:rFonts w:ascii="Calibri" w:hAnsi="Calibri"/>
          <w:color w:val="003366"/>
        </w:rPr>
        <w:t>4.3 Traffic Analysis Skills for Attack Classification</w:t>
      </w:r>
    </w:p>
    <w:p>
      <w:pPr>
        <w:spacing w:before="0" w:after="120"/>
        <w:jc w:val="left"/>
      </w:pPr>
      <w:r>
        <w:rPr>
          <w:rFonts w:ascii="Calibri" w:hAnsi="Calibri"/>
          <w:b w:val="0"/>
          <w:i w:val="0"/>
          <w:sz w:val="21"/>
        </w:rPr>
        <w:t>The Wireshark module trained the ability to read packet captures and understand what different attack patterns look like on the wire. This skill directly supports the project's attack intent classification system, which categorizes intercepted traffic into seven intent categories:</w:t>
      </w:r>
    </w:p>
    <w:tbl>
      <w:tblPr>
        <w:tblW w:type="auto" w:w="0"/>
        <w:jc w:val="center"/>
        <w:tblLook w:firstColumn="1" w:firstRow="1" w:lastColumn="0" w:lastRow="0" w:noHBand="0" w:noVBand="1" w:val="04A0"/>
      </w:tblPr>
      <w:tblGrid>
        <w:gridCol w:w="3120"/>
        <w:gridCol w:w="3120"/>
        <w:gridCol w:w="3120"/>
      </w:tblGrid>
      <w:tr>
        <w:tc>
          <w:tcPr>
            <w:tcW w:type="dxa" w:w="2268"/>
            <w:shd w:fill="003366" w:val="clear"/>
          </w:tcPr>
          <w:p>
            <w:pPr>
              <w:jc w:val="center"/>
            </w:pPr>
            <w:r/>
            <w:r>
              <w:rPr>
                <w:rFonts w:ascii="Calibri" w:hAnsi="Calibri"/>
                <w:b/>
                <w:color w:val="FFFFFF"/>
                <w:sz w:val="20"/>
              </w:rPr>
              <w:t>Attack Intent</w:t>
            </w:r>
          </w:p>
        </w:tc>
        <w:tc>
          <w:tcPr>
            <w:tcW w:type="dxa" w:w="3402"/>
            <w:shd w:fill="003366" w:val="clear"/>
          </w:tcPr>
          <w:p>
            <w:pPr>
              <w:jc w:val="center"/>
            </w:pPr>
            <w:r/>
            <w:r>
              <w:rPr>
                <w:rFonts w:ascii="Calibri" w:hAnsi="Calibri"/>
                <w:b/>
                <w:color w:val="FFFFFF"/>
                <w:sz w:val="20"/>
              </w:rPr>
              <w:t>Detection Keywords</w:t>
            </w:r>
          </w:p>
        </w:tc>
        <w:tc>
          <w:tcPr>
            <w:tcW w:type="dxa" w:w="2551"/>
            <w:shd w:fill="003366" w:val="clear"/>
          </w:tcPr>
          <w:p>
            <w:pPr>
              <w:jc w:val="center"/>
            </w:pPr>
            <w:r/>
            <w:r>
              <w:rPr>
                <w:rFonts w:ascii="Calibri" w:hAnsi="Calibri"/>
                <w:b/>
                <w:color w:val="FFFFFF"/>
                <w:sz w:val="20"/>
              </w:rPr>
              <w:t>Target Decoy</w:t>
            </w:r>
          </w:p>
        </w:tc>
      </w:tr>
      <w:tr>
        <w:tc>
          <w:tcPr>
            <w:tcW w:type="dxa" w:w="2268"/>
            <w:shd w:fill="F2F7FB" w:val="clear"/>
          </w:tcPr>
          <w:p>
            <w:pPr>
              <w:jc w:val="left"/>
            </w:pPr>
            <w:r/>
            <w:r>
              <w:rPr>
                <w:rFonts w:ascii="Calibri" w:hAnsi="Calibri"/>
                <w:sz w:val="20"/>
              </w:rPr>
              <w:t>SQL Injection</w:t>
            </w:r>
          </w:p>
        </w:tc>
        <w:tc>
          <w:tcPr>
            <w:tcW w:type="dxa" w:w="3402"/>
            <w:shd w:fill="F2F7FB" w:val="clear"/>
          </w:tcPr>
          <w:p>
            <w:pPr>
              <w:jc w:val="left"/>
            </w:pPr>
            <w:r/>
            <w:r>
              <w:rPr>
                <w:rFonts w:ascii="Calibri" w:hAnsi="Calibri"/>
                <w:sz w:val="20"/>
              </w:rPr>
              <w:t>SELECT, UNION, DROP TABLE, OR 1=1</w:t>
            </w:r>
          </w:p>
        </w:tc>
        <w:tc>
          <w:tcPr>
            <w:tcW w:type="dxa" w:w="2551"/>
            <w:shd w:fill="F2F7FB" w:val="clear"/>
          </w:tcPr>
          <w:p>
            <w:pPr>
              <w:jc w:val="left"/>
            </w:pPr>
            <w:r/>
            <w:r>
              <w:rPr>
                <w:rFonts w:ascii="Calibri" w:hAnsi="Calibri"/>
                <w:sz w:val="20"/>
              </w:rPr>
              <w:t>vault-sql decoy</w:t>
            </w:r>
          </w:p>
        </w:tc>
      </w:tr>
      <w:tr>
        <w:tc>
          <w:tcPr>
            <w:tcW w:type="dxa" w:w="2268"/>
            <w:shd w:fill="FFFFFF" w:val="clear"/>
          </w:tcPr>
          <w:p>
            <w:pPr>
              <w:jc w:val="left"/>
            </w:pPr>
            <w:r/>
            <w:r>
              <w:rPr>
                <w:rFonts w:ascii="Calibri" w:hAnsi="Calibri"/>
                <w:sz w:val="20"/>
              </w:rPr>
              <w:t>Privilege Escalation</w:t>
            </w:r>
          </w:p>
        </w:tc>
        <w:tc>
          <w:tcPr>
            <w:tcW w:type="dxa" w:w="3402"/>
            <w:shd w:fill="FFFFFF" w:val="clear"/>
          </w:tcPr>
          <w:p>
            <w:pPr>
              <w:jc w:val="left"/>
            </w:pPr>
            <w:r/>
            <w:r>
              <w:rPr>
                <w:rFonts w:ascii="Calibri" w:hAnsi="Calibri"/>
                <w:sz w:val="20"/>
              </w:rPr>
              <w:t>sudo, /etc/shadow, chmod 777</w:t>
            </w:r>
          </w:p>
        </w:tc>
        <w:tc>
          <w:tcPr>
            <w:tcW w:type="dxa" w:w="2551"/>
            <w:shd w:fill="FFFFFF" w:val="clear"/>
          </w:tcPr>
          <w:p>
            <w:pPr>
              <w:jc w:val="left"/>
            </w:pPr>
            <w:r/>
            <w:r>
              <w:rPr>
                <w:rFonts w:ascii="Calibri" w:hAnsi="Calibri"/>
                <w:sz w:val="20"/>
              </w:rPr>
              <w:t>shadow-shell decoy</w:t>
            </w:r>
          </w:p>
        </w:tc>
      </w:tr>
      <w:tr>
        <w:tc>
          <w:tcPr>
            <w:tcW w:type="dxa" w:w="2268"/>
            <w:shd w:fill="F2F7FB" w:val="clear"/>
          </w:tcPr>
          <w:p>
            <w:pPr>
              <w:jc w:val="left"/>
            </w:pPr>
            <w:r/>
            <w:r>
              <w:rPr>
                <w:rFonts w:ascii="Calibri" w:hAnsi="Calibri"/>
                <w:sz w:val="20"/>
              </w:rPr>
              <w:t>Reverse Shell</w:t>
            </w:r>
          </w:p>
        </w:tc>
        <w:tc>
          <w:tcPr>
            <w:tcW w:type="dxa" w:w="3402"/>
            <w:shd w:fill="F2F7FB" w:val="clear"/>
          </w:tcPr>
          <w:p>
            <w:pPr>
              <w:jc w:val="left"/>
            </w:pPr>
            <w:r/>
            <w:r>
              <w:rPr>
                <w:rFonts w:ascii="Calibri" w:hAnsi="Calibri"/>
                <w:sz w:val="20"/>
              </w:rPr>
              <w:t>wget, curl, nc, bash -i, /bin/sh</w:t>
            </w:r>
          </w:p>
        </w:tc>
        <w:tc>
          <w:tcPr>
            <w:tcW w:type="dxa" w:w="2551"/>
            <w:shd w:fill="F2F7FB" w:val="clear"/>
          </w:tcPr>
          <w:p>
            <w:pPr>
              <w:jc w:val="left"/>
            </w:pPr>
            <w:r/>
            <w:r>
              <w:rPr>
                <w:rFonts w:ascii="Calibri" w:hAnsi="Calibri"/>
                <w:sz w:val="20"/>
              </w:rPr>
              <w:t>shadow-shell decoy</w:t>
            </w:r>
          </w:p>
        </w:tc>
      </w:tr>
      <w:tr>
        <w:tc>
          <w:tcPr>
            <w:tcW w:type="dxa" w:w="2268"/>
            <w:shd w:fill="FFFFFF" w:val="clear"/>
          </w:tcPr>
          <w:p>
            <w:pPr>
              <w:jc w:val="left"/>
            </w:pPr>
            <w:r/>
            <w:r>
              <w:rPr>
                <w:rFonts w:ascii="Calibri" w:hAnsi="Calibri"/>
                <w:sz w:val="20"/>
              </w:rPr>
              <w:t>Cryptomining</w:t>
            </w:r>
          </w:p>
        </w:tc>
        <w:tc>
          <w:tcPr>
            <w:tcW w:type="dxa" w:w="3402"/>
            <w:shd w:fill="FFFFFF" w:val="clear"/>
          </w:tcPr>
          <w:p>
            <w:pPr>
              <w:jc w:val="left"/>
            </w:pPr>
            <w:r/>
            <w:r>
              <w:rPr>
                <w:rFonts w:ascii="Calibri" w:hAnsi="Calibri"/>
                <w:sz w:val="20"/>
              </w:rPr>
              <w:t>xmrig, miner, monero, stratum</w:t>
            </w:r>
          </w:p>
        </w:tc>
        <w:tc>
          <w:tcPr>
            <w:tcW w:type="dxa" w:w="2551"/>
            <w:shd w:fill="FFFFFF" w:val="clear"/>
          </w:tcPr>
          <w:p>
            <w:pPr>
              <w:jc w:val="left"/>
            </w:pPr>
            <w:r/>
            <w:r>
              <w:rPr>
                <w:rFonts w:ascii="Calibri" w:hAnsi="Calibri"/>
                <w:sz w:val="20"/>
              </w:rPr>
              <w:t>shadow-shell decoy</w:t>
            </w:r>
          </w:p>
        </w:tc>
      </w:tr>
      <w:tr>
        <w:tc>
          <w:tcPr>
            <w:tcW w:type="dxa" w:w="2268"/>
            <w:shd w:fill="F2F7FB" w:val="clear"/>
          </w:tcPr>
          <w:p>
            <w:pPr>
              <w:jc w:val="left"/>
            </w:pPr>
            <w:r/>
            <w:r>
              <w:rPr>
                <w:rFonts w:ascii="Calibri" w:hAnsi="Calibri"/>
                <w:sz w:val="20"/>
              </w:rPr>
              <w:t>Prompt Injection</w:t>
            </w:r>
          </w:p>
        </w:tc>
        <w:tc>
          <w:tcPr>
            <w:tcW w:type="dxa" w:w="3402"/>
            <w:shd w:fill="F2F7FB" w:val="clear"/>
          </w:tcPr>
          <w:p>
            <w:pPr>
              <w:jc w:val="left"/>
            </w:pPr>
            <w:r/>
            <w:r>
              <w:rPr>
                <w:rFonts w:ascii="Calibri" w:hAnsi="Calibri"/>
                <w:sz w:val="20"/>
              </w:rPr>
              <w:t>ignore previous, jailbreak, act as</w:t>
            </w:r>
          </w:p>
        </w:tc>
        <w:tc>
          <w:tcPr>
            <w:tcW w:type="dxa" w:w="2551"/>
            <w:shd w:fill="F2F7FB" w:val="clear"/>
          </w:tcPr>
          <w:p>
            <w:pPr>
              <w:jc w:val="left"/>
            </w:pPr>
            <w:r/>
            <w:r>
              <w:rPr>
                <w:rFonts w:ascii="Calibri" w:hAnsi="Calibri"/>
                <w:sz w:val="20"/>
              </w:rPr>
              <w:t>oracle-ai decoy</w:t>
            </w:r>
          </w:p>
        </w:tc>
      </w:tr>
      <w:tr>
        <w:tc>
          <w:tcPr>
            <w:tcW w:type="dxa" w:w="2268"/>
            <w:shd w:fill="FFFFFF" w:val="clear"/>
          </w:tcPr>
          <w:p>
            <w:pPr>
              <w:jc w:val="left"/>
            </w:pPr>
            <w:r/>
            <w:r>
              <w:rPr>
                <w:rFonts w:ascii="Calibri" w:hAnsi="Calibri"/>
                <w:sz w:val="20"/>
              </w:rPr>
              <w:t>Supply Chain</w:t>
            </w:r>
          </w:p>
        </w:tc>
        <w:tc>
          <w:tcPr>
            <w:tcW w:type="dxa" w:w="3402"/>
            <w:shd w:fill="FFFFFF" w:val="clear"/>
          </w:tcPr>
          <w:p>
            <w:pPr>
              <w:jc w:val="left"/>
            </w:pPr>
            <w:r/>
            <w:r>
              <w:rPr>
                <w:rFonts w:ascii="Calibri" w:hAnsi="Calibri"/>
                <w:sz w:val="20"/>
              </w:rPr>
              <w:t>git push, pipeline, build trigger</w:t>
            </w:r>
          </w:p>
        </w:tc>
        <w:tc>
          <w:tcPr>
            <w:tcW w:type="dxa" w:w="2551"/>
            <w:shd w:fill="FFFFFF" w:val="clear"/>
          </w:tcPr>
          <w:p>
            <w:pPr>
              <w:jc w:val="left"/>
            </w:pPr>
            <w:r/>
            <w:r>
              <w:rPr>
                <w:rFonts w:ascii="Calibri" w:hAnsi="Calibri"/>
                <w:sz w:val="20"/>
              </w:rPr>
              <w:t>forge-ci decoy</w:t>
            </w:r>
          </w:p>
        </w:tc>
      </w:tr>
      <w:tr>
        <w:tc>
          <w:tcPr>
            <w:tcW w:type="dxa" w:w="2268"/>
            <w:shd w:fill="F2F7FB" w:val="clear"/>
          </w:tcPr>
          <w:p>
            <w:pPr>
              <w:jc w:val="left"/>
            </w:pPr>
            <w:r/>
            <w:r>
              <w:rPr>
                <w:rFonts w:ascii="Calibri" w:hAnsi="Calibri"/>
                <w:sz w:val="20"/>
              </w:rPr>
              <w:t>Reconnaissance</w:t>
            </w:r>
          </w:p>
        </w:tc>
        <w:tc>
          <w:tcPr>
            <w:tcW w:type="dxa" w:w="3402"/>
            <w:shd w:fill="F2F7FB" w:val="clear"/>
          </w:tcPr>
          <w:p>
            <w:pPr>
              <w:jc w:val="left"/>
            </w:pPr>
            <w:r/>
            <w:r>
              <w:rPr>
                <w:rFonts w:ascii="Calibri" w:hAnsi="Calibri"/>
                <w:sz w:val="20"/>
              </w:rPr>
              <w:t>nmap, masscan, scan, port scan</w:t>
            </w:r>
          </w:p>
        </w:tc>
        <w:tc>
          <w:tcPr>
            <w:tcW w:type="dxa" w:w="2551"/>
            <w:shd w:fill="F2F7FB" w:val="clear"/>
          </w:tcPr>
          <w:p>
            <w:pPr>
              <w:jc w:val="left"/>
            </w:pPr>
            <w:r/>
            <w:r>
              <w:rPr>
                <w:rFonts w:ascii="Calibri" w:hAnsi="Calibri"/>
                <w:sz w:val="20"/>
              </w:rPr>
              <w:t>All decoys via proxy</w:t>
            </w:r>
          </w:p>
        </w:tc>
      </w:tr>
    </w:tbl>
    <w:p>
      <w:pPr>
        <w:spacing w:before="0" w:after="80"/>
        <w:jc w:val="left"/>
      </w:pPr>
      <w:r>
        <w:rPr>
          <w:rFonts w:ascii="Calibri" w:hAnsi="Calibri"/>
          <w:b w:val="0"/>
          <w:i w:val="0"/>
          <w:sz w:val="22"/>
        </w:rPr>
      </w:r>
    </w:p>
    <w:p>
      <w:pPr>
        <w:spacing w:before="0" w:after="160"/>
        <w:jc w:val="left"/>
      </w:pPr>
      <w:r>
        <w:rPr>
          <w:rFonts w:ascii="Calibri" w:hAnsi="Calibri"/>
          <w:b w:val="0"/>
          <w:i w:val="0"/>
          <w:sz w:val="21"/>
        </w:rPr>
        <w:t>The ability to distinguish between a SYN scan and a TCP connect scan in Wireshark - taught in the course - maps directly to understanding why certain traffic patterns arrive at the proxy and how they should be classified and logged.</w:t>
      </w:r>
    </w:p>
    <w:p>
      <w:pPr>
        <w:pStyle w:val="Heading2"/>
      </w:pPr>
      <w:r>
        <w:rPr>
          <w:rFonts w:ascii="Calibri" w:hAnsi="Calibri"/>
          <w:color w:val="003366"/>
        </w:rPr>
        <w:t>4.4 Vulnerability Assessment Methodology for Project Evaluation</w:t>
      </w:r>
    </w:p>
    <w:p>
      <w:pPr>
        <w:spacing w:before="0" w:after="120"/>
        <w:jc w:val="left"/>
      </w:pPr>
      <w:r>
        <w:rPr>
          <w:rFonts w:ascii="Calibri" w:hAnsi="Calibri"/>
          <w:b w:val="0"/>
          <w:i w:val="0"/>
          <w:sz w:val="21"/>
        </w:rPr>
        <w:t>The Nessus module taught structured vulnerability assessment: scanning, analysing results, interpreting CVE codes and CVSS scores, and writing professional reports. This methodology was applied to evaluate the honeypot framework itself:</w:t>
      </w:r>
    </w:p>
    <w:tbl>
      <w:tblPr>
        <w:tblW w:type="auto" w:w="0"/>
        <w:jc w:val="center"/>
        <w:tblLook w:firstColumn="1" w:firstRow="1" w:lastColumn="0" w:lastRow="0" w:noHBand="0" w:noVBand="1" w:val="04A0"/>
      </w:tblPr>
      <w:tblGrid>
        <w:gridCol w:w="4680"/>
        <w:gridCol w:w="4680"/>
      </w:tblGrid>
      <w:tr>
        <w:tc>
          <w:tcPr>
            <w:tcW w:type="dxa" w:w="2835"/>
            <w:shd w:fill="003366" w:val="clear"/>
          </w:tcPr>
          <w:p>
            <w:pPr>
              <w:jc w:val="center"/>
            </w:pPr>
            <w:r/>
            <w:r>
              <w:rPr>
                <w:rFonts w:ascii="Calibri" w:hAnsi="Calibri"/>
                <w:b/>
                <w:color w:val="FFFFFF"/>
                <w:sz w:val="20"/>
              </w:rPr>
              <w:t>Course Skill</w:t>
            </w:r>
          </w:p>
        </w:tc>
        <w:tc>
          <w:tcPr>
            <w:tcW w:type="dxa" w:w="6803"/>
            <w:shd w:fill="003366" w:val="clear"/>
          </w:tcPr>
          <w:p>
            <w:pPr>
              <w:jc w:val="center"/>
            </w:pPr>
            <w:r/>
            <w:r>
              <w:rPr>
                <w:rFonts w:ascii="Calibri" w:hAnsi="Calibri"/>
                <w:b/>
                <w:color w:val="FFFFFF"/>
                <w:sz w:val="20"/>
              </w:rPr>
              <w:t>Application in Project</w:t>
            </w:r>
          </w:p>
        </w:tc>
      </w:tr>
      <w:tr>
        <w:tc>
          <w:tcPr>
            <w:tcW w:type="dxa" w:w="2835"/>
            <w:shd w:fill="F2F7FB" w:val="clear"/>
          </w:tcPr>
          <w:p>
            <w:pPr>
              <w:jc w:val="left"/>
            </w:pPr>
            <w:r/>
            <w:r>
              <w:rPr>
                <w:rFonts w:ascii="Calibri" w:hAnsi="Calibri"/>
                <w:sz w:val="20"/>
              </w:rPr>
              <w:t>Nessus scan methodology</w:t>
            </w:r>
          </w:p>
        </w:tc>
        <w:tc>
          <w:tcPr>
            <w:tcW w:type="dxa" w:w="6803"/>
            <w:shd w:fill="F2F7FB" w:val="clear"/>
          </w:tcPr>
          <w:p>
            <w:pPr>
              <w:jc w:val="left"/>
            </w:pPr>
            <w:r/>
            <w:r>
              <w:rPr>
                <w:rFonts w:ascii="Calibri" w:hAnsi="Calibri"/>
                <w:sz w:val="20"/>
              </w:rPr>
              <w:t>The project's evaluate.py runs a systematic 4-metric evaluation (latency, throughput, response diversity, LLM-judge realism) against a 1,328-payload real-world attack dataset - mirroring the structured scan-then-report methodology taught in the Nessus module.</w:t>
            </w:r>
          </w:p>
        </w:tc>
      </w:tr>
      <w:tr>
        <w:tc>
          <w:tcPr>
            <w:tcW w:type="dxa" w:w="2835"/>
            <w:shd w:fill="FFFFFF" w:val="clear"/>
          </w:tcPr>
          <w:p>
            <w:pPr>
              <w:jc w:val="left"/>
            </w:pPr>
            <w:r/>
            <w:r>
              <w:rPr>
                <w:rFonts w:ascii="Calibri" w:hAnsi="Calibri"/>
                <w:sz w:val="20"/>
              </w:rPr>
              <w:t>CVE/CVSS interpretation</w:t>
            </w:r>
          </w:p>
        </w:tc>
        <w:tc>
          <w:tcPr>
            <w:tcW w:type="dxa" w:w="6803"/>
            <w:shd w:fill="FFFFFF" w:val="clear"/>
          </w:tcPr>
          <w:p>
            <w:pPr>
              <w:jc w:val="left"/>
            </w:pPr>
            <w:r/>
            <w:r>
              <w:rPr>
                <w:rFonts w:ascii="Calibri" w:hAnsi="Calibri"/>
                <w:sz w:val="20"/>
              </w:rPr>
              <w:t>The project's apt_attack_dataset.json includes real payloads from SecLists (sqlmap, commix), PayloadsAllTheThings (XXE, Log4Shell, SSRF), and Jenkins Security Advisories - all CVE-documented vulnerabilities studied through the lens of the course.</w:t>
            </w:r>
          </w:p>
        </w:tc>
      </w:tr>
      <w:tr>
        <w:tc>
          <w:tcPr>
            <w:tcW w:type="dxa" w:w="2835"/>
            <w:shd w:fill="F2F7FB" w:val="clear"/>
          </w:tcPr>
          <w:p>
            <w:pPr>
              <w:jc w:val="left"/>
            </w:pPr>
            <w:r/>
            <w:r>
              <w:rPr>
                <w:rFonts w:ascii="Calibri" w:hAnsi="Calibri"/>
                <w:sz w:val="20"/>
              </w:rPr>
              <w:t>Professional reporting</w:t>
            </w:r>
          </w:p>
        </w:tc>
        <w:tc>
          <w:tcPr>
            <w:tcW w:type="dxa" w:w="6803"/>
            <w:shd w:fill="F2F7FB" w:val="clear"/>
          </w:tcPr>
          <w:p>
            <w:pPr>
              <w:jc w:val="left"/>
            </w:pPr>
            <w:r/>
            <w:r>
              <w:rPr>
                <w:rFonts w:ascii="Calibri" w:hAnsi="Calibri"/>
                <w:sz w:val="20"/>
              </w:rPr>
              <w:t>The project's BENCHMARK_REPORT.md follows the professional documentation practices taught in the Nessus reporting module: transparent methodology, before/after metrics, and honest disclosure of limitations.</w:t>
            </w:r>
          </w:p>
        </w:tc>
      </w:tr>
    </w:tbl>
    <w:p>
      <w:pPr>
        <w:spacing w:before="0" w:after="120"/>
        <w:jc w:val="left"/>
      </w:pPr>
      <w:r>
        <w:rPr>
          <w:rFonts w:ascii="Calibri" w:hAnsi="Calibri"/>
          <w:b w:val="0"/>
          <w:i w:val="0"/>
          <w:sz w:val="22"/>
        </w:rPr>
      </w:r>
    </w:p>
    <w:p>
      <w:pPr>
        <w:pStyle w:val="Heading2"/>
      </w:pPr>
      <w:r>
        <w:rPr>
          <w:rFonts w:ascii="Calibri" w:hAnsi="Calibri"/>
          <w:color w:val="003366"/>
        </w:rPr>
        <w:t>4.5 NSE Scripting and Evasion - Adversarial Perspective</w:t>
      </w:r>
    </w:p>
    <w:p>
      <w:pPr>
        <w:spacing w:before="0" w:after="120"/>
        <w:jc w:val="left"/>
      </w:pPr>
      <w:r>
        <w:rPr>
          <w:rFonts w:ascii="Calibri" w:hAnsi="Calibri"/>
          <w:b w:val="0"/>
          <w:i w:val="0"/>
          <w:sz w:val="21"/>
        </w:rPr>
        <w:t>The course's coverage of the Nmap Scripting Engine (NSE) and firewall/IDS evasion techniques provided the adversarial perspective necessary to build deceptive services that withstand automated scanning:</w:t>
      </w:r>
    </w:p>
    <w:p>
      <w:pPr>
        <w:pStyle w:val="ListBullet"/>
        <w:spacing w:after="60"/>
      </w:pPr>
      <w:r>
        <w:rPr>
          <w:rFonts w:ascii="Calibri" w:hAnsi="Calibri"/>
          <w:b/>
          <w:sz w:val="21"/>
        </w:rPr>
        <w:t xml:space="preserve">NSE Scripts (HTTP, FTP, SMB, Vulners): </w:t>
      </w:r>
      <w:r>
        <w:rPr>
          <w:rFonts w:ascii="Calibri" w:hAnsi="Calibri"/>
          <w:sz w:val="21"/>
        </w:rPr>
        <w:t>Understanding what information Nmap scripts extract from services informed how the decoys craft their responses (e.g., the Jenkins decoy returns a realistic /api/json endpoint with version 2.387.3, executor count, and mode - exactly what Nmap http-jenkins-info script looks for).</w:t>
      </w:r>
    </w:p>
    <w:p>
      <w:pPr>
        <w:pStyle w:val="ListBullet"/>
        <w:spacing w:after="60"/>
      </w:pPr>
      <w:r>
        <w:rPr>
          <w:rFonts w:ascii="Calibri" w:hAnsi="Calibri"/>
          <w:b/>
          <w:sz w:val="21"/>
        </w:rPr>
        <w:t xml:space="preserve">Timing Templates and Evasion: </w:t>
      </w:r>
      <w:r>
        <w:rPr>
          <w:rFonts w:ascii="Calibri" w:hAnsi="Calibri"/>
          <w:sz w:val="21"/>
        </w:rPr>
        <w:t>The course explains how T0-T5 timing templates affect scan detectability. The project's AI engine uses a 3-tier response strategy (static &gt; cached &gt; LLM) partly to ensure consistent response timing regardless of scan speed, avoiding the latency anomalies that could reveal a service as a honeypot.</w:t>
      </w:r>
    </w:p>
    <w:p>
      <w:pPr>
        <w:pStyle w:val="ListBullet"/>
        <w:spacing w:after="60"/>
      </w:pPr>
      <w:r>
        <w:rPr>
          <w:rFonts w:ascii="Calibri" w:hAnsi="Calibri"/>
          <w:b/>
          <w:sz w:val="21"/>
        </w:rPr>
        <w:t xml:space="preserve">OS Detection and Version Probing: </w:t>
      </w:r>
      <w:r>
        <w:rPr>
          <w:rFonts w:ascii="Calibri" w:hAnsi="Calibri"/>
          <w:sz w:val="21"/>
        </w:rPr>
        <w:t>Nmap -sV and -O flags probe for service banners and OS fingerprints. The SSH decoy deliberately presents itself as Ubuntu 22.04, corp-prod-db-01 with consistent environment variables and process listings to pass these probes.</w:t>
      </w:r>
    </w:p>
    <w:p>
      <w:r>
        <w:br w:type="page"/>
      </w:r>
    </w:p>
    <w:p>
      <w:pPr>
        <w:pStyle w:val="Heading1"/>
      </w:pPr>
      <w:r>
        <w:rPr>
          <w:rFonts w:ascii="Calibri" w:hAnsi="Calibri"/>
          <w:color w:val="003366"/>
        </w:rPr>
        <w:t>5. Skills Acquired and Project Mapping</w:t>
      </w:r>
    </w:p>
    <w:tbl>
      <w:tblPr>
        <w:tblW w:type="auto" w:w="0"/>
        <w:jc w:val="center"/>
        <w:tblLook w:firstColumn="1" w:firstRow="1" w:lastColumn="0" w:lastRow="0" w:noHBand="0" w:noVBand="1" w:val="04A0"/>
      </w:tblPr>
      <w:tblGrid>
        <w:gridCol w:w="4680"/>
        <w:gridCol w:w="4680"/>
      </w:tblGrid>
      <w:tr>
        <w:tc>
          <w:tcPr>
            <w:tcW w:type="dxa" w:w="4252"/>
            <w:shd w:fill="003366" w:val="clear"/>
          </w:tcPr>
          <w:p>
            <w:pPr>
              <w:jc w:val="center"/>
            </w:pPr>
            <w:r/>
            <w:r>
              <w:rPr>
                <w:rFonts w:ascii="Calibri" w:hAnsi="Calibri"/>
                <w:b/>
                <w:color w:val="FFFFFF"/>
                <w:sz w:val="20"/>
              </w:rPr>
              <w:t>Skill Acquired from Course</w:t>
            </w:r>
          </w:p>
        </w:tc>
        <w:tc>
          <w:tcPr>
            <w:tcW w:type="dxa" w:w="5669"/>
            <w:shd w:fill="003366" w:val="clear"/>
          </w:tcPr>
          <w:p>
            <w:pPr>
              <w:jc w:val="center"/>
            </w:pPr>
            <w:r/>
            <w:r>
              <w:rPr>
                <w:rFonts w:ascii="Calibri" w:hAnsi="Calibri"/>
                <w:b/>
                <w:color w:val="FFFFFF"/>
                <w:sz w:val="20"/>
              </w:rPr>
              <w:t>Direct Application in Project</w:t>
            </w:r>
          </w:p>
        </w:tc>
      </w:tr>
      <w:tr>
        <w:tc>
          <w:tcPr>
            <w:tcW w:type="dxa" w:w="4252"/>
            <w:shd w:fill="F2F7FB" w:val="clear"/>
          </w:tcPr>
          <w:p>
            <w:pPr>
              <w:jc w:val="left"/>
            </w:pPr>
            <w:r/>
            <w:r>
              <w:rPr>
                <w:rFonts w:ascii="Calibri" w:hAnsi="Calibri"/>
                <w:sz w:val="20"/>
              </w:rPr>
              <w:t>Network Fundamentals (OSI, TCP/IP, ARP, DNS)</w:t>
            </w:r>
          </w:p>
        </w:tc>
        <w:tc>
          <w:tcPr>
            <w:tcW w:type="dxa" w:w="5669"/>
            <w:shd w:fill="F2F7FB" w:val="clear"/>
          </w:tcPr>
          <w:p>
            <w:pPr>
              <w:jc w:val="left"/>
            </w:pPr>
            <w:r/>
            <w:r>
              <w:rPr>
                <w:rFonts w:ascii="Calibri" w:hAnsi="Calibri"/>
                <w:sz w:val="20"/>
              </w:rPr>
              <w:t>Designing realistic decoy services and Docker network architecture</w:t>
            </w:r>
          </w:p>
        </w:tc>
      </w:tr>
      <w:tr>
        <w:tc>
          <w:tcPr>
            <w:tcW w:type="dxa" w:w="4252"/>
            <w:shd w:fill="FFFFFF" w:val="clear"/>
          </w:tcPr>
          <w:p>
            <w:pPr>
              <w:jc w:val="left"/>
            </w:pPr>
            <w:r/>
            <w:r>
              <w:rPr>
                <w:rFonts w:ascii="Calibri" w:hAnsi="Calibri"/>
                <w:sz w:val="20"/>
              </w:rPr>
              <w:t>Wireshark Packet Capture and Analysis</w:t>
            </w:r>
          </w:p>
        </w:tc>
        <w:tc>
          <w:tcPr>
            <w:tcW w:type="dxa" w:w="5669"/>
            <w:shd w:fill="FFFFFF" w:val="clear"/>
          </w:tcPr>
          <w:p>
            <w:pPr>
              <w:jc w:val="left"/>
            </w:pPr>
            <w:r/>
            <w:r>
              <w:rPr>
                <w:rFonts w:ascii="Calibri" w:hAnsi="Calibri"/>
                <w:sz w:val="20"/>
              </w:rPr>
              <w:t>Understanding attack traffic patterns for intent classification</w:t>
            </w:r>
          </w:p>
        </w:tc>
      </w:tr>
      <w:tr>
        <w:tc>
          <w:tcPr>
            <w:tcW w:type="dxa" w:w="4252"/>
            <w:shd w:fill="F2F7FB" w:val="clear"/>
          </w:tcPr>
          <w:p>
            <w:pPr>
              <w:jc w:val="left"/>
            </w:pPr>
            <w:r/>
            <w:r>
              <w:rPr>
                <w:rFonts w:ascii="Calibri" w:hAnsi="Calibri"/>
                <w:sz w:val="20"/>
              </w:rPr>
              <w:t>Nmap Scan Types (SYN, TCP, UDP, NULL, FIN, Xmas, ACK)</w:t>
            </w:r>
          </w:p>
        </w:tc>
        <w:tc>
          <w:tcPr>
            <w:tcW w:type="dxa" w:w="5669"/>
            <w:shd w:fill="F2F7FB" w:val="clear"/>
          </w:tcPr>
          <w:p>
            <w:pPr>
              <w:jc w:val="left"/>
            </w:pPr>
            <w:r/>
            <w:r>
              <w:rPr>
                <w:rFonts w:ascii="Calibri" w:hAnsi="Calibri"/>
                <w:sz w:val="20"/>
              </w:rPr>
              <w:t>Building proxy/decoys that respond correctly to all scan types</w:t>
            </w:r>
          </w:p>
        </w:tc>
      </w:tr>
      <w:tr>
        <w:tc>
          <w:tcPr>
            <w:tcW w:type="dxa" w:w="4252"/>
            <w:shd w:fill="FFFFFF" w:val="clear"/>
          </w:tcPr>
          <w:p>
            <w:pPr>
              <w:jc w:val="left"/>
            </w:pPr>
            <w:r/>
            <w:r>
              <w:rPr>
                <w:rFonts w:ascii="Calibri" w:hAnsi="Calibri"/>
                <w:sz w:val="20"/>
              </w:rPr>
              <w:t>Nmap Service and OS Detection (-sV, -O)</w:t>
            </w:r>
          </w:p>
        </w:tc>
        <w:tc>
          <w:tcPr>
            <w:tcW w:type="dxa" w:w="5669"/>
            <w:shd w:fill="FFFFFF" w:val="clear"/>
          </w:tcPr>
          <w:p>
            <w:pPr>
              <w:jc w:val="left"/>
            </w:pPr>
            <w:r/>
            <w:r>
              <w:rPr>
                <w:rFonts w:ascii="Calibri" w:hAnsi="Calibri"/>
                <w:sz w:val="20"/>
              </w:rPr>
              <w:t>Crafting convincing service banners and OS fingerprints in decoys</w:t>
            </w:r>
          </w:p>
        </w:tc>
      </w:tr>
      <w:tr>
        <w:tc>
          <w:tcPr>
            <w:tcW w:type="dxa" w:w="4252"/>
            <w:shd w:fill="F2F7FB" w:val="clear"/>
          </w:tcPr>
          <w:p>
            <w:pPr>
              <w:jc w:val="left"/>
            </w:pPr>
            <w:r/>
            <w:r>
              <w:rPr>
                <w:rFonts w:ascii="Calibri" w:hAnsi="Calibri"/>
                <w:sz w:val="20"/>
              </w:rPr>
              <w:t>Nmap Scripting Engine (NSE)</w:t>
            </w:r>
          </w:p>
        </w:tc>
        <w:tc>
          <w:tcPr>
            <w:tcW w:type="dxa" w:w="5669"/>
            <w:shd w:fill="F2F7FB" w:val="clear"/>
          </w:tcPr>
          <w:p>
            <w:pPr>
              <w:jc w:val="left"/>
            </w:pPr>
            <w:r/>
            <w:r>
              <w:rPr>
                <w:rFonts w:ascii="Calibri" w:hAnsi="Calibri"/>
                <w:sz w:val="20"/>
              </w:rPr>
              <w:t>Ensuring decoys pass automated scanning scripts (HTTP, SMB, Vulners)</w:t>
            </w:r>
          </w:p>
        </w:tc>
      </w:tr>
      <w:tr>
        <w:tc>
          <w:tcPr>
            <w:tcW w:type="dxa" w:w="4252"/>
            <w:shd w:fill="FFFFFF" w:val="clear"/>
          </w:tcPr>
          <w:p>
            <w:pPr>
              <w:jc w:val="left"/>
            </w:pPr>
            <w:r/>
            <w:r>
              <w:rPr>
                <w:rFonts w:ascii="Calibri" w:hAnsi="Calibri"/>
                <w:sz w:val="20"/>
              </w:rPr>
              <w:t>Scan Timing and Firewall/IDS Evasion</w:t>
            </w:r>
          </w:p>
        </w:tc>
        <w:tc>
          <w:tcPr>
            <w:tcW w:type="dxa" w:w="5669"/>
            <w:shd w:fill="FFFFFF" w:val="clear"/>
          </w:tcPr>
          <w:p>
            <w:pPr>
              <w:jc w:val="left"/>
            </w:pPr>
            <w:r/>
            <w:r>
              <w:rPr>
                <w:rFonts w:ascii="Calibri" w:hAnsi="Calibri"/>
                <w:sz w:val="20"/>
              </w:rPr>
              <w:t>Designing consistent response timing to avoid honeypot detection</w:t>
            </w:r>
          </w:p>
        </w:tc>
      </w:tr>
      <w:tr>
        <w:tc>
          <w:tcPr>
            <w:tcW w:type="dxa" w:w="4252"/>
            <w:shd w:fill="F2F7FB" w:val="clear"/>
          </w:tcPr>
          <w:p>
            <w:pPr>
              <w:jc w:val="left"/>
            </w:pPr>
            <w:r/>
            <w:r>
              <w:rPr>
                <w:rFonts w:ascii="Calibri" w:hAnsi="Calibri"/>
                <w:sz w:val="20"/>
              </w:rPr>
              <w:t>Nessus Vulnerability Assessment</w:t>
            </w:r>
          </w:p>
        </w:tc>
        <w:tc>
          <w:tcPr>
            <w:tcW w:type="dxa" w:w="5669"/>
            <w:shd w:fill="F2F7FB" w:val="clear"/>
          </w:tcPr>
          <w:p>
            <w:pPr>
              <w:jc w:val="left"/>
            </w:pPr>
            <w:r/>
            <w:r>
              <w:rPr>
                <w:rFonts w:ascii="Calibri" w:hAnsi="Calibri"/>
                <w:sz w:val="20"/>
              </w:rPr>
              <w:t>Applying structured evaluation methodology to benchmark the framework</w:t>
            </w:r>
          </w:p>
        </w:tc>
      </w:tr>
      <w:tr>
        <w:tc>
          <w:tcPr>
            <w:tcW w:type="dxa" w:w="4252"/>
            <w:shd w:fill="FFFFFF" w:val="clear"/>
          </w:tcPr>
          <w:p>
            <w:pPr>
              <w:jc w:val="left"/>
            </w:pPr>
            <w:r/>
            <w:r>
              <w:rPr>
                <w:rFonts w:ascii="Calibri" w:hAnsi="Calibri"/>
                <w:sz w:val="20"/>
              </w:rPr>
              <w:t>CVE/CVSS Score Interpretation</w:t>
            </w:r>
          </w:p>
        </w:tc>
        <w:tc>
          <w:tcPr>
            <w:tcW w:type="dxa" w:w="5669"/>
            <w:shd w:fill="FFFFFF" w:val="clear"/>
          </w:tcPr>
          <w:p>
            <w:pPr>
              <w:jc w:val="left"/>
            </w:pPr>
            <w:r/>
            <w:r>
              <w:rPr>
                <w:rFonts w:ascii="Calibri" w:hAnsi="Calibri"/>
                <w:sz w:val="20"/>
              </w:rPr>
              <w:t>Curating the 1,328-payload real-world attack dataset from CVE sources</w:t>
            </w:r>
          </w:p>
        </w:tc>
      </w:tr>
      <w:tr>
        <w:tc>
          <w:tcPr>
            <w:tcW w:type="dxa" w:w="4252"/>
            <w:shd w:fill="F2F7FB" w:val="clear"/>
          </w:tcPr>
          <w:p>
            <w:pPr>
              <w:jc w:val="left"/>
            </w:pPr>
            <w:r/>
            <w:r>
              <w:rPr>
                <w:rFonts w:ascii="Calibri" w:hAnsi="Calibri"/>
                <w:sz w:val="20"/>
              </w:rPr>
              <w:t>Professional Vulnerability Reporting</w:t>
            </w:r>
          </w:p>
        </w:tc>
        <w:tc>
          <w:tcPr>
            <w:tcW w:type="dxa" w:w="5669"/>
            <w:shd w:fill="F2F7FB" w:val="clear"/>
          </w:tcPr>
          <w:p>
            <w:pPr>
              <w:jc w:val="left"/>
            </w:pPr>
            <w:r/>
            <w:r>
              <w:rPr>
                <w:rFonts w:ascii="Calibri" w:hAnsi="Calibri"/>
                <w:sz w:val="20"/>
              </w:rPr>
              <w:t>Documenting benchmark results with transparent methodology</w:t>
            </w:r>
          </w:p>
        </w:tc>
      </w:tr>
      <w:tr>
        <w:tc>
          <w:tcPr>
            <w:tcW w:type="dxa" w:w="4252"/>
            <w:shd w:fill="FFFFFF" w:val="clear"/>
          </w:tcPr>
          <w:p>
            <w:pPr>
              <w:jc w:val="left"/>
            </w:pPr>
            <w:r/>
            <w:r>
              <w:rPr>
                <w:rFonts w:ascii="Calibri" w:hAnsi="Calibri"/>
                <w:sz w:val="20"/>
              </w:rPr>
              <w:t>Lab Setup (VirtualBox, Kali, Metasploitable)</w:t>
            </w:r>
          </w:p>
        </w:tc>
        <w:tc>
          <w:tcPr>
            <w:tcW w:type="dxa" w:w="5669"/>
            <w:shd w:fill="FFFFFF" w:val="clear"/>
          </w:tcPr>
          <w:p>
            <w:pPr>
              <w:jc w:val="left"/>
            </w:pPr>
            <w:r/>
            <w:r>
              <w:rPr>
                <w:rFonts w:ascii="Calibri" w:hAnsi="Calibri"/>
                <w:sz w:val="20"/>
              </w:rPr>
              <w:t>Containerized deployment using Docker Compose for isolated testing</w:t>
            </w:r>
          </w:p>
        </w:tc>
      </w:tr>
    </w:tbl>
    <w:p>
      <w:pPr>
        <w:spacing w:before="0" w:after="160"/>
        <w:jc w:val="left"/>
      </w:pPr>
      <w:r>
        <w:rPr>
          <w:rFonts w:ascii="Calibri" w:hAnsi="Calibri"/>
          <w:b w:val="0"/>
          <w:i w:val="0"/>
          <w:sz w:val="22"/>
        </w:rPr>
      </w:r>
    </w:p>
    <w:p>
      <w:pPr>
        <w:pStyle w:val="Heading1"/>
      </w:pPr>
      <w:r>
        <w:rPr>
          <w:rFonts w:ascii="Calibri" w:hAnsi="Calibri"/>
          <w:color w:val="003366"/>
        </w:rPr>
        <w:t>6. Conclusion</w:t>
      </w:r>
    </w:p>
    <w:p>
      <w:pPr>
        <w:spacing w:before="0" w:after="160"/>
        <w:jc w:val="left"/>
      </w:pPr>
      <w:r>
        <w:rPr>
          <w:rFonts w:ascii="Calibri" w:hAnsi="Calibri"/>
          <w:b w:val="0"/>
          <w:i w:val="0"/>
          <w:sz w:val="22"/>
        </w:rPr>
        <w:t>The "Network Scanning: Master Nmap, Nessus &amp; Wireshark Tools" certification from Udemy provided foundational and advanced knowledge that is directly relevant to the "AI-Driven Cyber Deception &amp; Attack Detection Framework" project. The course coverage spans all three pillars essential to the project:</w:t>
      </w:r>
    </w:p>
    <w:p>
      <w:pPr>
        <w:pStyle w:val="ListBullet"/>
        <w:spacing w:after="60"/>
      </w:pPr>
      <w:r>
        <w:rPr>
          <w:rFonts w:ascii="Calibri" w:hAnsi="Calibri"/>
          <w:b/>
          <w:sz w:val="21"/>
        </w:rPr>
        <w:t xml:space="preserve">Offensive Perspective (Nmap): </w:t>
      </w:r>
      <w:r>
        <w:rPr>
          <w:rFonts w:ascii="Calibri" w:hAnsi="Calibri"/>
          <w:sz w:val="21"/>
        </w:rPr>
        <w:t>Understanding how attackers scan, enumerate, and fingerprint services was essential to building decoys that convincingly mimic real infrastructure and evade detection.</w:t>
      </w:r>
    </w:p>
    <w:p>
      <w:pPr>
        <w:pStyle w:val="ListBullet"/>
        <w:spacing w:after="60"/>
      </w:pPr>
      <w:r>
        <w:rPr>
          <w:rFonts w:ascii="Calibri" w:hAnsi="Calibri"/>
          <w:b/>
          <w:sz w:val="21"/>
        </w:rPr>
        <w:t xml:space="preserve">Defensive Perspective (Nessus): </w:t>
      </w:r>
      <w:r>
        <w:rPr>
          <w:rFonts w:ascii="Calibri" w:hAnsi="Calibri"/>
          <w:sz w:val="21"/>
        </w:rPr>
        <w:t>The structured vulnerability assessment methodology informed the project's rigorous 4-metric evaluation framework and professional benchmark reporting practices.</w:t>
      </w:r>
    </w:p>
    <w:p>
      <w:pPr>
        <w:pStyle w:val="ListBullet"/>
        <w:spacing w:after="60"/>
      </w:pPr>
      <w:r>
        <w:rPr>
          <w:rFonts w:ascii="Calibri" w:hAnsi="Calibri"/>
          <w:b/>
          <w:sz w:val="21"/>
        </w:rPr>
        <w:t xml:space="preserve">Analytical Perspective (Wireshark): </w:t>
      </w:r>
      <w:r>
        <w:rPr>
          <w:rFonts w:ascii="Calibri" w:hAnsi="Calibri"/>
          <w:sz w:val="21"/>
        </w:rPr>
        <w:t>Packet-level traffic analysis skills enabled accurate attack intent classification and informed the design of the proxy's logging and forwarding architecture.</w:t>
      </w:r>
    </w:p>
    <w:p>
      <w:pPr>
        <w:spacing w:before="0" w:after="120"/>
        <w:jc w:val="left"/>
      </w:pPr>
      <w:r>
        <w:rPr>
          <w:rFonts w:ascii="Calibri" w:hAnsi="Calibri"/>
          <w:b w:val="0"/>
          <w:i w:val="0"/>
          <w:sz w:val="22"/>
        </w:rPr>
      </w:r>
    </w:p>
    <w:p>
      <w:pPr>
        <w:spacing w:before="0" w:after="240"/>
        <w:jc w:val="left"/>
      </w:pPr>
      <w:r>
        <w:rPr>
          <w:rFonts w:ascii="Calibri" w:hAnsi="Calibri"/>
          <w:b w:val="0"/>
          <w:i w:val="0"/>
          <w:sz w:val="22"/>
        </w:rPr>
        <w:t>The 11.5-hour certification, combined with hands-on lab practice in scanning Metasploitable and OWASP BWA targets, provided the practical experience necessary to design, implement, and evaluate a honeypot framework that successfully intercepts and classifies real-world attack patterns across five distinct service protocols. The certification directly strengthened both the technical implementation and the scientific evaluation of the project.</w:t>
      </w:r>
    </w:p>
    <w:p>
      <w:pPr>
        <w:pStyle w:val="Heading1"/>
      </w:pPr>
      <w:r>
        <w:rPr>
          <w:rFonts w:ascii="Calibri" w:hAnsi="Calibri"/>
          <w:color w:val="003366"/>
        </w:rPr>
        <w:t>Appendix</w:t>
      </w:r>
    </w:p>
    <w:p>
      <w:pPr>
        <w:spacing w:before="0" w:after="120"/>
        <w:jc w:val="left"/>
      </w:pPr>
      <w:r>
        <w:rPr>
          <w:rFonts w:ascii="Calibri" w:hAnsi="Calibri"/>
          <w:b/>
          <w:i w:val="0"/>
          <w:color w:val="003366"/>
          <w:sz w:val="24"/>
        </w:rPr>
        <w:t>Appendix A: Udemy Course Completion Certificate</w:t>
      </w:r>
    </w:p>
    <w:p>
      <w:pPr>
        <w:spacing w:before="0" w:after="240"/>
        <w:jc w:val="center"/>
      </w:pPr>
      <w:r>
        <w:rPr>
          <w:rFonts w:ascii="Calibri" w:hAnsi="Calibri"/>
          <w:b w:val="0"/>
          <w:i/>
          <w:color w:val="787878"/>
          <w:sz w:val="22"/>
        </w:rPr>
        <w:t>[Certificate attached on the following page]</w:t>
      </w:r>
    </w:p>
    <w:p>
      <w:pPr>
        <w:spacing w:before="0" w:after="120"/>
        <w:jc w:val="center"/>
      </w:pPr>
      <w:r>
        <w:rPr>
          <w:rFonts w:ascii="Calibri" w:hAnsi="Calibri"/>
          <w:b w:val="0"/>
          <w:i/>
          <w:color w:val="969696"/>
          <w:sz w:val="20"/>
        </w:rPr>
        <w:t>Please attach your Udemy completion certificate image/PDF here.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