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Driven Cyber Deception and Attack Detection Framework</w:t>
      </w:r>
    </w:p>
    <w:p>
      <w:pPr>
        <w:pStyle w:val="Subtitle"/>
      </w:pPr>
      <w:r>
        <w:t>Project Website and Demonstration Documentation</w:t>
      </w:r>
    </w:p>
    <w:p>
      <w:r>
        <w:t>Group 58</w:t>
        <w:br/>
        <w:t>Project Guide  Dr. Radhika G.</w:t>
        <w:br/>
        <w:t>Prepared  25 October 2026</w:t>
      </w:r>
    </w:p>
    <w:p>
      <w:r>
        <w:t>This document presents our cyber deception project, its architecture, the deployed demonstration and the project website. The live browser test confirmed event classification, storage and a backend-reported blockchain anchor. A separate populated demonstration contains 1,228 explicitly simulated events for presentation purposes.</w:t>
      </w:r>
    </w:p>
    <w:p>
      <w:pPr>
        <w:pStyle w:val="Heading1"/>
      </w:pPr>
      <w:r>
        <w:t>Project team</w:t>
      </w:r>
    </w:p>
    <w:tbl>
      <w:tblPr>
        <w:tblW w:type="auto" w:w="0"/>
        <w:tblLayout w:type="fixed"/>
        <w:tblLook w:firstColumn="1" w:firstRow="1" w:lastColumn="0" w:lastRow="0" w:noHBand="0" w:noVBand="1" w:val="04A0"/>
      </w:tblPr>
      <w:tblGrid>
        <w:gridCol w:w="4968"/>
        <w:gridCol w:w="4968"/>
      </w:tblGrid>
      <w:tr>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Name</w:t>
            </w:r>
          </w:p>
        </w:tc>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Roll number</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N.Sisir Reddy</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CB.SC.U4CSE23129</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C.Pranav Sharma</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CB.SC.U4CSE23611</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N.Surya Tejeswar Reddy</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CB.SC.U4CSE23127</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B.Guru Sai Prasad Reddy</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CB.SC.U4CSE23111</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R.Vishnu Satwick Reddy</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CB.SC.U4CSE23644</w:t>
            </w:r>
          </w:p>
        </w:tc>
      </w:tr>
    </w:tbl>
    <w:p>
      <w:pPr>
        <w:pStyle w:val="Heading1"/>
      </w:pPr>
      <w:r>
        <w:t>Submission links</w:t>
      </w:r>
    </w:p>
    <w:p>
      <w:r>
        <w:t>Project website</w:t>
        <w:br/>
        <w:t>https://honeypot-dashboard-tau.vercel.app/showcase/</w:t>
      </w:r>
    </w:p>
    <w:p>
      <w:r>
        <w:t>Live dashboard</w:t>
        <w:br/>
        <w:t>https://honeypot-dashboard-tau.vercel.app/</w:t>
      </w:r>
    </w:p>
    <w:p>
      <w:r>
        <w:t>Populated simulated demonstration</w:t>
        <w:br/>
        <w:t>https://honeypot-dashboard-tau.vercel.app/?demo=1</w:t>
      </w:r>
    </w:p>
    <w:p>
      <w:r>
        <w:t>Source repository</w:t>
        <w:br/>
        <w:t>https://github.com/Deceptive-HoneyPot/CODE</w:t>
      </w:r>
    </w:p>
    <w:p>
      <w:r>
        <w:br w:type="page"/>
      </w:r>
    </w:p>
    <w:p>
      <w:pPr>
        <w:pStyle w:val="Heading1"/>
      </w:pPr>
      <w:r>
        <w:t>Project purpose and scope</w:t>
      </w:r>
    </w:p>
    <w:p>
      <w:r>
        <w:t>The framework provides decoy services that resemble systems attackers may encounter. It records interactions so researchers can inspect activity without using genuine business data. AI-generated responses are intended to improve the variety and plausibility of the deception. The project is a research prototype, not a production intrusion prevention system.</w:t>
      </w:r>
    </w:p>
    <w:p>
      <w:pPr>
        <w:pStyle w:val="Heading1"/>
      </w:pPr>
      <w:r>
        <w:t>Five honeypot services</w:t>
      </w:r>
    </w:p>
    <w:tbl>
      <w:tblPr>
        <w:tblW w:type="auto" w:w="0"/>
        <w:tblLayout w:type="fixed"/>
        <w:tblLook w:firstColumn="1" w:firstRow="1" w:lastColumn="0" w:lastRow="0" w:noHBand="0" w:noVBand="1" w:val="04A0"/>
      </w:tblPr>
      <w:tblGrid>
        <w:gridCol w:w="4968"/>
        <w:gridCol w:w="4968"/>
      </w:tblGrid>
      <w:tr>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Service</w:t>
            </w:r>
          </w:p>
        </w:tc>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Purpose</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Shadow Shell</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SSH shell and login interaction capture</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Oracle AI</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Internal AI API and prompt injection observation</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Vault SQL</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Database query imitation and synthetic records</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Ledger Trap</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Ethereum JSON RPC interface imitation</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Forge CI</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Jenkins style build automation imitation</w:t>
            </w:r>
          </w:p>
        </w:tc>
      </w:tr>
    </w:tbl>
    <w:p>
      <w:pPr>
        <w:pStyle w:val="Heading1"/>
      </w:pPr>
      <w:r>
        <w:t>System architecture</w:t>
      </w:r>
    </w:p>
    <w:p>
      <w:r>
        <w:t>Incoming interaction → Proxy → Selected decoy → AI response engine as needed</w:t>
        <w:br/>
        <w:t>Decoy event → FastAPI backend → Rule based classification → SHA 256 hash</w:t>
        <w:br/>
        <w:t>Backend → Redis event storage and Ganache hash anchoring</w:t>
        <w:br/>
        <w:t>Backend → WebSocket broadcast → React dashboard</w:t>
      </w:r>
    </w:p>
    <w:p>
      <w:r>
        <w:t>The AI engine uses three response tiers: a static response dictionary, Redis cache and an OpenRouter hosted model. The backend also contains a separate AI verdict endpoint. The standard logging endpoint uses keyword rules; this distinction matters when interpreting the verified demonstration.</w:t>
      </w:r>
    </w:p>
    <w:p>
      <w:pPr>
        <w:pStyle w:val="Heading1"/>
      </w:pPr>
      <w:r>
        <w:t>Technology stack</w:t>
      </w:r>
    </w:p>
    <w:tbl>
      <w:tblPr>
        <w:tblW w:type="auto" w:w="0"/>
        <w:tblLayout w:type="fixed"/>
        <w:tblLook w:firstColumn="1" w:firstRow="1" w:lastColumn="0" w:lastRow="0" w:noHBand="0" w:noVBand="1" w:val="04A0"/>
      </w:tblPr>
      <w:tblGrid>
        <w:gridCol w:w="4968"/>
        <w:gridCol w:w="4968"/>
      </w:tblGrid>
      <w:tr>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Layer</w:t>
            </w:r>
          </w:p>
        </w:tc>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Technology</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Frontend</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React 18 and WebSocket</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API and decoys</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Python and FastAPI with service specific libraries</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Storage and cache</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Redis compatible storage</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Evidence</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SHA 256 and local Ganache Ethereum test chain</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AI response provider</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OpenRouter when configured</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Deployment</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Vercel frontend and Render backend services</w:t>
            </w:r>
          </w:p>
        </w:tc>
      </w:tr>
    </w:tbl>
    <w:p>
      <w:r>
        <w:br w:type="page"/>
      </w:r>
    </w:p>
    <w:p>
      <w:pPr>
        <w:pStyle w:val="Heading1"/>
      </w:pPr>
      <w:r>
        <w:t>Hosted demonstration verification</w:t>
      </w:r>
    </w:p>
    <w:p>
      <w:r>
        <w:t>Verification date  25 October 2026. The backend health endpoint returned status ok, redis true and blockchain true. The browser showed Live feed connected and Chain anchoring active.</w:t>
      </w:r>
    </w:p>
    <w:tbl>
      <w:tblPr>
        <w:tblW w:type="auto" w:w="0"/>
        <w:tblLayout w:type="fixed"/>
        <w:tblLook w:firstColumn="1" w:firstRow="1" w:lastColumn="0" w:lastRow="0" w:noHBand="0" w:noVBand="1" w:val="04A0"/>
      </w:tblPr>
      <w:tblGrid>
        <w:gridCol w:w="4968"/>
        <w:gridCol w:w="4968"/>
      </w:tblGrid>
      <w:tr>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Check</w:t>
            </w:r>
          </w:p>
        </w:tc>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Observed result</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Sample text</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uname -a &amp;&amp; whoami &amp;&amp; hostname</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Submission</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Logged</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Intent</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reconnaissance</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Hash prefix</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0cb6e46587d7</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Backend anchor status</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anchored on chain</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Live feed</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Matching event displayed as Anchored</w:t>
            </w:r>
          </w:p>
        </w:tc>
      </w:tr>
    </w:tbl>
    <w:p>
      <w:r>
        <w:t>The event was submitted using the dashboard Try an attack form and was marked simulated by that form. The payload was processed as text. This test did not execute a shell command on a target machine or traverse a real SSH decoy.</w:t>
      </w:r>
    </w:p>
    <w:p>
      <w:r>
        <w:drawing>
          <wp:inline xmlns:a="http://schemas.openxmlformats.org/drawingml/2006/main" xmlns:pic="http://schemas.openxmlformats.org/drawingml/2006/picture">
            <wp:extent cx="6217920" cy="4090583"/>
            <wp:docPr id="1" name="Picture 1"/>
            <wp:cNvGraphicFramePr>
              <a:graphicFrameLocks noChangeAspect="1"/>
            </wp:cNvGraphicFramePr>
            <a:graphic>
              <a:graphicData uri="http://schemas.openxmlformats.org/drawingml/2006/picture">
                <pic:pic>
                  <pic:nvPicPr>
                    <pic:cNvPr id="0" name="live-feed.png"/>
                    <pic:cNvPicPr/>
                  </pic:nvPicPr>
                  <pic:blipFill>
                    <a:blip r:embed="rId11"/>
                    <a:stretch>
                      <a:fillRect/>
                    </a:stretch>
                  </pic:blipFill>
                  <pic:spPr>
                    <a:xfrm>
                      <a:off x="0" y="0"/>
                      <a:ext cx="6217920" cy="4090583"/>
                    </a:xfrm>
                    <a:prstGeom prst="rect"/>
                  </pic:spPr>
                </pic:pic>
              </a:graphicData>
            </a:graphic>
          </wp:inline>
        </w:drawing>
      </w:r>
    </w:p>
    <w:p>
      <w:pPr>
        <w:pStyle w:val="Caption"/>
      </w:pPr>
      <w:r>
        <w:t>Captured live feed showing the newly submitted reconnaissance event and its Anchored label.</w:t>
      </w:r>
    </w:p>
    <w:p>
      <w:pPr>
        <w:pStyle w:val="Heading1"/>
      </w:pPr>
      <w:r>
        <w:t>What the verification establishes</w:t>
      </w:r>
    </w:p>
    <w:p>
      <w:r>
        <w:t>The test establishes that the browser can submit a sample event, receive a classification and anchor status, and display the event in the feed. It does not independently verify an Ethereum transaction receipt, validate AI response quality or prove that all five network decoys are publicly reachable.</w:t>
      </w:r>
    </w:p>
    <w:p>
      <w:r>
        <w:br w:type="page"/>
      </w:r>
    </w:p>
    <w:p>
      <w:pPr>
        <w:pStyle w:val="Heading1"/>
      </w:pPr>
      <w:r>
        <w:t>Populated presentation dataset</w:t>
      </w:r>
    </w:p>
    <w:p>
      <w:r>
        <w:t>The populated demonstration is a browser side fixture containing 1,228 simulated events. Its counts are illustrative and are not measured attack statistics. The dataset does not write to Redis, call the backend or claim blockchain anchoring.</w:t>
      </w:r>
    </w:p>
    <w:tbl>
      <w:tblPr>
        <w:tblW w:type="auto" w:w="0"/>
        <w:tblLayout w:type="fixed"/>
        <w:tblLook w:firstColumn="1" w:firstRow="1" w:lastColumn="0" w:lastRow="0" w:noHBand="0" w:noVBand="1" w:val="04A0"/>
      </w:tblPr>
      <w:tblGrid>
        <w:gridCol w:w="4968"/>
        <w:gridCol w:w="4968"/>
      </w:tblGrid>
      <w:tr>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Honeypot category</w:t>
            </w:r>
          </w:p>
        </w:tc>
        <w:tc>
          <w:tcPr>
            <w:tcW w:type="dxa" w:w="4968"/>
            <w:shd w:fill="20352A"/>
            <w:tcBorders>
              <w:top w:val="single" w:sz="4" w:color="D9D9D9"/>
              <w:left w:val="single" w:sz="4" w:color="D9D9D9"/>
              <w:bottom w:val="single" w:sz="4" w:color="D9D9D9"/>
              <w:right w:val="single" w:sz="4" w:color="D9D9D9"/>
            </w:tcBorders>
          </w:tcPr>
          <w:p>
            <w:pPr>
              <w:spacing w:before="100" w:after="100"/>
            </w:pPr>
            <w:r>
              <w:rPr>
                <w:b/>
                <w:color w:val="FFFFFF"/>
                <w:sz w:val="20"/>
              </w:rPr>
              <w:t>Simulated events</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SSH</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402</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SQL database</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319</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CI CD</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239</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AI API</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169</w:t>
            </w:r>
          </w:p>
        </w:tc>
      </w:tr>
      <w:tr>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Web3 node</w:t>
            </w:r>
          </w:p>
        </w:tc>
        <w:tc>
          <w:tcPr>
            <w:tcW w:type="dxa" w:w="4968"/>
            <w:shd w:fill="F2F5F3"/>
            <w:tcBorders>
              <w:top w:val="single" w:sz="4" w:color="D9D9D9"/>
              <w:left w:val="single" w:sz="4" w:color="D9D9D9"/>
              <w:bottom w:val="single" w:sz="4" w:color="D9D9D9"/>
              <w:right w:val="single" w:sz="4" w:color="D9D9D9"/>
            </w:tcBorders>
          </w:tcPr>
          <w:p>
            <w:pPr>
              <w:spacing w:before="100" w:after="100"/>
            </w:pPr>
            <w:r>
              <w:rPr>
                <w:sz w:val="20"/>
              </w:rPr>
              <w:t>99</w:t>
            </w:r>
          </w:p>
        </w:tc>
      </w:tr>
      <w:tr>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Total</w:t>
            </w:r>
          </w:p>
        </w:tc>
        <w:tc>
          <w:tcPr>
            <w:tcW w:type="dxa" w:w="4968"/>
            <w:shd w:fill="FFFFFF"/>
            <w:tcBorders>
              <w:top w:val="single" w:sz="4" w:color="D9D9D9"/>
              <w:left w:val="single" w:sz="4" w:color="D9D9D9"/>
              <w:bottom w:val="single" w:sz="4" w:color="D9D9D9"/>
              <w:right w:val="single" w:sz="4" w:color="D9D9D9"/>
            </w:tcBorders>
          </w:tcPr>
          <w:p>
            <w:pPr>
              <w:spacing w:before="100" w:after="100"/>
            </w:pPr>
            <w:r>
              <w:rPr>
                <w:sz w:val="20"/>
              </w:rPr>
              <w:t>1228</w:t>
            </w:r>
          </w:p>
        </w:tc>
      </w:tr>
    </w:tbl>
    <w:p>
      <w:r>
        <w:t>When sorted from largest to smallest, adjacent differences are 83, 80, 70 and 70 events. Therefore every pair of category totals differs by at least 70. Source addresses use a documentation range. Event timestamps are generated for the current presentation session.</w:t>
      </w:r>
    </w:p>
    <w:p>
      <w:pPr>
        <w:pStyle w:val="Heading1"/>
      </w:pPr>
      <w:r>
        <w:t>Demonstration sequence</w:t>
      </w:r>
    </w:p>
    <w:p>
      <w:pPr>
        <w:pStyle w:val="ListNumber"/>
      </w:pPr>
      <w:r>
        <w:t>Open the project website and introduce the problem and five decoy designs.</w:t>
      </w:r>
    </w:p>
    <w:p>
      <w:pPr>
        <w:pStyle w:val="ListNumber"/>
      </w:pPr>
      <w:r>
        <w:t>Open the populated demonstration and identify its SIMULATED DATA label. Explain the distribution across five services.</w:t>
      </w:r>
    </w:p>
    <w:p>
      <w:pPr>
        <w:pStyle w:val="ListNumber"/>
      </w:pPr>
      <w:r>
        <w:t>Switch to the live backend view. Wait for the feed to connect if the free service is waking.</w:t>
      </w:r>
    </w:p>
    <w:p>
      <w:pPr>
        <w:pStyle w:val="ListNumber"/>
      </w:pPr>
      <w:r>
        <w:t>Open Try an attack and submit the Recon on a fresh shell sample.</w:t>
      </w:r>
    </w:p>
    <w:p>
      <w:pPr>
        <w:pStyle w:val="ListNumber"/>
      </w:pPr>
      <w:r>
        <w:t>Confirm Logged, reconnaissance and anchored on chain when available, then locate the new event in the live feed.</w:t>
      </w:r>
    </w:p>
    <w:p>
      <w:pPr>
        <w:pStyle w:val="ListNumber"/>
      </w:pPr>
      <w:r>
        <w:t>Explain the limits of a local test blockchain and close with the team and project guide.</w:t>
      </w:r>
    </w:p>
    <w:p>
      <w:pPr>
        <w:pStyle w:val="Heading1"/>
      </w:pPr>
      <w:r>
        <w:t>Narrated video</w:t>
      </w:r>
    </w:p>
    <w:p>
      <w:r>
        <w:t>The accompanying MP4 uses synthesized English narration and actual interface screenshots. It is an edited walkthrough, not an uninterrupted screen recording. It distinguishes the illustrative dataset from the separately verified live submission. Captions and a text transcript accompany the video.</w:t>
      </w:r>
    </w:p>
    <w:p>
      <w:r>
        <w:br w:type="page"/>
      </w:r>
    </w:p>
    <w:p>
      <w:pPr>
        <w:pStyle w:val="Heading1"/>
      </w:pPr>
      <w:r>
        <w:t>Setup and operation</w:t>
      </w:r>
    </w:p>
    <w:p>
      <w:r>
        <w:t>For local use, install Git and Docker with Compose. Clone the repository, copy .env.example to .env, configure required provider credentials locally and run docker compose up --build. Open http://localhost:3000. See the repository README for detailed service configuration and platform requirements.</w:t>
      </w:r>
    </w:p>
    <w:p>
      <w:pPr>
        <w:pStyle w:val="Heading1"/>
      </w:pPr>
      <w:r>
        <w:t>Deployment arrangement</w:t>
      </w:r>
    </w:p>
    <w:p>
      <w:r>
        <w:t>The React frontend is hosted on Vercel. The team Render dashboard showed honeypot backend and honeypot AI engine as deployed, with honeypot Redis available in Singapore. The backend public URL is https://honeypot-backend-rcqz.onrender.com. The showcase assets live in dashboard/public/showcase and are included in the frontend build.</w:t>
      </w:r>
    </w:p>
    <w:p>
      <w:pPr>
        <w:pStyle w:val="Heading1"/>
      </w:pPr>
      <w:r>
        <w:t>Limitations</w:t>
      </w:r>
    </w:p>
    <w:p>
      <w:pPr>
        <w:pStyle w:val="ListBullet"/>
      </w:pPr>
      <w:r>
        <w:t>Ganache is a local development blockchain. Its in memory state can reset when the container restarts. Hash anchoring here is not permanent public chain notarization.</w:t>
      </w:r>
    </w:p>
    <w:p>
      <w:pPr>
        <w:pStyle w:val="ListBullet"/>
      </w:pPr>
      <w:r>
        <w:t>Hashes help detect changes relative to a trusted commitment; they do not establish that an original event was genuine.</w:t>
      </w:r>
    </w:p>
    <w:p>
      <w:pPr>
        <w:pStyle w:val="ListBullet"/>
      </w:pPr>
      <w:r>
        <w:t>Free services can sleep, restart or reach usage limits. A successful check is a point in time observation, not an uptime guarantee.</w:t>
      </w:r>
    </w:p>
    <w:p>
      <w:pPr>
        <w:pStyle w:val="ListBullet"/>
      </w:pPr>
      <w:r>
        <w:t>The browser sample form bypasses the network decoys. The deployed test did not validate all five protocol services or the AI model path.</w:t>
      </w:r>
    </w:p>
    <w:p>
      <w:pPr>
        <w:pStyle w:val="ListBullet"/>
      </w:pPr>
      <w:r>
        <w:t>The three historical records seen before the verification were labelled Local. They were not retroactively treated as anchored.</w:t>
      </w:r>
    </w:p>
    <w:p>
      <w:pPr>
        <w:pStyle w:val="ListBullet"/>
      </w:pPr>
      <w:r>
        <w:t>AI providers can have usage costs and availability limits independent of frontend hosting.</w:t>
      </w:r>
    </w:p>
    <w:p>
      <w:pPr>
        <w:pStyle w:val="Heading1"/>
      </w:pPr>
      <w:r>
        <w:t>References</w:t>
      </w:r>
    </w:p>
    <w:p>
      <w:r>
        <w:t>Project repository and README</w:t>
        <w:br/>
        <w:t>https://github.com/Deceptive-HoneyPot/CODE</w:t>
      </w:r>
    </w:p>
    <w:p>
      <w:r>
        <w:t>Implementation references: backend/main.py, backend/ai_classifier.py, ai-engine, dashboard/src, render.yaml and backend/start-render.sh. The source revision reviewed before these presentation changes was ba890ce.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Group 58  •  25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GROUP 58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