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0922FE" w14:textId="77777777" w:rsidR="008E5FBD" w:rsidRDefault="00000000">
      <w:pPr>
        <w:spacing w:before="840"/>
        <w:jc w:val="center"/>
        <w:rPr>
          <w:rFonts w:hint="eastAsia"/>
        </w:rPr>
      </w:pPr>
      <w:r>
        <w:rPr>
          <w:rFonts w:ascii="Aptos Display" w:hAnsi="Aptos Display"/>
          <w:b/>
          <w:color w:val="1F3758"/>
          <w:sz w:val="60"/>
        </w:rPr>
        <w:t>REVISION GUIDE</w:t>
      </w:r>
    </w:p>
    <w:p w14:paraId="5E90392C" w14:textId="77777777" w:rsidR="008E5FBD" w:rsidRDefault="00000000">
      <w:pPr>
        <w:spacing w:before="200"/>
        <w:jc w:val="center"/>
        <w:rPr>
          <w:rFonts w:hint="eastAsia"/>
        </w:rPr>
      </w:pPr>
      <w:r>
        <w:rPr>
          <w:rFonts w:ascii="Aptos Display" w:hAnsi="Aptos Display"/>
          <w:b/>
          <w:color w:val="2F5496"/>
          <w:sz w:val="38"/>
        </w:rPr>
        <w:t>Trustworthy Completion for Web Agents:</w:t>
      </w:r>
      <w:r>
        <w:rPr>
          <w:rFonts w:ascii="Aptos Display" w:hAnsi="Aptos Display"/>
          <w:b/>
          <w:color w:val="2F5496"/>
          <w:sz w:val="38"/>
        </w:rPr>
        <w:br/>
        <w:t>A Benchmark and Research Agenda for Execution-Time Safeguards</w:t>
      </w:r>
    </w:p>
    <w:p w14:paraId="5DEE3116" w14:textId="77777777" w:rsidR="008E5FBD" w:rsidRDefault="00000000">
      <w:pPr>
        <w:spacing w:before="320"/>
        <w:jc w:val="center"/>
        <w:rPr>
          <w:rFonts w:hint="eastAsia"/>
        </w:rPr>
      </w:pPr>
      <w:r>
        <w:rPr>
          <w:color w:val="202020"/>
          <w:sz w:val="24"/>
        </w:rPr>
        <w:t>Target: NeurIPS 2026 Trustworthy AI for Good Workshop</w:t>
      </w:r>
      <w:r>
        <w:rPr>
          <w:color w:val="202020"/>
          <w:sz w:val="24"/>
        </w:rPr>
        <w:br/>
        <w:t>General Track</w:t>
      </w:r>
    </w:p>
    <w:tbl>
      <w:tblPr>
        <w:tblStyle w:val="TableGrid"/>
        <w:tblW w:w="0" w:type="auto"/>
        <w:jc w:val="center"/>
        <w:tblLook w:val="04A0" w:firstRow="1" w:lastRow="0" w:firstColumn="1" w:lastColumn="0" w:noHBand="0" w:noVBand="1"/>
      </w:tblPr>
      <w:tblGrid>
        <w:gridCol w:w="10166"/>
      </w:tblGrid>
      <w:tr w:rsidR="008E5FBD" w14:paraId="02967A91" w14:textId="77777777">
        <w:trPr>
          <w:jc w:val="center"/>
        </w:trPr>
        <w:tc>
          <w:tcPr>
            <w:tcW w:w="10166" w:type="dxa"/>
            <w:shd w:val="clear" w:color="auto" w:fill="D9EAF7"/>
            <w:tcMar>
              <w:top w:w="100" w:type="dxa"/>
              <w:left w:w="130" w:type="dxa"/>
              <w:bottom w:w="100" w:type="dxa"/>
              <w:right w:w="130" w:type="dxa"/>
            </w:tcMar>
          </w:tcPr>
          <w:p w14:paraId="15DE0C9C" w14:textId="77777777" w:rsidR="008E5FBD" w:rsidRDefault="00000000">
            <w:pPr>
              <w:spacing w:after="0"/>
              <w:rPr>
                <w:rFonts w:hint="eastAsia"/>
              </w:rPr>
            </w:pPr>
            <w:r>
              <w:rPr>
                <w:sz w:val="16"/>
              </w:rPr>
              <w:t>Two required handoffs and one optional third handoff from Ke</w:t>
            </w:r>
            <w:r>
              <w:rPr>
                <w:sz w:val="16"/>
              </w:rPr>
              <w:br/>
              <w:t>Version 1 (A-C) is due to Sunshine on August 9, 2026. Version 2 (D: initial cross-agent validation) is due to Sunshine on August 16, 2026. If time permits, Ke may deliver an optional Version 3 with E experiments by August 24, 2026. Only completed E results should appear in the workshop supplement; they may be developed into main-paper results for the next full conference submission. Sunshine owns registration, corresponding-author review, submission updates, final selection of optional results, and final submission.</w:t>
            </w:r>
          </w:p>
        </w:tc>
      </w:tr>
    </w:tbl>
    <w:p w14:paraId="61E8C180" w14:textId="77777777" w:rsidR="008E5FBD" w:rsidRDefault="008E5FBD">
      <w:pPr>
        <w:spacing w:after="0"/>
        <w:rPr>
          <w:rFonts w:hint="eastAsia"/>
        </w:rPr>
      </w:pPr>
    </w:p>
    <w:p w14:paraId="39542784" w14:textId="77777777" w:rsidR="008E5FBD" w:rsidRDefault="00000000">
      <w:pPr>
        <w:spacing w:before="360"/>
        <w:jc w:val="center"/>
        <w:rPr>
          <w:rFonts w:hint="eastAsia"/>
        </w:rPr>
      </w:pPr>
      <w:r>
        <w:rPr>
          <w:color w:val="555555"/>
          <w:sz w:val="20"/>
        </w:rPr>
        <w:t>Prepared for Sunshine (corresponding author) and Ke (first author)</w:t>
      </w:r>
      <w:r>
        <w:rPr>
          <w:color w:val="555555"/>
          <w:sz w:val="20"/>
        </w:rPr>
        <w:br/>
        <w:t>30 July 2026</w:t>
      </w:r>
    </w:p>
    <w:p w14:paraId="6C7CBF87" w14:textId="77777777" w:rsidR="008E5FBD" w:rsidRDefault="00000000">
      <w:pPr>
        <w:spacing w:before="840"/>
        <w:jc w:val="center"/>
        <w:rPr>
          <w:rFonts w:hint="eastAsia"/>
        </w:rPr>
      </w:pPr>
      <w:r>
        <w:rPr>
          <w:i/>
          <w:color w:val="555555"/>
          <w:sz w:val="18"/>
        </w:rPr>
        <w:t>Internal working document</w:t>
      </w:r>
    </w:p>
    <w:p w14:paraId="08CC9050" w14:textId="77777777" w:rsidR="008E5FBD" w:rsidRDefault="00000000">
      <w:pPr>
        <w:rPr>
          <w:rFonts w:hint="eastAsia"/>
        </w:rPr>
      </w:pPr>
      <w:r>
        <w:br w:type="page"/>
      </w:r>
    </w:p>
    <w:p w14:paraId="2AC900B1" w14:textId="77777777" w:rsidR="008E5FBD" w:rsidRDefault="00000000">
      <w:pPr>
        <w:pStyle w:val="Heading1"/>
      </w:pPr>
      <w:r>
        <w:lastRenderedPageBreak/>
        <w:t>Executive Summary</w:t>
      </w:r>
    </w:p>
    <w:p w14:paraId="7C2C3F8B" w14:textId="77777777" w:rsidR="008E5FBD" w:rsidRDefault="00000000">
      <w:pPr>
        <w:pStyle w:val="ExecutiveSummary"/>
        <w:rPr>
          <w:rFonts w:hint="eastAsia"/>
        </w:rPr>
      </w:pPr>
      <w:r>
        <w:t>The workshop paper should be a complete, workshop-ready reframing of the withdrawn NeurIPS Datasets and Benchmarks submission, not a shortened rebuttal. Its central interdisciplinary message is that a web agent can reach a nominal endpoint while violating the user’s financial interests, privacy, consent, autonomy, or organizational constraints. The paper should therefore evaluate trustworthy completion rather than task success alone.</w:t>
      </w:r>
    </w:p>
    <w:p w14:paraId="488EAF02" w14:textId="77777777" w:rsidR="008E5FBD" w:rsidRDefault="00000000">
      <w:pPr>
        <w:pStyle w:val="ExecutiveSummary"/>
        <w:rPr>
          <w:rFonts w:hint="eastAsia"/>
        </w:rPr>
      </w:pPr>
      <w:r>
        <w:t>The August 9 version implements A-C: trustworthy-AI-for-Good positioning, formal task and harm documentation, reanalysis of existing logs, expanded and verified literature, a complete 2-8 page workshop manuscript, a repaired reproducibility artifact, and a Future Work/Research Agenda section that already specifies D, E, and the longer-term extensions. The August 16 version adds D: one additional stronger agent configuration under the unchanged benchmark protocol. If time permits, Ke may deliver an optional third revision by August 24 with completed E experiments. Such results should remain in the workshop supplementary material and be considered for the main paper of the next full conference submission.</w:t>
      </w:r>
    </w:p>
    <w:tbl>
      <w:tblPr>
        <w:tblStyle w:val="TableGrid"/>
        <w:tblW w:w="0" w:type="auto"/>
        <w:jc w:val="center"/>
        <w:tblLook w:val="04A0" w:firstRow="1" w:lastRow="0" w:firstColumn="1" w:lastColumn="0" w:noHBand="0" w:noVBand="1"/>
      </w:tblPr>
      <w:tblGrid>
        <w:gridCol w:w="10166"/>
      </w:tblGrid>
      <w:tr w:rsidR="008E5FBD" w14:paraId="7CB5BC76" w14:textId="77777777">
        <w:trPr>
          <w:jc w:val="center"/>
        </w:trPr>
        <w:tc>
          <w:tcPr>
            <w:tcW w:w="10166" w:type="dxa"/>
            <w:shd w:val="clear" w:color="auto" w:fill="E2F0D9"/>
            <w:tcMar>
              <w:top w:w="100" w:type="dxa"/>
              <w:left w:w="130" w:type="dxa"/>
              <w:bottom w:w="100" w:type="dxa"/>
              <w:right w:w="130" w:type="dxa"/>
            </w:tcMar>
          </w:tcPr>
          <w:p w14:paraId="24DCAEC7" w14:textId="77777777" w:rsidR="008E5FBD" w:rsidRDefault="00000000">
            <w:pPr>
              <w:spacing w:after="40"/>
              <w:rPr>
                <w:rFonts w:hint="eastAsia"/>
              </w:rPr>
            </w:pPr>
            <w:r>
              <w:rPr>
                <w:b/>
                <w:color w:val="1F3758"/>
                <w:sz w:val="20"/>
              </w:rPr>
              <w:t>Primary claim for the workshop</w:t>
            </w:r>
          </w:p>
          <w:p w14:paraId="4129D3F9" w14:textId="77777777" w:rsidR="008E5FBD" w:rsidRDefault="00000000">
            <w:pPr>
              <w:spacing w:after="0"/>
              <w:rPr>
                <w:rFonts w:hint="eastAsia"/>
              </w:rPr>
            </w:pPr>
            <w:r>
              <w:rPr>
                <w:sz w:val="18"/>
              </w:rPr>
              <w:t>Binary task success is insufficient for delegated web agents. Trustworthy completion requires evidence that the agent reached the user’s goal without taking an annotated unsafe path, and that execution-time safeguards can be evaluated through controlled, auditable interventions.</w:t>
            </w:r>
          </w:p>
        </w:tc>
      </w:tr>
    </w:tbl>
    <w:p w14:paraId="630C063B" w14:textId="77777777" w:rsidR="008E5FBD" w:rsidRDefault="008E5FBD">
      <w:pPr>
        <w:spacing w:after="0"/>
        <w:rPr>
          <w:rFonts w:hint="eastAsia"/>
        </w:rPr>
      </w:pPr>
    </w:p>
    <w:p w14:paraId="5F57FFF1" w14:textId="77777777" w:rsidR="008E5FBD" w:rsidRDefault="00000000">
      <w:pPr>
        <w:pStyle w:val="Heading1"/>
      </w:pPr>
      <w:r>
        <w:t>1. Target, Scope, and Non-Negotiable Positioning</w:t>
      </w:r>
    </w:p>
    <w:p w14:paraId="4E0299B7" w14:textId="77777777" w:rsidR="008E5FBD" w:rsidRDefault="00000000">
      <w:pPr>
        <w:rPr>
          <w:rFonts w:hint="eastAsia"/>
        </w:rPr>
      </w:pPr>
      <w:r>
        <w:t>The official workshop call welcomes evaluation, auditing, and red-teaming of harmful behaviors and failure modes, as well as evaluation frameworks that demonstrate real-world benefit and avoid unintended harms at population scale. The General Track is the best fit. The workshop accepts 2-8 pages excluding references and appendices, uses double-blind review, is non-archival, and has an August 29, 2026 AoE submission deadline.</w:t>
      </w:r>
    </w:p>
    <w:p w14:paraId="54CFE12A" w14:textId="77777777" w:rsidR="008E5FBD" w:rsidRDefault="00000000">
      <w:pPr>
        <w:pStyle w:val="SmallNote"/>
        <w:rPr>
          <w:rFonts w:hint="eastAsia"/>
        </w:rPr>
      </w:pPr>
      <w:r>
        <w:t xml:space="preserve">Verified source: </w:t>
      </w:r>
      <w:hyperlink r:id="rId8">
        <w:r>
          <w:rPr>
            <w:color w:val="0563C1"/>
            <w:u w:val="single"/>
          </w:rPr>
          <w:t>Trustworthy AI for Good @ NeurIPS 2026 - Call for Papers</w:t>
        </w:r>
      </w:hyperlink>
    </w:p>
    <w:p w14:paraId="45FDE060" w14:textId="77777777" w:rsidR="008E5FBD" w:rsidRDefault="00000000">
      <w:pPr>
        <w:pStyle w:val="Heading2"/>
      </w:pPr>
      <w:r>
        <w:t>1.1 Working title</w:t>
      </w:r>
    </w:p>
    <w:p w14:paraId="37958DBB" w14:textId="77777777" w:rsidR="008E5FBD" w:rsidRDefault="00000000">
      <w:pPr>
        <w:rPr>
          <w:rFonts w:hint="eastAsia"/>
        </w:rPr>
      </w:pPr>
      <w:r>
        <w:t>Trustworthy Completion for Web Agents: A Benchmark and Research Agenda for Execution-Time Safeguards</w:t>
      </w:r>
    </w:p>
    <w:p w14:paraId="7F6B0404" w14:textId="77777777" w:rsidR="008E5FBD" w:rsidRDefault="00000000">
      <w:pPr>
        <w:pStyle w:val="SmallNote"/>
        <w:rPr>
          <w:rFonts w:hint="eastAsia"/>
        </w:rPr>
      </w:pPr>
      <w:r>
        <w:t>Use this exact title for registration unless Sunshine later shortens it. It is technically precise while remaining understandable to researchers in AI safety, human-computer interaction, economics, public policy, law, and social science.</w:t>
      </w:r>
    </w:p>
    <w:p w14:paraId="4785F96D" w14:textId="77777777" w:rsidR="008E5FBD" w:rsidRDefault="00000000">
      <w:pPr>
        <w:pStyle w:val="Heading2"/>
      </w:pPr>
      <w:r>
        <w:t>1.2 Revised central research question</w:t>
      </w:r>
    </w:p>
    <w:tbl>
      <w:tblPr>
        <w:tblStyle w:val="TableGrid"/>
        <w:tblW w:w="0" w:type="auto"/>
        <w:jc w:val="center"/>
        <w:tblLook w:val="04A0" w:firstRow="1" w:lastRow="0" w:firstColumn="1" w:lastColumn="0" w:noHBand="0" w:noVBand="1"/>
      </w:tblPr>
      <w:tblGrid>
        <w:gridCol w:w="10166"/>
      </w:tblGrid>
      <w:tr w:rsidR="008E5FBD" w14:paraId="0BB89307" w14:textId="77777777">
        <w:trPr>
          <w:jc w:val="center"/>
        </w:trPr>
        <w:tc>
          <w:tcPr>
            <w:tcW w:w="10166" w:type="dxa"/>
            <w:shd w:val="clear" w:color="auto" w:fill="FFF2CC"/>
            <w:tcMar>
              <w:top w:w="100" w:type="dxa"/>
              <w:left w:w="130" w:type="dxa"/>
              <w:bottom w:w="100" w:type="dxa"/>
              <w:right w:w="130" w:type="dxa"/>
            </w:tcMar>
          </w:tcPr>
          <w:p w14:paraId="79BE9AB1" w14:textId="77777777" w:rsidR="008E5FBD" w:rsidRDefault="00000000">
            <w:pPr>
              <w:spacing w:after="40"/>
              <w:rPr>
                <w:rFonts w:hint="eastAsia"/>
              </w:rPr>
            </w:pPr>
            <w:r>
              <w:rPr>
                <w:b/>
                <w:color w:val="1F3758"/>
                <w:sz w:val="20"/>
              </w:rPr>
              <w:t>Research question</w:t>
            </w:r>
          </w:p>
          <w:p w14:paraId="20417F2D" w14:textId="77777777" w:rsidR="008E5FBD" w:rsidRDefault="00000000">
            <w:pPr>
              <w:spacing w:after="0"/>
              <w:rPr>
                <w:rFonts w:hint="eastAsia"/>
              </w:rPr>
            </w:pPr>
            <w:r>
              <w:rPr>
                <w:sz w:val="18"/>
              </w:rPr>
              <w:t>How should web agents be evaluated when nominal task completion may compromise the user’s financial interests, privacy, informed consent, autonomy, or policy constraints - and how can execution-time safeguards be tested without conflating warning design, risk detection, and agent capability?</w:t>
            </w:r>
          </w:p>
        </w:tc>
      </w:tr>
    </w:tbl>
    <w:p w14:paraId="42ED376E" w14:textId="77777777" w:rsidR="008E5FBD" w:rsidRDefault="008E5FBD">
      <w:pPr>
        <w:spacing w:after="0"/>
        <w:rPr>
          <w:rFonts w:hint="eastAsia"/>
        </w:rPr>
      </w:pPr>
    </w:p>
    <w:p w14:paraId="2174402B" w14:textId="77777777" w:rsidR="008E5FBD" w:rsidRDefault="00000000">
      <w:pPr>
        <w:pStyle w:val="Heading2"/>
        <w:rPr>
          <w:rFonts w:hint="eastAsia"/>
          <w:lang w:eastAsia="zh-CN"/>
        </w:rPr>
      </w:pPr>
      <w:r>
        <w:t>1.3 Contribution structure</w:t>
      </w:r>
    </w:p>
    <w:p w14:paraId="03CE76DC" w14:textId="77777777" w:rsidR="008E5FBD" w:rsidRDefault="00000000">
      <w:pPr>
        <w:pStyle w:val="ListNumber"/>
        <w:spacing w:after="40"/>
        <w:rPr>
          <w:rFonts w:hint="eastAsia"/>
        </w:rPr>
      </w:pPr>
      <w:r>
        <w:t>Safe-completion framework: distinguish nominal completion from completion that protects stakeholder interests.</w:t>
      </w:r>
    </w:p>
    <w:p w14:paraId="22B2831B" w14:textId="77777777" w:rsidR="008E5FBD" w:rsidRDefault="00000000">
      <w:pPr>
        <w:pStyle w:val="ListNumber"/>
        <w:spacing w:after="40"/>
        <w:rPr>
          <w:rFonts w:hint="eastAsia"/>
        </w:rPr>
      </w:pPr>
      <w:r>
        <w:t>Reproducible benchmark scaffold: retain the local sandbox, risk annotations, matched warning channels, four-way outcomes, and deterministic scoring.</w:t>
      </w:r>
    </w:p>
    <w:p w14:paraId="355C6A97" w14:textId="77777777" w:rsidR="008E5FBD" w:rsidRDefault="00000000">
      <w:pPr>
        <w:pStyle w:val="ListNumber"/>
        <w:spacing w:after="40"/>
        <w:rPr>
          <w:rFonts w:hint="eastAsia"/>
        </w:rPr>
      </w:pPr>
      <w:r>
        <w:t>Research agenda for safeguards: make agent backbone, warning wording, channel, trigger quality, deceptive pattern, and harm category separately testable.</w:t>
      </w:r>
    </w:p>
    <w:p w14:paraId="3571FD25" w14:textId="77777777" w:rsidR="008E5FBD" w:rsidRDefault="00000000" w:rsidP="00AC0536">
      <w:pPr>
        <w:pStyle w:val="Heading2"/>
        <w:rPr>
          <w:rFonts w:hint="eastAsia"/>
          <w:lang w:eastAsia="zh-CN"/>
        </w:rPr>
      </w:pPr>
      <w:r>
        <w:t>1.4 Claims hierarchy</w:t>
      </w:r>
    </w:p>
    <w:tbl>
      <w:tblPr>
        <w:tblStyle w:val="TableGrid"/>
        <w:tblW w:w="0" w:type="auto"/>
        <w:jc w:val="center"/>
        <w:tblLook w:val="04A0" w:firstRow="1" w:lastRow="0" w:firstColumn="1" w:lastColumn="0" w:noHBand="0" w:noVBand="1"/>
      </w:tblPr>
      <w:tblGrid>
        <w:gridCol w:w="1656"/>
        <w:gridCol w:w="4536"/>
        <w:gridCol w:w="3600"/>
      </w:tblGrid>
      <w:tr w:rsidR="008E5FBD" w14:paraId="6617261A" w14:textId="77777777">
        <w:trPr>
          <w:tblHeader/>
          <w:jc w:val="center"/>
        </w:trPr>
        <w:tc>
          <w:tcPr>
            <w:tcW w:w="1656" w:type="dxa"/>
            <w:shd w:val="clear" w:color="auto" w:fill="D9EAF7"/>
            <w:tcMar>
              <w:top w:w="70" w:type="dxa"/>
              <w:left w:w="90" w:type="dxa"/>
              <w:bottom w:w="70" w:type="dxa"/>
              <w:right w:w="90" w:type="dxa"/>
            </w:tcMar>
            <w:vAlign w:val="center"/>
          </w:tcPr>
          <w:p w14:paraId="7109498F" w14:textId="77777777" w:rsidR="008E5FBD" w:rsidRDefault="00000000">
            <w:pPr>
              <w:spacing w:after="0" w:line="240" w:lineRule="auto"/>
              <w:rPr>
                <w:rFonts w:hint="eastAsia"/>
              </w:rPr>
            </w:pPr>
            <w:r>
              <w:rPr>
                <w:b/>
                <w:color w:val="1F3758"/>
                <w:sz w:val="16"/>
              </w:rPr>
              <w:t>Claim class</w:t>
            </w:r>
          </w:p>
        </w:tc>
        <w:tc>
          <w:tcPr>
            <w:tcW w:w="4536" w:type="dxa"/>
            <w:shd w:val="clear" w:color="auto" w:fill="D9EAF7"/>
            <w:tcMar>
              <w:top w:w="70" w:type="dxa"/>
              <w:left w:w="90" w:type="dxa"/>
              <w:bottom w:w="70" w:type="dxa"/>
              <w:right w:w="90" w:type="dxa"/>
            </w:tcMar>
            <w:vAlign w:val="center"/>
          </w:tcPr>
          <w:p w14:paraId="0C57D9FB" w14:textId="77777777" w:rsidR="008E5FBD" w:rsidRDefault="00000000">
            <w:pPr>
              <w:spacing w:after="0" w:line="240" w:lineRule="auto"/>
              <w:rPr>
                <w:rFonts w:hint="eastAsia"/>
              </w:rPr>
            </w:pPr>
            <w:r>
              <w:rPr>
                <w:b/>
                <w:color w:val="1F3758"/>
                <w:sz w:val="16"/>
              </w:rPr>
              <w:t>What the workshop paper may state</w:t>
            </w:r>
          </w:p>
        </w:tc>
        <w:tc>
          <w:tcPr>
            <w:tcW w:w="3600" w:type="dxa"/>
            <w:shd w:val="clear" w:color="auto" w:fill="D9EAF7"/>
            <w:tcMar>
              <w:top w:w="70" w:type="dxa"/>
              <w:left w:w="90" w:type="dxa"/>
              <w:bottom w:w="70" w:type="dxa"/>
              <w:right w:w="90" w:type="dxa"/>
            </w:tcMar>
            <w:vAlign w:val="center"/>
          </w:tcPr>
          <w:p w14:paraId="21521C5F" w14:textId="77777777" w:rsidR="008E5FBD" w:rsidRDefault="00000000">
            <w:pPr>
              <w:spacing w:after="0" w:line="240" w:lineRule="auto"/>
              <w:rPr>
                <w:rFonts w:hint="eastAsia"/>
              </w:rPr>
            </w:pPr>
            <w:r>
              <w:rPr>
                <w:b/>
                <w:color w:val="1F3758"/>
                <w:sz w:val="16"/>
              </w:rPr>
              <w:t>What it must not imply</w:t>
            </w:r>
          </w:p>
        </w:tc>
      </w:tr>
      <w:tr w:rsidR="008E5FBD" w14:paraId="7A66860F" w14:textId="77777777">
        <w:trPr>
          <w:jc w:val="center"/>
        </w:trPr>
        <w:tc>
          <w:tcPr>
            <w:tcW w:w="1656" w:type="dxa"/>
            <w:tcMar>
              <w:top w:w="70" w:type="dxa"/>
              <w:left w:w="90" w:type="dxa"/>
              <w:bottom w:w="70" w:type="dxa"/>
              <w:right w:w="90" w:type="dxa"/>
            </w:tcMar>
            <w:vAlign w:val="center"/>
          </w:tcPr>
          <w:p w14:paraId="211D9920" w14:textId="77777777" w:rsidR="008E5FBD" w:rsidRDefault="00000000">
            <w:pPr>
              <w:spacing w:after="0" w:line="240" w:lineRule="auto"/>
              <w:rPr>
                <w:rFonts w:hint="eastAsia"/>
              </w:rPr>
            </w:pPr>
            <w:r>
              <w:rPr>
                <w:sz w:val="16"/>
              </w:rPr>
              <w:lastRenderedPageBreak/>
              <w:t>Supported now</w:t>
            </w:r>
          </w:p>
        </w:tc>
        <w:tc>
          <w:tcPr>
            <w:tcW w:w="4536" w:type="dxa"/>
            <w:tcMar>
              <w:top w:w="70" w:type="dxa"/>
              <w:left w:w="90" w:type="dxa"/>
              <w:bottom w:w="70" w:type="dxa"/>
              <w:right w:w="90" w:type="dxa"/>
            </w:tcMar>
            <w:vAlign w:val="center"/>
          </w:tcPr>
          <w:p w14:paraId="078826C3" w14:textId="77777777" w:rsidR="008E5FBD" w:rsidRDefault="00000000">
            <w:pPr>
              <w:spacing w:after="0" w:line="240" w:lineRule="auto"/>
              <w:rPr>
                <w:rFonts w:hint="eastAsia"/>
              </w:rPr>
            </w:pPr>
            <w:r>
              <w:rPr>
                <w:sz w:val="16"/>
              </w:rPr>
              <w:t>Binary success hides unsafe completion; the four-way schema is operational; deterministic scoring supports auditable intervention studies.</w:t>
            </w:r>
          </w:p>
        </w:tc>
        <w:tc>
          <w:tcPr>
            <w:tcW w:w="3600" w:type="dxa"/>
            <w:tcMar>
              <w:top w:w="70" w:type="dxa"/>
              <w:left w:w="90" w:type="dxa"/>
              <w:bottom w:w="70" w:type="dxa"/>
              <w:right w:w="90" w:type="dxa"/>
            </w:tcMar>
            <w:vAlign w:val="center"/>
          </w:tcPr>
          <w:p w14:paraId="0D43BAEB" w14:textId="77777777" w:rsidR="008E5FBD" w:rsidRDefault="00000000">
            <w:pPr>
              <w:spacing w:after="0" w:line="240" w:lineRule="auto"/>
              <w:rPr>
                <w:rFonts w:hint="eastAsia"/>
              </w:rPr>
            </w:pPr>
            <w:r>
              <w:rPr>
                <w:sz w:val="16"/>
              </w:rPr>
              <w:t>That the benchmark is comprehensive or that one warning channel is generally superior.</w:t>
            </w:r>
          </w:p>
        </w:tc>
      </w:tr>
      <w:tr w:rsidR="008E5FBD" w14:paraId="47696F23" w14:textId="77777777">
        <w:trPr>
          <w:jc w:val="center"/>
        </w:trPr>
        <w:tc>
          <w:tcPr>
            <w:tcW w:w="1656" w:type="dxa"/>
            <w:shd w:val="clear" w:color="auto" w:fill="F4F7FA"/>
            <w:tcMar>
              <w:top w:w="70" w:type="dxa"/>
              <w:left w:w="90" w:type="dxa"/>
              <w:bottom w:w="70" w:type="dxa"/>
              <w:right w:w="90" w:type="dxa"/>
            </w:tcMar>
            <w:vAlign w:val="center"/>
          </w:tcPr>
          <w:p w14:paraId="4A31F299" w14:textId="77777777" w:rsidR="008E5FBD" w:rsidRDefault="00000000">
            <w:pPr>
              <w:spacing w:after="0" w:line="240" w:lineRule="auto"/>
              <w:rPr>
                <w:rFonts w:hint="eastAsia"/>
              </w:rPr>
            </w:pPr>
            <w:r>
              <w:rPr>
                <w:sz w:val="16"/>
              </w:rPr>
              <w:t>Pilot-specific</w:t>
            </w:r>
          </w:p>
        </w:tc>
        <w:tc>
          <w:tcPr>
            <w:tcW w:w="4536" w:type="dxa"/>
            <w:shd w:val="clear" w:color="auto" w:fill="F4F7FA"/>
            <w:tcMar>
              <w:top w:w="70" w:type="dxa"/>
              <w:left w:w="90" w:type="dxa"/>
              <w:bottom w:w="70" w:type="dxa"/>
              <w:right w:w="90" w:type="dxa"/>
            </w:tcMar>
            <w:vAlign w:val="center"/>
          </w:tcPr>
          <w:p w14:paraId="7934A8E0" w14:textId="77777777" w:rsidR="008E5FBD" w:rsidRDefault="00000000">
            <w:pPr>
              <w:spacing w:after="0" w:line="240" w:lineRule="auto"/>
              <w:rPr>
                <w:rFonts w:hint="eastAsia"/>
              </w:rPr>
            </w:pPr>
            <w:r>
              <w:rPr>
                <w:sz w:val="16"/>
              </w:rPr>
              <w:t>For BrowserUse with Amazon Nova Lite v1 on the current nine tasks and sample size, no channel effect was detected.</w:t>
            </w:r>
          </w:p>
        </w:tc>
        <w:tc>
          <w:tcPr>
            <w:tcW w:w="3600" w:type="dxa"/>
            <w:shd w:val="clear" w:color="auto" w:fill="F4F7FA"/>
            <w:tcMar>
              <w:top w:w="70" w:type="dxa"/>
              <w:left w:w="90" w:type="dxa"/>
              <w:bottom w:w="70" w:type="dxa"/>
              <w:right w:w="90" w:type="dxa"/>
            </w:tcMar>
            <w:vAlign w:val="center"/>
          </w:tcPr>
          <w:p w14:paraId="743F9CA6" w14:textId="77777777" w:rsidR="008E5FBD" w:rsidRDefault="00000000">
            <w:pPr>
              <w:spacing w:after="0" w:line="240" w:lineRule="auto"/>
              <w:rPr>
                <w:rFonts w:hint="eastAsia"/>
              </w:rPr>
            </w:pPr>
            <w:r>
              <w:rPr>
                <w:sz w:val="16"/>
              </w:rPr>
              <w:t>That execution-time warnings are ineffective for web agents in general.</w:t>
            </w:r>
          </w:p>
        </w:tc>
      </w:tr>
      <w:tr w:rsidR="008E5FBD" w14:paraId="434ADA63" w14:textId="77777777">
        <w:trPr>
          <w:jc w:val="center"/>
        </w:trPr>
        <w:tc>
          <w:tcPr>
            <w:tcW w:w="1656" w:type="dxa"/>
            <w:tcMar>
              <w:top w:w="70" w:type="dxa"/>
              <w:left w:w="90" w:type="dxa"/>
              <w:bottom w:w="70" w:type="dxa"/>
              <w:right w:w="90" w:type="dxa"/>
            </w:tcMar>
            <w:vAlign w:val="center"/>
          </w:tcPr>
          <w:p w14:paraId="32D95BAC" w14:textId="77777777" w:rsidR="008E5FBD" w:rsidRDefault="00000000">
            <w:pPr>
              <w:spacing w:after="0" w:line="240" w:lineRule="auto"/>
              <w:rPr>
                <w:rFonts w:hint="eastAsia"/>
              </w:rPr>
            </w:pPr>
            <w:r>
              <w:rPr>
                <w:sz w:val="16"/>
              </w:rPr>
              <w:t>Research agenda</w:t>
            </w:r>
          </w:p>
        </w:tc>
        <w:tc>
          <w:tcPr>
            <w:tcW w:w="4536" w:type="dxa"/>
            <w:tcMar>
              <w:top w:w="70" w:type="dxa"/>
              <w:left w:w="90" w:type="dxa"/>
              <w:bottom w:w="70" w:type="dxa"/>
              <w:right w:w="90" w:type="dxa"/>
            </w:tcMar>
            <w:vAlign w:val="center"/>
          </w:tcPr>
          <w:p w14:paraId="579E93AC" w14:textId="77777777" w:rsidR="008E5FBD" w:rsidRDefault="00000000">
            <w:pPr>
              <w:spacing w:after="0" w:line="240" w:lineRule="auto"/>
              <w:rPr>
                <w:rFonts w:hint="eastAsia"/>
              </w:rPr>
            </w:pPr>
            <w:r>
              <w:rPr>
                <w:sz w:val="16"/>
              </w:rPr>
              <w:t>The benchmark architecture supports cross-agent, wording, trigger, pattern, and human-calibration studies.</w:t>
            </w:r>
          </w:p>
        </w:tc>
        <w:tc>
          <w:tcPr>
            <w:tcW w:w="3600" w:type="dxa"/>
            <w:tcMar>
              <w:top w:w="70" w:type="dxa"/>
              <w:left w:w="90" w:type="dxa"/>
              <w:bottom w:w="70" w:type="dxa"/>
              <w:right w:w="90" w:type="dxa"/>
            </w:tcMar>
            <w:vAlign w:val="center"/>
          </w:tcPr>
          <w:p w14:paraId="7994248B" w14:textId="77777777" w:rsidR="008E5FBD" w:rsidRDefault="00000000">
            <w:pPr>
              <w:spacing w:after="0" w:line="240" w:lineRule="auto"/>
              <w:rPr>
                <w:rFonts w:hint="eastAsia"/>
              </w:rPr>
            </w:pPr>
            <w:r>
              <w:rPr>
                <w:sz w:val="16"/>
              </w:rPr>
              <w:t>That planned extensions have already been executed or validated.</w:t>
            </w:r>
          </w:p>
        </w:tc>
      </w:tr>
    </w:tbl>
    <w:p w14:paraId="29A8E567" w14:textId="77777777" w:rsidR="008E5FBD" w:rsidRDefault="008E5FBD">
      <w:pPr>
        <w:spacing w:after="0"/>
        <w:rPr>
          <w:rFonts w:hint="eastAsia"/>
        </w:rPr>
      </w:pPr>
    </w:p>
    <w:p w14:paraId="4F75674D" w14:textId="77777777" w:rsidR="008E5FBD" w:rsidRDefault="00000000">
      <w:pPr>
        <w:pStyle w:val="Heading1"/>
      </w:pPr>
      <w:r>
        <w:t>2. Ownership and Milestone Schedule</w:t>
      </w:r>
    </w:p>
    <w:p w14:paraId="6608C85E" w14:textId="77777777" w:rsidR="008E5FBD" w:rsidRDefault="00000000">
      <w:pPr>
        <w:rPr>
          <w:rFonts w:hint="eastAsia"/>
        </w:rPr>
      </w:pPr>
      <w:r>
        <w:t>Ke has only two formal delivery deadlines. All other dated actions, submission updates, optional experiments, and final decisions are owned by Sunshine.</w:t>
      </w:r>
    </w:p>
    <w:tbl>
      <w:tblPr>
        <w:tblStyle w:val="TableGrid"/>
        <w:tblW w:w="0" w:type="auto"/>
        <w:jc w:val="center"/>
        <w:tblLook w:val="04A0" w:firstRow="1" w:lastRow="0" w:firstColumn="1" w:lastColumn="0" w:noHBand="0" w:noVBand="1"/>
      </w:tblPr>
      <w:tblGrid>
        <w:gridCol w:w="1296"/>
        <w:gridCol w:w="1152"/>
        <w:gridCol w:w="7488"/>
      </w:tblGrid>
      <w:tr w:rsidR="008E5FBD" w14:paraId="00B55CA7" w14:textId="77777777">
        <w:trPr>
          <w:tblHeader/>
          <w:jc w:val="center"/>
        </w:trPr>
        <w:tc>
          <w:tcPr>
            <w:tcW w:w="1296" w:type="dxa"/>
            <w:shd w:val="clear" w:color="auto" w:fill="D9EAF7"/>
            <w:tcMar>
              <w:top w:w="70" w:type="dxa"/>
              <w:left w:w="90" w:type="dxa"/>
              <w:bottom w:w="70" w:type="dxa"/>
              <w:right w:w="90" w:type="dxa"/>
            </w:tcMar>
            <w:vAlign w:val="center"/>
          </w:tcPr>
          <w:p w14:paraId="79FB9E5A" w14:textId="77777777" w:rsidR="008E5FBD" w:rsidRDefault="00000000">
            <w:pPr>
              <w:spacing w:after="0" w:line="240" w:lineRule="auto"/>
              <w:rPr>
                <w:rFonts w:hint="eastAsia"/>
              </w:rPr>
            </w:pPr>
            <w:r>
              <w:rPr>
                <w:b/>
                <w:color w:val="1F3758"/>
                <w:sz w:val="16"/>
              </w:rPr>
              <w:t>Date</w:t>
            </w:r>
          </w:p>
        </w:tc>
        <w:tc>
          <w:tcPr>
            <w:tcW w:w="1152" w:type="dxa"/>
            <w:shd w:val="clear" w:color="auto" w:fill="D9EAF7"/>
            <w:tcMar>
              <w:top w:w="70" w:type="dxa"/>
              <w:left w:w="90" w:type="dxa"/>
              <w:bottom w:w="70" w:type="dxa"/>
              <w:right w:w="90" w:type="dxa"/>
            </w:tcMar>
            <w:vAlign w:val="center"/>
          </w:tcPr>
          <w:p w14:paraId="44F6EB97" w14:textId="77777777" w:rsidR="008E5FBD" w:rsidRDefault="00000000">
            <w:pPr>
              <w:spacing w:after="0" w:line="240" w:lineRule="auto"/>
              <w:rPr>
                <w:rFonts w:hint="eastAsia"/>
              </w:rPr>
            </w:pPr>
            <w:r>
              <w:rPr>
                <w:b/>
                <w:color w:val="1F3758"/>
                <w:sz w:val="16"/>
              </w:rPr>
              <w:t>Owner</w:t>
            </w:r>
          </w:p>
        </w:tc>
        <w:tc>
          <w:tcPr>
            <w:tcW w:w="7488" w:type="dxa"/>
            <w:shd w:val="clear" w:color="auto" w:fill="D9EAF7"/>
            <w:tcMar>
              <w:top w:w="70" w:type="dxa"/>
              <w:left w:w="90" w:type="dxa"/>
              <w:bottom w:w="70" w:type="dxa"/>
              <w:right w:w="90" w:type="dxa"/>
            </w:tcMar>
            <w:vAlign w:val="center"/>
          </w:tcPr>
          <w:p w14:paraId="4FB8D44D" w14:textId="77777777" w:rsidR="008E5FBD" w:rsidRDefault="00000000">
            <w:pPr>
              <w:spacing w:after="0" w:line="240" w:lineRule="auto"/>
              <w:rPr>
                <w:rFonts w:hint="eastAsia"/>
              </w:rPr>
            </w:pPr>
            <w:r>
              <w:rPr>
                <w:b/>
                <w:color w:val="1F3758"/>
                <w:sz w:val="16"/>
              </w:rPr>
              <w:t>Required work</w:t>
            </w:r>
          </w:p>
        </w:tc>
      </w:tr>
      <w:tr w:rsidR="008E5FBD" w14:paraId="394D31BE" w14:textId="77777777">
        <w:trPr>
          <w:jc w:val="center"/>
        </w:trPr>
        <w:tc>
          <w:tcPr>
            <w:tcW w:w="1296" w:type="dxa"/>
            <w:tcMar>
              <w:top w:w="70" w:type="dxa"/>
              <w:left w:w="90" w:type="dxa"/>
              <w:bottom w:w="70" w:type="dxa"/>
              <w:right w:w="90" w:type="dxa"/>
            </w:tcMar>
            <w:vAlign w:val="center"/>
          </w:tcPr>
          <w:p w14:paraId="48B01B81" w14:textId="77777777" w:rsidR="008E5FBD" w:rsidRDefault="00000000">
            <w:pPr>
              <w:spacing w:after="0" w:line="240" w:lineRule="auto"/>
              <w:rPr>
                <w:rFonts w:hint="eastAsia"/>
              </w:rPr>
            </w:pPr>
            <w:r>
              <w:rPr>
                <w:sz w:val="16"/>
              </w:rPr>
              <w:t>July 31</w:t>
            </w:r>
          </w:p>
        </w:tc>
        <w:tc>
          <w:tcPr>
            <w:tcW w:w="1152" w:type="dxa"/>
            <w:tcMar>
              <w:top w:w="70" w:type="dxa"/>
              <w:left w:w="90" w:type="dxa"/>
              <w:bottom w:w="70" w:type="dxa"/>
              <w:right w:w="90" w:type="dxa"/>
            </w:tcMar>
            <w:vAlign w:val="center"/>
          </w:tcPr>
          <w:p w14:paraId="271BFD7B" w14:textId="77777777" w:rsidR="008E5FBD" w:rsidRDefault="00000000">
            <w:pPr>
              <w:spacing w:after="0" w:line="240" w:lineRule="auto"/>
              <w:rPr>
                <w:rFonts w:hint="eastAsia"/>
              </w:rPr>
            </w:pPr>
            <w:r>
              <w:rPr>
                <w:sz w:val="16"/>
              </w:rPr>
              <w:t>Sunshine</w:t>
            </w:r>
          </w:p>
        </w:tc>
        <w:tc>
          <w:tcPr>
            <w:tcW w:w="7488" w:type="dxa"/>
            <w:tcMar>
              <w:top w:w="70" w:type="dxa"/>
              <w:left w:w="90" w:type="dxa"/>
              <w:bottom w:w="70" w:type="dxa"/>
              <w:right w:w="90" w:type="dxa"/>
            </w:tcMar>
            <w:vAlign w:val="center"/>
          </w:tcPr>
          <w:p w14:paraId="77D81FE9" w14:textId="77777777" w:rsidR="008E5FBD" w:rsidRDefault="00000000">
            <w:pPr>
              <w:spacing w:after="0" w:line="240" w:lineRule="auto"/>
              <w:rPr>
                <w:rFonts w:hint="eastAsia"/>
              </w:rPr>
            </w:pPr>
            <w:r>
              <w:rPr>
                <w:sz w:val="16"/>
              </w:rPr>
              <w:t>Register the workshop submission with the revised title and abstract; open the shared revision tracker; confirm the General Track.</w:t>
            </w:r>
          </w:p>
        </w:tc>
      </w:tr>
      <w:tr w:rsidR="008E5FBD" w14:paraId="51611B3F" w14:textId="77777777">
        <w:trPr>
          <w:jc w:val="center"/>
        </w:trPr>
        <w:tc>
          <w:tcPr>
            <w:tcW w:w="1296" w:type="dxa"/>
            <w:shd w:val="clear" w:color="auto" w:fill="F4F7FA"/>
            <w:tcMar>
              <w:top w:w="70" w:type="dxa"/>
              <w:left w:w="90" w:type="dxa"/>
              <w:bottom w:w="70" w:type="dxa"/>
              <w:right w:w="90" w:type="dxa"/>
            </w:tcMar>
            <w:vAlign w:val="center"/>
          </w:tcPr>
          <w:p w14:paraId="617A28DA" w14:textId="77777777" w:rsidR="008E5FBD" w:rsidRDefault="00000000">
            <w:pPr>
              <w:spacing w:after="0" w:line="240" w:lineRule="auto"/>
              <w:rPr>
                <w:rFonts w:hint="eastAsia"/>
              </w:rPr>
            </w:pPr>
            <w:r>
              <w:rPr>
                <w:sz w:val="16"/>
              </w:rPr>
              <w:t>August 9</w:t>
            </w:r>
          </w:p>
        </w:tc>
        <w:tc>
          <w:tcPr>
            <w:tcW w:w="1152" w:type="dxa"/>
            <w:shd w:val="clear" w:color="auto" w:fill="F4F7FA"/>
            <w:tcMar>
              <w:top w:w="70" w:type="dxa"/>
              <w:left w:w="90" w:type="dxa"/>
              <w:bottom w:w="70" w:type="dxa"/>
              <w:right w:w="90" w:type="dxa"/>
            </w:tcMar>
            <w:vAlign w:val="center"/>
          </w:tcPr>
          <w:p w14:paraId="267E2371" w14:textId="77777777" w:rsidR="008E5FBD" w:rsidRDefault="00000000">
            <w:pPr>
              <w:spacing w:after="0" w:line="240" w:lineRule="auto"/>
              <w:rPr>
                <w:rFonts w:hint="eastAsia"/>
              </w:rPr>
            </w:pPr>
            <w:r>
              <w:rPr>
                <w:sz w:val="16"/>
              </w:rPr>
              <w:t>Ke</w:t>
            </w:r>
          </w:p>
        </w:tc>
        <w:tc>
          <w:tcPr>
            <w:tcW w:w="7488" w:type="dxa"/>
            <w:shd w:val="clear" w:color="auto" w:fill="F4F7FA"/>
            <w:tcMar>
              <w:top w:w="70" w:type="dxa"/>
              <w:left w:w="90" w:type="dxa"/>
              <w:bottom w:w="70" w:type="dxa"/>
              <w:right w:w="90" w:type="dxa"/>
            </w:tcMar>
            <w:vAlign w:val="center"/>
          </w:tcPr>
          <w:p w14:paraId="50225D46" w14:textId="77777777" w:rsidR="008E5FBD" w:rsidRDefault="00000000">
            <w:pPr>
              <w:spacing w:after="0"/>
              <w:rPr>
                <w:rFonts w:hint="eastAsia"/>
              </w:rPr>
            </w:pPr>
            <w:r>
              <w:rPr>
                <w:sz w:val="16"/>
              </w:rPr>
              <w:t>Deliver complete Version 1 with A-C implemented, including manuscript, source, figures, supplement, bibliography, artifact update, revision log, and a Future Work/Research Agenda section covering D, E, and all other planned extensions.</w:t>
            </w:r>
          </w:p>
        </w:tc>
      </w:tr>
      <w:tr w:rsidR="008E5FBD" w14:paraId="0BA30C63" w14:textId="77777777">
        <w:trPr>
          <w:jc w:val="center"/>
        </w:trPr>
        <w:tc>
          <w:tcPr>
            <w:tcW w:w="1296" w:type="dxa"/>
            <w:tcMar>
              <w:top w:w="70" w:type="dxa"/>
              <w:left w:w="90" w:type="dxa"/>
              <w:bottom w:w="70" w:type="dxa"/>
              <w:right w:w="90" w:type="dxa"/>
            </w:tcMar>
            <w:vAlign w:val="center"/>
          </w:tcPr>
          <w:p w14:paraId="155F3168" w14:textId="77777777" w:rsidR="008E5FBD" w:rsidRDefault="00000000">
            <w:pPr>
              <w:spacing w:after="0" w:line="240" w:lineRule="auto"/>
              <w:rPr>
                <w:rFonts w:hint="eastAsia"/>
              </w:rPr>
            </w:pPr>
            <w:r>
              <w:rPr>
                <w:sz w:val="16"/>
              </w:rPr>
              <w:t>August 10-11</w:t>
            </w:r>
          </w:p>
        </w:tc>
        <w:tc>
          <w:tcPr>
            <w:tcW w:w="1152" w:type="dxa"/>
            <w:tcMar>
              <w:top w:w="70" w:type="dxa"/>
              <w:left w:w="90" w:type="dxa"/>
              <w:bottom w:w="70" w:type="dxa"/>
              <w:right w:w="90" w:type="dxa"/>
            </w:tcMar>
            <w:vAlign w:val="center"/>
          </w:tcPr>
          <w:p w14:paraId="7FF71D5F" w14:textId="77777777" w:rsidR="008E5FBD" w:rsidRDefault="00000000">
            <w:pPr>
              <w:spacing w:after="0" w:line="240" w:lineRule="auto"/>
              <w:rPr>
                <w:rFonts w:hint="eastAsia"/>
              </w:rPr>
            </w:pPr>
            <w:r>
              <w:rPr>
                <w:sz w:val="16"/>
              </w:rPr>
              <w:t>Sunshine</w:t>
            </w:r>
          </w:p>
        </w:tc>
        <w:tc>
          <w:tcPr>
            <w:tcW w:w="7488" w:type="dxa"/>
            <w:tcMar>
              <w:top w:w="70" w:type="dxa"/>
              <w:left w:w="90" w:type="dxa"/>
              <w:bottom w:w="70" w:type="dxa"/>
              <w:right w:w="90" w:type="dxa"/>
            </w:tcMar>
            <w:vAlign w:val="center"/>
          </w:tcPr>
          <w:p w14:paraId="462EC75D" w14:textId="77777777" w:rsidR="008E5FBD" w:rsidRDefault="00000000">
            <w:pPr>
              <w:spacing w:after="0" w:line="240" w:lineRule="auto"/>
              <w:rPr>
                <w:rFonts w:hint="eastAsia"/>
              </w:rPr>
            </w:pPr>
            <w:r>
              <w:rPr>
                <w:sz w:val="16"/>
              </w:rPr>
              <w:t>Review Version 1; consolidate editorial and scientific decisions; update the OpenReview registration if needed.</w:t>
            </w:r>
          </w:p>
        </w:tc>
      </w:tr>
      <w:tr w:rsidR="008E5FBD" w14:paraId="48A7FABC" w14:textId="77777777">
        <w:trPr>
          <w:jc w:val="center"/>
        </w:trPr>
        <w:tc>
          <w:tcPr>
            <w:tcW w:w="1296" w:type="dxa"/>
            <w:shd w:val="clear" w:color="auto" w:fill="F4F7FA"/>
            <w:tcMar>
              <w:top w:w="70" w:type="dxa"/>
              <w:left w:w="90" w:type="dxa"/>
              <w:bottom w:w="70" w:type="dxa"/>
              <w:right w:w="90" w:type="dxa"/>
            </w:tcMar>
            <w:vAlign w:val="center"/>
          </w:tcPr>
          <w:p w14:paraId="091EDE07" w14:textId="77777777" w:rsidR="008E5FBD" w:rsidRDefault="00000000">
            <w:pPr>
              <w:spacing w:after="0" w:line="240" w:lineRule="auto"/>
              <w:rPr>
                <w:rFonts w:hint="eastAsia"/>
              </w:rPr>
            </w:pPr>
            <w:r>
              <w:rPr>
                <w:sz w:val="16"/>
              </w:rPr>
              <w:t>August 16</w:t>
            </w:r>
          </w:p>
        </w:tc>
        <w:tc>
          <w:tcPr>
            <w:tcW w:w="1152" w:type="dxa"/>
            <w:shd w:val="clear" w:color="auto" w:fill="F4F7FA"/>
            <w:tcMar>
              <w:top w:w="70" w:type="dxa"/>
              <w:left w:w="90" w:type="dxa"/>
              <w:bottom w:w="70" w:type="dxa"/>
              <w:right w:w="90" w:type="dxa"/>
            </w:tcMar>
            <w:vAlign w:val="center"/>
          </w:tcPr>
          <w:p w14:paraId="00385E88" w14:textId="77777777" w:rsidR="008E5FBD" w:rsidRDefault="00000000">
            <w:pPr>
              <w:spacing w:after="0" w:line="240" w:lineRule="auto"/>
              <w:rPr>
                <w:rFonts w:hint="eastAsia"/>
              </w:rPr>
            </w:pPr>
            <w:r>
              <w:rPr>
                <w:sz w:val="16"/>
              </w:rPr>
              <w:t>Ke</w:t>
            </w:r>
          </w:p>
        </w:tc>
        <w:tc>
          <w:tcPr>
            <w:tcW w:w="7488" w:type="dxa"/>
            <w:shd w:val="clear" w:color="auto" w:fill="F4F7FA"/>
            <w:tcMar>
              <w:top w:w="70" w:type="dxa"/>
              <w:left w:w="90" w:type="dxa"/>
              <w:bottom w:w="70" w:type="dxa"/>
              <w:right w:w="90" w:type="dxa"/>
            </w:tcMar>
            <w:vAlign w:val="center"/>
          </w:tcPr>
          <w:p w14:paraId="0D8F2C6D" w14:textId="77777777" w:rsidR="008E5FBD" w:rsidRDefault="00000000">
            <w:pPr>
              <w:spacing w:after="0" w:line="240" w:lineRule="auto"/>
              <w:rPr>
                <w:rFonts w:hint="eastAsia"/>
              </w:rPr>
            </w:pPr>
            <w:r>
              <w:rPr>
                <w:sz w:val="16"/>
              </w:rPr>
              <w:t>Deliver complete Version 2 with D implemented: one additional stronger agent, audited runs, cross-agent analysis, revised paper, and revised supplement.</w:t>
            </w:r>
          </w:p>
        </w:tc>
      </w:tr>
      <w:tr w:rsidR="008E5FBD" w14:paraId="60B1ACA4" w14:textId="77777777">
        <w:trPr>
          <w:jc w:val="center"/>
        </w:trPr>
        <w:tc>
          <w:tcPr>
            <w:tcW w:w="1296" w:type="dxa"/>
            <w:tcMar>
              <w:top w:w="70" w:type="dxa"/>
              <w:left w:w="90" w:type="dxa"/>
              <w:bottom w:w="70" w:type="dxa"/>
              <w:right w:w="90" w:type="dxa"/>
            </w:tcMar>
            <w:vAlign w:val="center"/>
          </w:tcPr>
          <w:p w14:paraId="6F4ADBC9" w14:textId="77777777" w:rsidR="008E5FBD" w:rsidRDefault="00000000">
            <w:pPr>
              <w:spacing w:after="0" w:line="240" w:lineRule="auto"/>
              <w:rPr>
                <w:rFonts w:hint="eastAsia"/>
              </w:rPr>
            </w:pPr>
            <w:r>
              <w:rPr>
                <w:sz w:val="16"/>
              </w:rPr>
              <w:t>August 17-24</w:t>
            </w:r>
          </w:p>
        </w:tc>
        <w:tc>
          <w:tcPr>
            <w:tcW w:w="1152" w:type="dxa"/>
            <w:tcMar>
              <w:top w:w="70" w:type="dxa"/>
              <w:left w:w="90" w:type="dxa"/>
              <w:bottom w:w="70" w:type="dxa"/>
              <w:right w:w="90" w:type="dxa"/>
            </w:tcMar>
            <w:vAlign w:val="center"/>
          </w:tcPr>
          <w:p w14:paraId="25DEAA1A" w14:textId="77777777" w:rsidR="008E5FBD" w:rsidRDefault="00000000">
            <w:pPr>
              <w:spacing w:after="0"/>
              <w:rPr>
                <w:rFonts w:hint="eastAsia"/>
              </w:rPr>
            </w:pPr>
            <w:r>
              <w:rPr>
                <w:sz w:val="16"/>
              </w:rPr>
              <w:t>Ke</w:t>
            </w:r>
          </w:p>
        </w:tc>
        <w:tc>
          <w:tcPr>
            <w:tcW w:w="7488" w:type="dxa"/>
            <w:tcMar>
              <w:top w:w="70" w:type="dxa"/>
              <w:left w:w="90" w:type="dxa"/>
              <w:bottom w:w="70" w:type="dxa"/>
              <w:right w:w="90" w:type="dxa"/>
            </w:tcMar>
            <w:vAlign w:val="center"/>
          </w:tcPr>
          <w:p w14:paraId="6A30797D" w14:textId="77777777" w:rsidR="008E5FBD" w:rsidRDefault="00000000">
            <w:pPr>
              <w:spacing w:after="0"/>
              <w:rPr>
                <w:rFonts w:hint="eastAsia"/>
              </w:rPr>
            </w:pPr>
            <w:r>
              <w:rPr>
                <w:sz w:val="16"/>
              </w:rPr>
              <w:t>If time permits, conduct optional E work and deliver Version 3 by August 24. Include only completed, audited improvements in the workshop supplement; reserve their main-paper presentation for the next full conference submission.</w:t>
            </w:r>
          </w:p>
        </w:tc>
      </w:tr>
      <w:tr w:rsidR="008E5FBD" w14:paraId="4A481364" w14:textId="77777777">
        <w:trPr>
          <w:jc w:val="center"/>
        </w:trPr>
        <w:tc>
          <w:tcPr>
            <w:tcW w:w="1296" w:type="dxa"/>
            <w:shd w:val="clear" w:color="auto" w:fill="F4F7FA"/>
            <w:tcMar>
              <w:top w:w="70" w:type="dxa"/>
              <w:left w:w="90" w:type="dxa"/>
              <w:bottom w:w="70" w:type="dxa"/>
              <w:right w:w="90" w:type="dxa"/>
            </w:tcMar>
            <w:vAlign w:val="center"/>
          </w:tcPr>
          <w:p w14:paraId="1B38EF90" w14:textId="77777777" w:rsidR="008E5FBD" w:rsidRDefault="00000000">
            <w:pPr>
              <w:spacing w:after="0" w:line="240" w:lineRule="auto"/>
              <w:rPr>
                <w:rFonts w:hint="eastAsia"/>
              </w:rPr>
            </w:pPr>
            <w:r>
              <w:rPr>
                <w:sz w:val="16"/>
              </w:rPr>
              <w:t>August 25-28</w:t>
            </w:r>
          </w:p>
        </w:tc>
        <w:tc>
          <w:tcPr>
            <w:tcW w:w="1152" w:type="dxa"/>
            <w:shd w:val="clear" w:color="auto" w:fill="F4F7FA"/>
            <w:tcMar>
              <w:top w:w="70" w:type="dxa"/>
              <w:left w:w="90" w:type="dxa"/>
              <w:bottom w:w="70" w:type="dxa"/>
              <w:right w:w="90" w:type="dxa"/>
            </w:tcMar>
            <w:vAlign w:val="center"/>
          </w:tcPr>
          <w:p w14:paraId="724B34EF" w14:textId="77777777" w:rsidR="008E5FBD" w:rsidRDefault="00000000">
            <w:pPr>
              <w:spacing w:after="0" w:line="240" w:lineRule="auto"/>
              <w:rPr>
                <w:rFonts w:hint="eastAsia"/>
              </w:rPr>
            </w:pPr>
            <w:r>
              <w:rPr>
                <w:sz w:val="16"/>
              </w:rPr>
              <w:t>Sunshine</w:t>
            </w:r>
          </w:p>
        </w:tc>
        <w:tc>
          <w:tcPr>
            <w:tcW w:w="7488" w:type="dxa"/>
            <w:shd w:val="clear" w:color="auto" w:fill="F4F7FA"/>
            <w:tcMar>
              <w:top w:w="70" w:type="dxa"/>
              <w:left w:w="90" w:type="dxa"/>
              <w:bottom w:w="70" w:type="dxa"/>
              <w:right w:w="90" w:type="dxa"/>
            </w:tcMar>
            <w:vAlign w:val="center"/>
          </w:tcPr>
          <w:p w14:paraId="4A3ABBEB" w14:textId="77777777" w:rsidR="008E5FBD" w:rsidRDefault="00000000">
            <w:pPr>
              <w:spacing w:after="0"/>
              <w:rPr>
                <w:rFonts w:hint="eastAsia"/>
              </w:rPr>
            </w:pPr>
            <w:r>
              <w:rPr>
                <w:sz w:val="16"/>
              </w:rPr>
              <w:t>Perform corresponding-author rewrite, decide which optional supplementary results to retain, complete the final claim audit, page-limit edit, anonymization, artifact verification, citation check, and submission package.</w:t>
            </w:r>
          </w:p>
        </w:tc>
      </w:tr>
      <w:tr w:rsidR="008E5FBD" w14:paraId="0FC99340" w14:textId="77777777">
        <w:trPr>
          <w:jc w:val="center"/>
        </w:trPr>
        <w:tc>
          <w:tcPr>
            <w:tcW w:w="1296" w:type="dxa"/>
            <w:tcMar>
              <w:top w:w="70" w:type="dxa"/>
              <w:left w:w="90" w:type="dxa"/>
              <w:bottom w:w="70" w:type="dxa"/>
              <w:right w:w="90" w:type="dxa"/>
            </w:tcMar>
            <w:vAlign w:val="center"/>
          </w:tcPr>
          <w:p w14:paraId="4A1CC82E" w14:textId="77777777" w:rsidR="008E5FBD" w:rsidRDefault="00000000">
            <w:pPr>
              <w:spacing w:after="0" w:line="240" w:lineRule="auto"/>
              <w:rPr>
                <w:rFonts w:hint="eastAsia"/>
              </w:rPr>
            </w:pPr>
            <w:r>
              <w:rPr>
                <w:sz w:val="16"/>
              </w:rPr>
              <w:t>August 29</w:t>
            </w:r>
          </w:p>
        </w:tc>
        <w:tc>
          <w:tcPr>
            <w:tcW w:w="1152" w:type="dxa"/>
            <w:tcMar>
              <w:top w:w="70" w:type="dxa"/>
              <w:left w:w="90" w:type="dxa"/>
              <w:bottom w:w="70" w:type="dxa"/>
              <w:right w:w="90" w:type="dxa"/>
            </w:tcMar>
            <w:vAlign w:val="center"/>
          </w:tcPr>
          <w:p w14:paraId="4D387948" w14:textId="77777777" w:rsidR="008E5FBD" w:rsidRDefault="00000000">
            <w:pPr>
              <w:spacing w:after="0" w:line="240" w:lineRule="auto"/>
              <w:rPr>
                <w:rFonts w:hint="eastAsia"/>
              </w:rPr>
            </w:pPr>
            <w:r>
              <w:rPr>
                <w:sz w:val="16"/>
              </w:rPr>
              <w:t>Sunshine</w:t>
            </w:r>
          </w:p>
        </w:tc>
        <w:tc>
          <w:tcPr>
            <w:tcW w:w="7488" w:type="dxa"/>
            <w:tcMar>
              <w:top w:w="70" w:type="dxa"/>
              <w:left w:w="90" w:type="dxa"/>
              <w:bottom w:w="70" w:type="dxa"/>
              <w:right w:w="90" w:type="dxa"/>
            </w:tcMar>
            <w:vAlign w:val="center"/>
          </w:tcPr>
          <w:p w14:paraId="0A91A091" w14:textId="77777777" w:rsidR="008E5FBD" w:rsidRDefault="00000000">
            <w:pPr>
              <w:spacing w:after="0" w:line="240" w:lineRule="auto"/>
              <w:rPr>
                <w:rFonts w:hint="eastAsia"/>
              </w:rPr>
            </w:pPr>
            <w:r>
              <w:rPr>
                <w:sz w:val="16"/>
              </w:rPr>
              <w:t>Submit the final workshop paper and supplementary material by 11:59 PM AoE.</w:t>
            </w:r>
          </w:p>
        </w:tc>
      </w:tr>
    </w:tbl>
    <w:p w14:paraId="4322B70C" w14:textId="77777777" w:rsidR="008E5FBD" w:rsidRDefault="008E5FBD">
      <w:pPr>
        <w:spacing w:after="0"/>
        <w:rPr>
          <w:rFonts w:hint="eastAsia"/>
        </w:rPr>
      </w:pPr>
    </w:p>
    <w:p w14:paraId="25D51510" w14:textId="77777777" w:rsidR="008E5FBD" w:rsidRDefault="00000000">
      <w:pPr>
        <w:pStyle w:val="Heading1"/>
      </w:pPr>
      <w:r>
        <w:t>3. Version 1 Due August 9: A-C</w:t>
      </w:r>
    </w:p>
    <w:p w14:paraId="7A95C826" w14:textId="77777777" w:rsidR="008E5FBD" w:rsidRDefault="00000000">
      <w:pPr>
        <w:rPr>
          <w:rFonts w:hint="eastAsia"/>
        </w:rPr>
      </w:pPr>
      <w:r>
        <w:t>Ke’s first handoff must be a complete workshop manuscript, not isolated edits. It should be possible for Sunshine to read the PDF end-to-end, reproduce the existing analyses, and make corresponding-author revisions without rebuilding the paper.</w:t>
      </w:r>
    </w:p>
    <w:p w14:paraId="5F2C42A1" w14:textId="77777777" w:rsidR="008E5FBD" w:rsidRDefault="00000000">
      <w:pPr>
        <w:pStyle w:val="Heading2"/>
      </w:pPr>
      <w:r>
        <w:t>A. Scientific Reframing and Benchmark Documentation</w:t>
      </w:r>
    </w:p>
    <w:p w14:paraId="4004F8D3" w14:textId="77777777" w:rsidR="008E5FBD" w:rsidRDefault="00000000">
      <w:pPr>
        <w:pStyle w:val="Heading3"/>
      </w:pPr>
      <w:r>
        <w:t>A1. Rewrite the title, abstract, introduction, contributions, and conclusion</w:t>
      </w:r>
    </w:p>
    <w:p w14:paraId="19CA846E" w14:textId="77777777" w:rsidR="008E5FBD" w:rsidRDefault="00000000">
      <w:pPr>
        <w:pStyle w:val="ListBullet"/>
        <w:spacing w:after="40"/>
        <w:rPr>
          <w:rFonts w:hint="eastAsia"/>
        </w:rPr>
      </w:pPr>
      <w:r>
        <w:t>Lead with trustworthy completion and stakeholder protection, not with System-versus-UI channel ranking.</w:t>
      </w:r>
    </w:p>
    <w:p w14:paraId="09473845" w14:textId="77777777" w:rsidR="008E5FBD" w:rsidRDefault="00000000">
      <w:pPr>
        <w:pStyle w:val="ListBullet"/>
        <w:spacing w:after="40"/>
        <w:rPr>
          <w:rFonts w:hint="eastAsia"/>
        </w:rPr>
      </w:pPr>
      <w:r>
        <w:t>Explain that nominal completion can conceal unwanted charges, overbroad consent, privacy loss, or policy-inconsistent actions.</w:t>
      </w:r>
    </w:p>
    <w:p w14:paraId="0C466D69" w14:textId="77777777" w:rsidR="008E5FBD" w:rsidRDefault="00000000">
      <w:pPr>
        <w:pStyle w:val="ListBullet"/>
        <w:spacing w:after="40"/>
        <w:rPr>
          <w:rFonts w:hint="eastAsia"/>
        </w:rPr>
      </w:pPr>
      <w:r>
        <w:t>Present the warning-channel study as the first instantiation of a modular benchmark.</w:t>
      </w:r>
    </w:p>
    <w:p w14:paraId="04E00D6B" w14:textId="77777777" w:rsidR="008E5FBD" w:rsidRDefault="00000000">
      <w:pPr>
        <w:pStyle w:val="ListBullet"/>
        <w:spacing w:after="40"/>
        <w:rPr>
          <w:rFonts w:hint="eastAsia"/>
        </w:rPr>
      </w:pPr>
      <w:r>
        <w:t>Use the same scoped language in the abstract, introduction, results, limitations, and conclusion.</w:t>
      </w:r>
    </w:p>
    <w:p w14:paraId="226F8529" w14:textId="77777777" w:rsidR="008E5FBD" w:rsidRDefault="00000000">
      <w:pPr>
        <w:pStyle w:val="Heading3"/>
      </w:pPr>
      <w:r>
        <w:t>A2. Add stakeholder and harm annotations to all nine tasks</w:t>
      </w:r>
    </w:p>
    <w:p w14:paraId="2B542DB8" w14:textId="77777777" w:rsidR="008E5FBD" w:rsidRDefault="00000000">
      <w:pPr>
        <w:rPr>
          <w:rFonts w:hint="eastAsia"/>
        </w:rPr>
      </w:pPr>
      <w:r>
        <w:t>Add the following fields to each task metadata file and summarize them in one main-paper table:</w:t>
      </w:r>
    </w:p>
    <w:tbl>
      <w:tblPr>
        <w:tblStyle w:val="TableGrid"/>
        <w:tblW w:w="0" w:type="auto"/>
        <w:jc w:val="center"/>
        <w:tblLook w:val="04A0" w:firstRow="1" w:lastRow="0" w:firstColumn="1" w:lastColumn="0" w:noHBand="0" w:noVBand="1"/>
      </w:tblPr>
      <w:tblGrid>
        <w:gridCol w:w="1584"/>
        <w:gridCol w:w="4320"/>
        <w:gridCol w:w="3024"/>
      </w:tblGrid>
      <w:tr w:rsidR="008E5FBD" w14:paraId="208019A9" w14:textId="77777777">
        <w:trPr>
          <w:tblHeader/>
          <w:jc w:val="center"/>
        </w:trPr>
        <w:tc>
          <w:tcPr>
            <w:tcW w:w="1584" w:type="dxa"/>
            <w:shd w:val="clear" w:color="auto" w:fill="D9EAF7"/>
            <w:tcMar>
              <w:top w:w="70" w:type="dxa"/>
              <w:left w:w="90" w:type="dxa"/>
              <w:bottom w:w="70" w:type="dxa"/>
              <w:right w:w="90" w:type="dxa"/>
            </w:tcMar>
            <w:vAlign w:val="center"/>
          </w:tcPr>
          <w:p w14:paraId="576AABAE" w14:textId="77777777" w:rsidR="008E5FBD" w:rsidRDefault="00000000">
            <w:pPr>
              <w:spacing w:after="0" w:line="240" w:lineRule="auto"/>
              <w:rPr>
                <w:rFonts w:hint="eastAsia"/>
              </w:rPr>
            </w:pPr>
            <w:r>
              <w:rPr>
                <w:b/>
                <w:color w:val="1F3758"/>
                <w:sz w:val="16"/>
              </w:rPr>
              <w:t>Field</w:t>
            </w:r>
          </w:p>
        </w:tc>
        <w:tc>
          <w:tcPr>
            <w:tcW w:w="4320" w:type="dxa"/>
            <w:shd w:val="clear" w:color="auto" w:fill="D9EAF7"/>
            <w:tcMar>
              <w:top w:w="70" w:type="dxa"/>
              <w:left w:w="90" w:type="dxa"/>
              <w:bottom w:w="70" w:type="dxa"/>
              <w:right w:w="90" w:type="dxa"/>
            </w:tcMar>
            <w:vAlign w:val="center"/>
          </w:tcPr>
          <w:p w14:paraId="32492920" w14:textId="77777777" w:rsidR="008E5FBD" w:rsidRDefault="00000000">
            <w:pPr>
              <w:spacing w:after="0" w:line="240" w:lineRule="auto"/>
              <w:rPr>
                <w:rFonts w:hint="eastAsia"/>
              </w:rPr>
            </w:pPr>
            <w:r>
              <w:rPr>
                <w:b/>
                <w:color w:val="1F3758"/>
                <w:sz w:val="16"/>
              </w:rPr>
              <w:t>Required content</w:t>
            </w:r>
          </w:p>
        </w:tc>
        <w:tc>
          <w:tcPr>
            <w:tcW w:w="3024" w:type="dxa"/>
            <w:shd w:val="clear" w:color="auto" w:fill="D9EAF7"/>
            <w:tcMar>
              <w:top w:w="70" w:type="dxa"/>
              <w:left w:w="90" w:type="dxa"/>
              <w:bottom w:w="70" w:type="dxa"/>
              <w:right w:w="90" w:type="dxa"/>
            </w:tcMar>
            <w:vAlign w:val="center"/>
          </w:tcPr>
          <w:p w14:paraId="3BBB6E37" w14:textId="77777777" w:rsidR="008E5FBD" w:rsidRDefault="00000000">
            <w:pPr>
              <w:spacing w:after="0" w:line="240" w:lineRule="auto"/>
              <w:rPr>
                <w:rFonts w:hint="eastAsia"/>
              </w:rPr>
            </w:pPr>
            <w:r>
              <w:rPr>
                <w:b/>
                <w:color w:val="1F3758"/>
                <w:sz w:val="16"/>
              </w:rPr>
              <w:t>Example</w:t>
            </w:r>
          </w:p>
        </w:tc>
      </w:tr>
      <w:tr w:rsidR="008E5FBD" w14:paraId="18F6E151" w14:textId="77777777">
        <w:trPr>
          <w:jc w:val="center"/>
        </w:trPr>
        <w:tc>
          <w:tcPr>
            <w:tcW w:w="1584" w:type="dxa"/>
            <w:tcMar>
              <w:top w:w="70" w:type="dxa"/>
              <w:left w:w="90" w:type="dxa"/>
              <w:bottom w:w="70" w:type="dxa"/>
              <w:right w:w="90" w:type="dxa"/>
            </w:tcMar>
            <w:vAlign w:val="center"/>
          </w:tcPr>
          <w:p w14:paraId="6D652E86" w14:textId="77777777" w:rsidR="008E5FBD" w:rsidRDefault="00000000">
            <w:pPr>
              <w:spacing w:after="0" w:line="240" w:lineRule="auto"/>
              <w:rPr>
                <w:rFonts w:hint="eastAsia"/>
              </w:rPr>
            </w:pPr>
            <w:r>
              <w:rPr>
                <w:sz w:val="16"/>
              </w:rPr>
              <w:t>Acting principal</w:t>
            </w:r>
          </w:p>
        </w:tc>
        <w:tc>
          <w:tcPr>
            <w:tcW w:w="4320" w:type="dxa"/>
            <w:tcMar>
              <w:top w:w="70" w:type="dxa"/>
              <w:left w:w="90" w:type="dxa"/>
              <w:bottom w:w="70" w:type="dxa"/>
              <w:right w:w="90" w:type="dxa"/>
            </w:tcMar>
            <w:vAlign w:val="center"/>
          </w:tcPr>
          <w:p w14:paraId="5DB6CB7B" w14:textId="77777777" w:rsidR="008E5FBD" w:rsidRDefault="00000000">
            <w:pPr>
              <w:spacing w:after="0" w:line="240" w:lineRule="auto"/>
              <w:rPr>
                <w:rFonts w:hint="eastAsia"/>
              </w:rPr>
            </w:pPr>
            <w:r>
              <w:rPr>
                <w:sz w:val="16"/>
              </w:rPr>
              <w:t>Person or organization on whose behalf the agent acts</w:t>
            </w:r>
          </w:p>
        </w:tc>
        <w:tc>
          <w:tcPr>
            <w:tcW w:w="3024" w:type="dxa"/>
            <w:tcMar>
              <w:top w:w="70" w:type="dxa"/>
              <w:left w:w="90" w:type="dxa"/>
              <w:bottom w:w="70" w:type="dxa"/>
              <w:right w:w="90" w:type="dxa"/>
            </w:tcMar>
            <w:vAlign w:val="center"/>
          </w:tcPr>
          <w:p w14:paraId="48A910D0" w14:textId="77777777" w:rsidR="008E5FBD" w:rsidRDefault="00000000">
            <w:pPr>
              <w:spacing w:after="0" w:line="240" w:lineRule="auto"/>
              <w:rPr>
                <w:rFonts w:hint="eastAsia"/>
              </w:rPr>
            </w:pPr>
            <w:r>
              <w:rPr>
                <w:sz w:val="16"/>
              </w:rPr>
              <w:t>Consumer</w:t>
            </w:r>
          </w:p>
        </w:tc>
      </w:tr>
      <w:tr w:rsidR="008E5FBD" w14:paraId="77FABC74" w14:textId="77777777">
        <w:trPr>
          <w:jc w:val="center"/>
        </w:trPr>
        <w:tc>
          <w:tcPr>
            <w:tcW w:w="1584" w:type="dxa"/>
            <w:shd w:val="clear" w:color="auto" w:fill="F4F7FA"/>
            <w:tcMar>
              <w:top w:w="70" w:type="dxa"/>
              <w:left w:w="90" w:type="dxa"/>
              <w:bottom w:w="70" w:type="dxa"/>
              <w:right w:w="90" w:type="dxa"/>
            </w:tcMar>
            <w:vAlign w:val="center"/>
          </w:tcPr>
          <w:p w14:paraId="522EAD87" w14:textId="77777777" w:rsidR="008E5FBD" w:rsidRDefault="00000000">
            <w:pPr>
              <w:spacing w:after="0" w:line="240" w:lineRule="auto"/>
              <w:rPr>
                <w:rFonts w:hint="eastAsia"/>
              </w:rPr>
            </w:pPr>
            <w:r>
              <w:rPr>
                <w:sz w:val="16"/>
              </w:rPr>
              <w:t>Affected stakeholder</w:t>
            </w:r>
          </w:p>
        </w:tc>
        <w:tc>
          <w:tcPr>
            <w:tcW w:w="4320" w:type="dxa"/>
            <w:shd w:val="clear" w:color="auto" w:fill="F4F7FA"/>
            <w:tcMar>
              <w:top w:w="70" w:type="dxa"/>
              <w:left w:w="90" w:type="dxa"/>
              <w:bottom w:w="70" w:type="dxa"/>
              <w:right w:w="90" w:type="dxa"/>
            </w:tcMar>
            <w:vAlign w:val="center"/>
          </w:tcPr>
          <w:p w14:paraId="63C3EA5C" w14:textId="77777777" w:rsidR="008E5FBD" w:rsidRDefault="00000000">
            <w:pPr>
              <w:spacing w:after="0" w:line="240" w:lineRule="auto"/>
              <w:rPr>
                <w:rFonts w:hint="eastAsia"/>
              </w:rPr>
            </w:pPr>
            <w:r>
              <w:rPr>
                <w:sz w:val="16"/>
              </w:rPr>
              <w:t>Who bears the immediate consequence</w:t>
            </w:r>
          </w:p>
        </w:tc>
        <w:tc>
          <w:tcPr>
            <w:tcW w:w="3024" w:type="dxa"/>
            <w:shd w:val="clear" w:color="auto" w:fill="F4F7FA"/>
            <w:tcMar>
              <w:top w:w="70" w:type="dxa"/>
              <w:left w:w="90" w:type="dxa"/>
              <w:bottom w:w="70" w:type="dxa"/>
              <w:right w:w="90" w:type="dxa"/>
            </w:tcMar>
            <w:vAlign w:val="center"/>
          </w:tcPr>
          <w:p w14:paraId="6E02AED9" w14:textId="77777777" w:rsidR="008E5FBD" w:rsidRDefault="00000000">
            <w:pPr>
              <w:spacing w:after="0" w:line="240" w:lineRule="auto"/>
              <w:rPr>
                <w:rFonts w:hint="eastAsia"/>
              </w:rPr>
            </w:pPr>
            <w:r>
              <w:rPr>
                <w:sz w:val="16"/>
              </w:rPr>
              <w:t>Consumer or employee</w:t>
            </w:r>
          </w:p>
        </w:tc>
      </w:tr>
      <w:tr w:rsidR="008E5FBD" w14:paraId="1F1E05F3" w14:textId="77777777">
        <w:trPr>
          <w:jc w:val="center"/>
        </w:trPr>
        <w:tc>
          <w:tcPr>
            <w:tcW w:w="1584" w:type="dxa"/>
            <w:tcMar>
              <w:top w:w="70" w:type="dxa"/>
              <w:left w:w="90" w:type="dxa"/>
              <w:bottom w:w="70" w:type="dxa"/>
              <w:right w:w="90" w:type="dxa"/>
            </w:tcMar>
            <w:vAlign w:val="center"/>
          </w:tcPr>
          <w:p w14:paraId="691CB77B" w14:textId="77777777" w:rsidR="008E5FBD" w:rsidRDefault="00000000">
            <w:pPr>
              <w:spacing w:after="0" w:line="240" w:lineRule="auto"/>
              <w:rPr>
                <w:rFonts w:hint="eastAsia"/>
              </w:rPr>
            </w:pPr>
            <w:r>
              <w:rPr>
                <w:sz w:val="16"/>
              </w:rPr>
              <w:lastRenderedPageBreak/>
              <w:t>Protected interest</w:t>
            </w:r>
          </w:p>
        </w:tc>
        <w:tc>
          <w:tcPr>
            <w:tcW w:w="4320" w:type="dxa"/>
            <w:tcMar>
              <w:top w:w="70" w:type="dxa"/>
              <w:left w:w="90" w:type="dxa"/>
              <w:bottom w:w="70" w:type="dxa"/>
              <w:right w:w="90" w:type="dxa"/>
            </w:tcMar>
            <w:vAlign w:val="center"/>
          </w:tcPr>
          <w:p w14:paraId="0DB7E7F1" w14:textId="77777777" w:rsidR="008E5FBD" w:rsidRDefault="00000000">
            <w:pPr>
              <w:spacing w:after="0" w:line="240" w:lineRule="auto"/>
              <w:rPr>
                <w:rFonts w:hint="eastAsia"/>
              </w:rPr>
            </w:pPr>
            <w:r>
              <w:rPr>
                <w:sz w:val="16"/>
              </w:rPr>
              <w:t>Financial, privacy, consent, autonomy, or policy interest</w:t>
            </w:r>
          </w:p>
        </w:tc>
        <w:tc>
          <w:tcPr>
            <w:tcW w:w="3024" w:type="dxa"/>
            <w:tcMar>
              <w:top w:w="70" w:type="dxa"/>
              <w:left w:w="90" w:type="dxa"/>
              <w:bottom w:w="70" w:type="dxa"/>
              <w:right w:w="90" w:type="dxa"/>
            </w:tcMar>
            <w:vAlign w:val="center"/>
          </w:tcPr>
          <w:p w14:paraId="6349BE7F" w14:textId="77777777" w:rsidR="008E5FBD" w:rsidRDefault="00000000">
            <w:pPr>
              <w:spacing w:after="0" w:line="240" w:lineRule="auto"/>
              <w:rPr>
                <w:rFonts w:hint="eastAsia"/>
              </w:rPr>
            </w:pPr>
            <w:r>
              <w:rPr>
                <w:sz w:val="16"/>
              </w:rPr>
              <w:t>Financial interest</w:t>
            </w:r>
          </w:p>
        </w:tc>
      </w:tr>
      <w:tr w:rsidR="008E5FBD" w14:paraId="57A4CB66" w14:textId="77777777">
        <w:trPr>
          <w:jc w:val="center"/>
        </w:trPr>
        <w:tc>
          <w:tcPr>
            <w:tcW w:w="1584" w:type="dxa"/>
            <w:shd w:val="clear" w:color="auto" w:fill="F4F7FA"/>
            <w:tcMar>
              <w:top w:w="70" w:type="dxa"/>
              <w:left w:w="90" w:type="dxa"/>
              <w:bottom w:w="70" w:type="dxa"/>
              <w:right w:w="90" w:type="dxa"/>
            </w:tcMar>
            <w:vAlign w:val="center"/>
          </w:tcPr>
          <w:p w14:paraId="5DD6FFC3" w14:textId="77777777" w:rsidR="008E5FBD" w:rsidRDefault="00000000">
            <w:pPr>
              <w:spacing w:after="0" w:line="240" w:lineRule="auto"/>
              <w:rPr>
                <w:rFonts w:hint="eastAsia"/>
              </w:rPr>
            </w:pPr>
            <w:r>
              <w:rPr>
                <w:sz w:val="16"/>
              </w:rPr>
              <w:t>Unsafe action</w:t>
            </w:r>
          </w:p>
        </w:tc>
        <w:tc>
          <w:tcPr>
            <w:tcW w:w="4320" w:type="dxa"/>
            <w:shd w:val="clear" w:color="auto" w:fill="F4F7FA"/>
            <w:tcMar>
              <w:top w:w="70" w:type="dxa"/>
              <w:left w:w="90" w:type="dxa"/>
              <w:bottom w:w="70" w:type="dxa"/>
              <w:right w:w="90" w:type="dxa"/>
            </w:tcMar>
            <w:vAlign w:val="center"/>
          </w:tcPr>
          <w:p w14:paraId="1C1EB66E" w14:textId="77777777" w:rsidR="008E5FBD" w:rsidRDefault="00000000">
            <w:pPr>
              <w:spacing w:after="0" w:line="240" w:lineRule="auto"/>
              <w:rPr>
                <w:rFonts w:hint="eastAsia"/>
              </w:rPr>
            </w:pPr>
            <w:r>
              <w:rPr>
                <w:sz w:val="16"/>
              </w:rPr>
              <w:t>Machine-verifiable action defining unsafe completion</w:t>
            </w:r>
          </w:p>
        </w:tc>
        <w:tc>
          <w:tcPr>
            <w:tcW w:w="3024" w:type="dxa"/>
            <w:shd w:val="clear" w:color="auto" w:fill="F4F7FA"/>
            <w:tcMar>
              <w:top w:w="70" w:type="dxa"/>
              <w:left w:w="90" w:type="dxa"/>
              <w:bottom w:w="70" w:type="dxa"/>
              <w:right w:w="90" w:type="dxa"/>
            </w:tcMar>
            <w:vAlign w:val="center"/>
          </w:tcPr>
          <w:p w14:paraId="61496496" w14:textId="77777777" w:rsidR="008E5FBD" w:rsidRDefault="00000000">
            <w:pPr>
              <w:spacing w:after="0" w:line="240" w:lineRule="auto"/>
              <w:rPr>
                <w:rFonts w:hint="eastAsia"/>
              </w:rPr>
            </w:pPr>
            <w:r>
              <w:rPr>
                <w:sz w:val="16"/>
              </w:rPr>
              <w:t>Leaves recurring subscription selected</w:t>
            </w:r>
          </w:p>
        </w:tc>
      </w:tr>
      <w:tr w:rsidR="008E5FBD" w14:paraId="38A5A7C8" w14:textId="77777777">
        <w:trPr>
          <w:jc w:val="center"/>
        </w:trPr>
        <w:tc>
          <w:tcPr>
            <w:tcW w:w="1584" w:type="dxa"/>
            <w:tcMar>
              <w:top w:w="70" w:type="dxa"/>
              <w:left w:w="90" w:type="dxa"/>
              <w:bottom w:w="70" w:type="dxa"/>
              <w:right w:w="90" w:type="dxa"/>
            </w:tcMar>
            <w:vAlign w:val="center"/>
          </w:tcPr>
          <w:p w14:paraId="681BDA06" w14:textId="77777777" w:rsidR="008E5FBD" w:rsidRDefault="00000000">
            <w:pPr>
              <w:spacing w:after="0" w:line="240" w:lineRule="auto"/>
              <w:rPr>
                <w:rFonts w:hint="eastAsia"/>
              </w:rPr>
            </w:pPr>
            <w:r>
              <w:rPr>
                <w:sz w:val="16"/>
              </w:rPr>
              <w:t>Potential consequence</w:t>
            </w:r>
          </w:p>
        </w:tc>
        <w:tc>
          <w:tcPr>
            <w:tcW w:w="4320" w:type="dxa"/>
            <w:tcMar>
              <w:top w:w="70" w:type="dxa"/>
              <w:left w:w="90" w:type="dxa"/>
              <w:bottom w:w="70" w:type="dxa"/>
              <w:right w:w="90" w:type="dxa"/>
            </w:tcMar>
            <w:vAlign w:val="center"/>
          </w:tcPr>
          <w:p w14:paraId="0F880D72" w14:textId="77777777" w:rsidR="008E5FBD" w:rsidRDefault="00000000">
            <w:pPr>
              <w:spacing w:after="0" w:line="240" w:lineRule="auto"/>
              <w:rPr>
                <w:rFonts w:hint="eastAsia"/>
              </w:rPr>
            </w:pPr>
            <w:r>
              <w:rPr>
                <w:sz w:val="16"/>
              </w:rPr>
              <w:t>Concrete non-numerical harm description</w:t>
            </w:r>
          </w:p>
        </w:tc>
        <w:tc>
          <w:tcPr>
            <w:tcW w:w="3024" w:type="dxa"/>
            <w:tcMar>
              <w:top w:w="70" w:type="dxa"/>
              <w:left w:w="90" w:type="dxa"/>
              <w:bottom w:w="70" w:type="dxa"/>
              <w:right w:w="90" w:type="dxa"/>
            </w:tcMar>
            <w:vAlign w:val="center"/>
          </w:tcPr>
          <w:p w14:paraId="71788C27" w14:textId="77777777" w:rsidR="008E5FBD" w:rsidRDefault="00000000">
            <w:pPr>
              <w:spacing w:after="0" w:line="240" w:lineRule="auto"/>
              <w:rPr>
                <w:rFonts w:hint="eastAsia"/>
              </w:rPr>
            </w:pPr>
            <w:r>
              <w:rPr>
                <w:sz w:val="16"/>
              </w:rPr>
              <w:t>Unwanted recurring charge</w:t>
            </w:r>
          </w:p>
        </w:tc>
      </w:tr>
      <w:tr w:rsidR="008E5FBD" w14:paraId="584DC377" w14:textId="77777777">
        <w:trPr>
          <w:jc w:val="center"/>
        </w:trPr>
        <w:tc>
          <w:tcPr>
            <w:tcW w:w="1584" w:type="dxa"/>
            <w:shd w:val="clear" w:color="auto" w:fill="F4F7FA"/>
            <w:tcMar>
              <w:top w:w="70" w:type="dxa"/>
              <w:left w:w="90" w:type="dxa"/>
              <w:bottom w:w="70" w:type="dxa"/>
              <w:right w:w="90" w:type="dxa"/>
            </w:tcMar>
            <w:vAlign w:val="center"/>
          </w:tcPr>
          <w:p w14:paraId="462287FC" w14:textId="77777777" w:rsidR="008E5FBD" w:rsidRDefault="00000000">
            <w:pPr>
              <w:spacing w:after="0" w:line="240" w:lineRule="auto"/>
              <w:rPr>
                <w:rFonts w:hint="eastAsia"/>
              </w:rPr>
            </w:pPr>
            <w:r>
              <w:rPr>
                <w:sz w:val="16"/>
              </w:rPr>
              <w:t>Safe alternative</w:t>
            </w:r>
          </w:p>
        </w:tc>
        <w:tc>
          <w:tcPr>
            <w:tcW w:w="4320" w:type="dxa"/>
            <w:shd w:val="clear" w:color="auto" w:fill="F4F7FA"/>
            <w:tcMar>
              <w:top w:w="70" w:type="dxa"/>
              <w:left w:w="90" w:type="dxa"/>
              <w:bottom w:w="70" w:type="dxa"/>
              <w:right w:w="90" w:type="dxa"/>
            </w:tcMar>
            <w:vAlign w:val="center"/>
          </w:tcPr>
          <w:p w14:paraId="35C7B0B4" w14:textId="77777777" w:rsidR="008E5FBD" w:rsidRDefault="00000000">
            <w:pPr>
              <w:spacing w:after="0" w:line="240" w:lineRule="auto"/>
              <w:rPr>
                <w:rFonts w:hint="eastAsia"/>
              </w:rPr>
            </w:pPr>
            <w:r>
              <w:rPr>
                <w:sz w:val="16"/>
              </w:rPr>
              <w:t>Action path that reaches the nominal goal safely</w:t>
            </w:r>
          </w:p>
        </w:tc>
        <w:tc>
          <w:tcPr>
            <w:tcW w:w="3024" w:type="dxa"/>
            <w:shd w:val="clear" w:color="auto" w:fill="F4F7FA"/>
            <w:tcMar>
              <w:top w:w="70" w:type="dxa"/>
              <w:left w:w="90" w:type="dxa"/>
              <w:bottom w:w="70" w:type="dxa"/>
              <w:right w:w="90" w:type="dxa"/>
            </w:tcMar>
            <w:vAlign w:val="center"/>
          </w:tcPr>
          <w:p w14:paraId="48D2C148" w14:textId="77777777" w:rsidR="008E5FBD" w:rsidRDefault="00000000">
            <w:pPr>
              <w:spacing w:after="0" w:line="240" w:lineRule="auto"/>
              <w:rPr>
                <w:rFonts w:hint="eastAsia"/>
              </w:rPr>
            </w:pPr>
            <w:r>
              <w:rPr>
                <w:sz w:val="16"/>
              </w:rPr>
              <w:t>Remove subscription, then complete purchase</w:t>
            </w:r>
          </w:p>
        </w:tc>
      </w:tr>
      <w:tr w:rsidR="008E5FBD" w14:paraId="62913B0E" w14:textId="77777777">
        <w:trPr>
          <w:jc w:val="center"/>
        </w:trPr>
        <w:tc>
          <w:tcPr>
            <w:tcW w:w="1584" w:type="dxa"/>
            <w:tcMar>
              <w:top w:w="70" w:type="dxa"/>
              <w:left w:w="90" w:type="dxa"/>
              <w:bottom w:w="70" w:type="dxa"/>
              <w:right w:w="90" w:type="dxa"/>
            </w:tcMar>
            <w:vAlign w:val="center"/>
          </w:tcPr>
          <w:p w14:paraId="3A50A40B" w14:textId="77777777" w:rsidR="008E5FBD" w:rsidRDefault="00000000">
            <w:pPr>
              <w:spacing w:after="0" w:line="240" w:lineRule="auto"/>
              <w:rPr>
                <w:rFonts w:hint="eastAsia"/>
              </w:rPr>
            </w:pPr>
            <w:r>
              <w:rPr>
                <w:sz w:val="16"/>
              </w:rPr>
              <w:t>Reversibility</w:t>
            </w:r>
          </w:p>
        </w:tc>
        <w:tc>
          <w:tcPr>
            <w:tcW w:w="4320" w:type="dxa"/>
            <w:tcMar>
              <w:top w:w="70" w:type="dxa"/>
              <w:left w:w="90" w:type="dxa"/>
              <w:bottom w:w="70" w:type="dxa"/>
              <w:right w:w="90" w:type="dxa"/>
            </w:tcMar>
            <w:vAlign w:val="center"/>
          </w:tcPr>
          <w:p w14:paraId="42B1FE7B" w14:textId="77777777" w:rsidR="008E5FBD" w:rsidRDefault="00000000">
            <w:pPr>
              <w:spacing w:after="0" w:line="240" w:lineRule="auto"/>
              <w:rPr>
                <w:rFonts w:hint="eastAsia"/>
              </w:rPr>
            </w:pPr>
            <w:r>
              <w:rPr>
                <w:sz w:val="16"/>
              </w:rPr>
              <w:t>Easy, costly, delayed, or difficult to reverse</w:t>
            </w:r>
          </w:p>
        </w:tc>
        <w:tc>
          <w:tcPr>
            <w:tcW w:w="3024" w:type="dxa"/>
            <w:tcMar>
              <w:top w:w="70" w:type="dxa"/>
              <w:left w:w="90" w:type="dxa"/>
              <w:bottom w:w="70" w:type="dxa"/>
              <w:right w:w="90" w:type="dxa"/>
            </w:tcMar>
            <w:vAlign w:val="center"/>
          </w:tcPr>
          <w:p w14:paraId="417C8F46" w14:textId="77777777" w:rsidR="008E5FBD" w:rsidRDefault="00000000">
            <w:pPr>
              <w:spacing w:after="0" w:line="240" w:lineRule="auto"/>
              <w:rPr>
                <w:rFonts w:hint="eastAsia"/>
              </w:rPr>
            </w:pPr>
            <w:r>
              <w:rPr>
                <w:sz w:val="16"/>
              </w:rPr>
              <w:t>Reversible with time/cost</w:t>
            </w:r>
          </w:p>
        </w:tc>
      </w:tr>
      <w:tr w:rsidR="008E5FBD" w14:paraId="2F68EC20" w14:textId="77777777">
        <w:trPr>
          <w:jc w:val="center"/>
        </w:trPr>
        <w:tc>
          <w:tcPr>
            <w:tcW w:w="1584" w:type="dxa"/>
            <w:shd w:val="clear" w:color="auto" w:fill="F4F7FA"/>
            <w:tcMar>
              <w:top w:w="70" w:type="dxa"/>
              <w:left w:w="90" w:type="dxa"/>
              <w:bottom w:w="70" w:type="dxa"/>
              <w:right w:w="90" w:type="dxa"/>
            </w:tcMar>
            <w:vAlign w:val="center"/>
          </w:tcPr>
          <w:p w14:paraId="789384FD" w14:textId="77777777" w:rsidR="008E5FBD" w:rsidRDefault="00000000">
            <w:pPr>
              <w:spacing w:after="0" w:line="240" w:lineRule="auto"/>
              <w:rPr>
                <w:rFonts w:hint="eastAsia"/>
              </w:rPr>
            </w:pPr>
            <w:r>
              <w:rPr>
                <w:sz w:val="16"/>
              </w:rPr>
              <w:t>Safeguard response</w:t>
            </w:r>
          </w:p>
        </w:tc>
        <w:tc>
          <w:tcPr>
            <w:tcW w:w="4320" w:type="dxa"/>
            <w:shd w:val="clear" w:color="auto" w:fill="F4F7FA"/>
            <w:tcMar>
              <w:top w:w="70" w:type="dxa"/>
              <w:left w:w="90" w:type="dxa"/>
              <w:bottom w:w="70" w:type="dxa"/>
              <w:right w:w="90" w:type="dxa"/>
            </w:tcMar>
            <w:vAlign w:val="center"/>
          </w:tcPr>
          <w:p w14:paraId="4E61D63F" w14:textId="77777777" w:rsidR="008E5FBD" w:rsidRDefault="00000000">
            <w:pPr>
              <w:spacing w:after="0" w:line="240" w:lineRule="auto"/>
              <w:rPr>
                <w:rFonts w:hint="eastAsia"/>
              </w:rPr>
            </w:pPr>
            <w:r>
              <w:rPr>
                <w:sz w:val="16"/>
              </w:rPr>
              <w:t>Avoid, clarify, confirm, or abort</w:t>
            </w:r>
          </w:p>
        </w:tc>
        <w:tc>
          <w:tcPr>
            <w:tcW w:w="3024" w:type="dxa"/>
            <w:shd w:val="clear" w:color="auto" w:fill="F4F7FA"/>
            <w:tcMar>
              <w:top w:w="70" w:type="dxa"/>
              <w:left w:w="90" w:type="dxa"/>
              <w:bottom w:w="70" w:type="dxa"/>
              <w:right w:w="90" w:type="dxa"/>
            </w:tcMar>
            <w:vAlign w:val="center"/>
          </w:tcPr>
          <w:p w14:paraId="1A64FDCA" w14:textId="77777777" w:rsidR="008E5FBD" w:rsidRDefault="00000000">
            <w:pPr>
              <w:spacing w:after="0" w:line="240" w:lineRule="auto"/>
              <w:rPr>
                <w:rFonts w:hint="eastAsia"/>
              </w:rPr>
            </w:pPr>
            <w:r>
              <w:rPr>
                <w:sz w:val="16"/>
              </w:rPr>
              <w:t>Avoid; abort if no safe route exists</w:t>
            </w:r>
          </w:p>
        </w:tc>
      </w:tr>
    </w:tbl>
    <w:p w14:paraId="673754E0" w14:textId="77777777" w:rsidR="008E5FBD" w:rsidRDefault="008E5FBD">
      <w:pPr>
        <w:spacing w:after="0"/>
        <w:rPr>
          <w:rFonts w:hint="eastAsia"/>
        </w:rPr>
      </w:pPr>
    </w:p>
    <w:p w14:paraId="50BFF9A1" w14:textId="77777777" w:rsidR="008E5FBD" w:rsidRDefault="00000000">
      <w:pPr>
        <w:pStyle w:val="SmallNote"/>
        <w:rPr>
          <w:rFonts w:hint="eastAsia"/>
        </w:rPr>
      </w:pPr>
      <w:r>
        <w:t>Do not assign numerical harm severity scores in Version 1. Such weights would require additional normative justification and validation.</w:t>
      </w:r>
    </w:p>
    <w:p w14:paraId="6FD870AC" w14:textId="77777777" w:rsidR="008E5FBD" w:rsidRDefault="00000000">
      <w:pPr>
        <w:pStyle w:val="Heading3"/>
      </w:pPr>
      <w:r>
        <w:t>A3. Formalize the task-construction protocol</w:t>
      </w:r>
    </w:p>
    <w:p w14:paraId="5D6778DC" w14:textId="77777777" w:rsidR="008E5FBD" w:rsidRDefault="00000000">
      <w:pPr>
        <w:rPr>
          <w:rFonts w:hint="eastAsia"/>
        </w:rPr>
      </w:pPr>
      <w:r>
        <w:t>Define each task as T = (G, E, D, R, A_safe, A_unsafe, S, H), where G is the nominal goal; E the interface and trajectory; D the deceptive family and low-level implementation; R the risk point; A_safe and A_unsafe the safe and unsafe paths; S the deterministic terminal-state specification; and H the protected interest and potential harm.</w:t>
      </w:r>
    </w:p>
    <w:p w14:paraId="65946BDB" w14:textId="77777777" w:rsidR="008E5FBD" w:rsidRDefault="00000000">
      <w:pPr>
        <w:rPr>
          <w:rFonts w:hint="eastAsia"/>
        </w:rPr>
      </w:pPr>
      <w:r>
        <w:t>State the inclusion criteria:</w:t>
      </w:r>
    </w:p>
    <w:p w14:paraId="09FAABE5" w14:textId="77777777" w:rsidR="008E5FBD" w:rsidRDefault="00000000">
      <w:pPr>
        <w:pStyle w:val="ListBullet"/>
        <w:spacing w:after="40"/>
        <w:rPr>
          <w:rFonts w:hint="eastAsia"/>
        </w:rPr>
      </w:pPr>
      <w:r>
        <w:t>A safe route to the nominal goal exists.</w:t>
      </w:r>
    </w:p>
    <w:p w14:paraId="70A122EA" w14:textId="77777777" w:rsidR="008E5FBD" w:rsidRDefault="00000000">
      <w:pPr>
        <w:pStyle w:val="ListBullet"/>
        <w:spacing w:after="40"/>
        <w:rPr>
          <w:rFonts w:hint="eastAsia"/>
        </w:rPr>
      </w:pPr>
      <w:r>
        <w:t>Safe and unsafe paths lead to comparable nominal endpoints.</w:t>
      </w:r>
    </w:p>
    <w:p w14:paraId="70C56A15" w14:textId="77777777" w:rsidR="008E5FBD" w:rsidRDefault="00000000">
      <w:pPr>
        <w:pStyle w:val="ListBullet"/>
        <w:spacing w:after="40"/>
        <w:rPr>
          <w:rFonts w:hint="eastAsia"/>
        </w:rPr>
      </w:pPr>
      <w:r>
        <w:t>The unsafe path creates a concrete financial, privacy, consent, autonomy, or policy consequence.</w:t>
      </w:r>
    </w:p>
    <w:p w14:paraId="6083AA3A" w14:textId="77777777" w:rsidR="008E5FBD" w:rsidRDefault="00000000">
      <w:pPr>
        <w:pStyle w:val="ListBullet"/>
        <w:spacing w:after="40"/>
        <w:rPr>
          <w:rFonts w:hint="eastAsia"/>
        </w:rPr>
      </w:pPr>
      <w:r>
        <w:t>The risk control is perceptible and actionable at the fixed viewport or documented interaction point.</w:t>
      </w:r>
    </w:p>
    <w:p w14:paraId="362663FD" w14:textId="77777777" w:rsidR="008E5FBD" w:rsidRDefault="00000000">
      <w:pPr>
        <w:pStyle w:val="ListBullet"/>
        <w:spacing w:after="40"/>
        <w:rPr>
          <w:rFonts w:hint="eastAsia"/>
        </w:rPr>
      </w:pPr>
      <w:r>
        <w:t>Safe and unsafe outcomes can be verified deterministically.</w:t>
      </w:r>
    </w:p>
    <w:p w14:paraId="79D6B07B" w14:textId="77777777" w:rsidR="008E5FBD" w:rsidRDefault="00000000">
      <w:pPr>
        <w:pStyle w:val="ListBullet"/>
        <w:spacing w:after="40"/>
        <w:rPr>
          <w:rFonts w:hint="eastAsia"/>
        </w:rPr>
      </w:pPr>
      <w:r>
        <w:t>The task maps to a documented deceptive-interface category.</w:t>
      </w:r>
    </w:p>
    <w:p w14:paraId="3C3D5B24" w14:textId="77777777" w:rsidR="008E5FBD" w:rsidRDefault="00000000">
      <w:pPr>
        <w:pStyle w:val="ListBullet"/>
        <w:spacing w:after="40"/>
        <w:rPr>
          <w:rFonts w:hint="eastAsia"/>
        </w:rPr>
      </w:pPr>
      <w:r>
        <w:t>No real accounts, payment endpoints, or sensitive personal data are used.</w:t>
      </w:r>
    </w:p>
    <w:p w14:paraId="18DE42AE" w14:textId="77777777" w:rsidR="008E5FBD" w:rsidRDefault="00000000">
      <w:pPr>
        <w:pStyle w:val="Heading3"/>
      </w:pPr>
      <w:r>
        <w:t>A4. Distinguish three evaluation layers</w:t>
      </w:r>
    </w:p>
    <w:tbl>
      <w:tblPr>
        <w:tblStyle w:val="TableGrid"/>
        <w:tblW w:w="0" w:type="auto"/>
        <w:jc w:val="center"/>
        <w:tblLook w:val="04A0" w:firstRow="1" w:lastRow="0" w:firstColumn="1" w:lastColumn="0" w:noHBand="0" w:noVBand="1"/>
      </w:tblPr>
      <w:tblGrid>
        <w:gridCol w:w="10166"/>
      </w:tblGrid>
      <w:tr w:rsidR="008E5FBD" w14:paraId="4D5E5AC6" w14:textId="77777777">
        <w:trPr>
          <w:jc w:val="center"/>
        </w:trPr>
        <w:tc>
          <w:tcPr>
            <w:tcW w:w="10166" w:type="dxa"/>
            <w:shd w:val="clear" w:color="auto" w:fill="D9EAF7"/>
            <w:tcMar>
              <w:top w:w="100" w:type="dxa"/>
              <w:left w:w="130" w:type="dxa"/>
              <w:bottom w:w="100" w:type="dxa"/>
              <w:right w:w="130" w:type="dxa"/>
            </w:tcMar>
          </w:tcPr>
          <w:p w14:paraId="21B0D572" w14:textId="77777777" w:rsidR="008E5FBD" w:rsidRDefault="00000000">
            <w:pPr>
              <w:spacing w:after="40"/>
              <w:rPr>
                <w:rFonts w:hint="eastAsia"/>
              </w:rPr>
            </w:pPr>
            <w:r>
              <w:rPr>
                <w:b/>
                <w:color w:val="1F3758"/>
                <w:sz w:val="20"/>
              </w:rPr>
              <w:t>Layered benchmark architecture</w:t>
            </w:r>
          </w:p>
          <w:p w14:paraId="17F92DCA" w14:textId="77777777" w:rsidR="008E5FBD" w:rsidRDefault="00000000">
            <w:pPr>
              <w:spacing w:after="0"/>
              <w:rPr>
                <w:rFonts w:hint="eastAsia"/>
              </w:rPr>
            </w:pPr>
            <w:r>
              <w:rPr>
                <w:sz w:val="18"/>
              </w:rPr>
              <w:t>Risk detection -&gt; safeguard delivery -&gt; agent response. The current paper primarily evaluates agent response under oracle task annotations. This is a controlled factorization, not a claim that real deployments have perfect detectors.</w:t>
            </w:r>
          </w:p>
        </w:tc>
      </w:tr>
    </w:tbl>
    <w:p w14:paraId="37CD4734" w14:textId="77777777" w:rsidR="008E5FBD" w:rsidRDefault="008E5FBD">
      <w:pPr>
        <w:spacing w:after="0"/>
        <w:rPr>
          <w:rFonts w:hint="eastAsia"/>
        </w:rPr>
      </w:pPr>
    </w:p>
    <w:p w14:paraId="59317799" w14:textId="77777777" w:rsidR="008E5FBD" w:rsidRDefault="00000000">
      <w:pPr>
        <w:pStyle w:val="ListBullet"/>
        <w:spacing w:after="40"/>
        <w:rPr>
          <w:rFonts w:hint="eastAsia"/>
        </w:rPr>
      </w:pPr>
      <w:r>
        <w:t>Oracle-trigger layer: asks whether a correctly triggered warning changes behavior.</w:t>
      </w:r>
    </w:p>
    <w:p w14:paraId="59C5FD06" w14:textId="77777777" w:rsidR="008E5FBD" w:rsidRDefault="00000000">
      <w:pPr>
        <w:pStyle w:val="ListBullet"/>
        <w:spacing w:after="40"/>
        <w:rPr>
          <w:rFonts w:hint="eastAsia"/>
        </w:rPr>
      </w:pPr>
      <w:r>
        <w:t>Detector-coupled layer: later tests false positives, false negatives, delayed warnings, and imperfect localization.</w:t>
      </w:r>
    </w:p>
    <w:p w14:paraId="1B88C438" w14:textId="77777777" w:rsidR="008E5FBD" w:rsidRDefault="00000000">
      <w:pPr>
        <w:pStyle w:val="ListBullet"/>
        <w:spacing w:after="40"/>
        <w:rPr>
          <w:rFonts w:hint="eastAsia"/>
        </w:rPr>
      </w:pPr>
      <w:r>
        <w:t>End-to-end deployment layer: later combines detector quality, warning efficacy, and operational monitoring.</w:t>
      </w:r>
    </w:p>
    <w:p w14:paraId="68DC678A" w14:textId="77777777" w:rsidR="008E5FBD" w:rsidRDefault="00000000">
      <w:pPr>
        <w:pStyle w:val="Heading3"/>
      </w:pPr>
      <w:r>
        <w:t>A5. Reanalyze the existing data and logs</w:t>
      </w:r>
    </w:p>
    <w:p w14:paraId="6A7D191C" w14:textId="77777777" w:rsidR="008E5FBD" w:rsidRDefault="00000000">
      <w:pPr>
        <w:rPr>
          <w:rFonts w:hint="eastAsia"/>
        </w:rPr>
      </w:pPr>
      <w:r>
        <w:t>Required analyses:</w:t>
      </w:r>
    </w:p>
    <w:tbl>
      <w:tblPr>
        <w:tblStyle w:val="TableGrid"/>
        <w:tblW w:w="0" w:type="auto"/>
        <w:jc w:val="center"/>
        <w:tblLook w:val="04A0" w:firstRow="1" w:lastRow="0" w:firstColumn="1" w:lastColumn="0" w:noHBand="0" w:noVBand="1"/>
      </w:tblPr>
      <w:tblGrid>
        <w:gridCol w:w="2088"/>
        <w:gridCol w:w="5616"/>
        <w:gridCol w:w="2088"/>
      </w:tblGrid>
      <w:tr w:rsidR="008E5FBD" w14:paraId="378511CD" w14:textId="77777777">
        <w:trPr>
          <w:tblHeader/>
          <w:jc w:val="center"/>
        </w:trPr>
        <w:tc>
          <w:tcPr>
            <w:tcW w:w="2088" w:type="dxa"/>
            <w:shd w:val="clear" w:color="auto" w:fill="D9EAF7"/>
            <w:tcMar>
              <w:top w:w="70" w:type="dxa"/>
              <w:left w:w="90" w:type="dxa"/>
              <w:bottom w:w="70" w:type="dxa"/>
              <w:right w:w="90" w:type="dxa"/>
            </w:tcMar>
            <w:vAlign w:val="center"/>
          </w:tcPr>
          <w:p w14:paraId="5C392A4D" w14:textId="77777777" w:rsidR="008E5FBD" w:rsidRDefault="00000000">
            <w:pPr>
              <w:spacing w:after="0" w:line="240" w:lineRule="auto"/>
              <w:rPr>
                <w:rFonts w:hint="eastAsia"/>
              </w:rPr>
            </w:pPr>
            <w:r>
              <w:rPr>
                <w:b/>
                <w:color w:val="1F3758"/>
                <w:sz w:val="16"/>
              </w:rPr>
              <w:t>Analysis</w:t>
            </w:r>
          </w:p>
        </w:tc>
        <w:tc>
          <w:tcPr>
            <w:tcW w:w="5616" w:type="dxa"/>
            <w:shd w:val="clear" w:color="auto" w:fill="D9EAF7"/>
            <w:tcMar>
              <w:top w:w="70" w:type="dxa"/>
              <w:left w:w="90" w:type="dxa"/>
              <w:bottom w:w="70" w:type="dxa"/>
              <w:right w:w="90" w:type="dxa"/>
            </w:tcMar>
            <w:vAlign w:val="center"/>
          </w:tcPr>
          <w:p w14:paraId="1818B1BA" w14:textId="77777777" w:rsidR="008E5FBD" w:rsidRDefault="00000000">
            <w:pPr>
              <w:spacing w:after="0" w:line="240" w:lineRule="auto"/>
              <w:rPr>
                <w:rFonts w:hint="eastAsia"/>
              </w:rPr>
            </w:pPr>
            <w:r>
              <w:rPr>
                <w:b/>
                <w:color w:val="1F3758"/>
                <w:sz w:val="16"/>
              </w:rPr>
              <w:t>Specification</w:t>
            </w:r>
          </w:p>
        </w:tc>
        <w:tc>
          <w:tcPr>
            <w:tcW w:w="2088" w:type="dxa"/>
            <w:shd w:val="clear" w:color="auto" w:fill="D9EAF7"/>
            <w:tcMar>
              <w:top w:w="70" w:type="dxa"/>
              <w:left w:w="90" w:type="dxa"/>
              <w:bottom w:w="70" w:type="dxa"/>
              <w:right w:w="90" w:type="dxa"/>
            </w:tcMar>
            <w:vAlign w:val="center"/>
          </w:tcPr>
          <w:p w14:paraId="0666F9AD" w14:textId="77777777" w:rsidR="008E5FBD" w:rsidRDefault="00000000">
            <w:pPr>
              <w:spacing w:after="0" w:line="240" w:lineRule="auto"/>
              <w:rPr>
                <w:rFonts w:hint="eastAsia"/>
              </w:rPr>
            </w:pPr>
            <w:r>
              <w:rPr>
                <w:b/>
                <w:color w:val="1F3758"/>
                <w:sz w:val="16"/>
              </w:rPr>
              <w:t>Output</w:t>
            </w:r>
          </w:p>
        </w:tc>
      </w:tr>
      <w:tr w:rsidR="008E5FBD" w14:paraId="63E79231" w14:textId="77777777">
        <w:trPr>
          <w:jc w:val="center"/>
        </w:trPr>
        <w:tc>
          <w:tcPr>
            <w:tcW w:w="2088" w:type="dxa"/>
            <w:tcMar>
              <w:top w:w="70" w:type="dxa"/>
              <w:left w:w="90" w:type="dxa"/>
              <w:bottom w:w="70" w:type="dxa"/>
              <w:right w:w="90" w:type="dxa"/>
            </w:tcMar>
            <w:vAlign w:val="center"/>
          </w:tcPr>
          <w:p w14:paraId="0708C8E8" w14:textId="77777777" w:rsidR="008E5FBD" w:rsidRDefault="00000000">
            <w:pPr>
              <w:spacing w:after="0" w:line="240" w:lineRule="auto"/>
              <w:rPr>
                <w:rFonts w:hint="eastAsia"/>
              </w:rPr>
            </w:pPr>
            <w:r>
              <w:rPr>
                <w:sz w:val="16"/>
              </w:rPr>
              <w:t>Nominal vs. trustworthy completion</w:t>
            </w:r>
          </w:p>
        </w:tc>
        <w:tc>
          <w:tcPr>
            <w:tcW w:w="5616" w:type="dxa"/>
            <w:tcMar>
              <w:top w:w="70" w:type="dxa"/>
              <w:left w:w="90" w:type="dxa"/>
              <w:bottom w:w="70" w:type="dxa"/>
              <w:right w:w="90" w:type="dxa"/>
            </w:tcMar>
            <w:vAlign w:val="center"/>
          </w:tcPr>
          <w:p w14:paraId="7710212D" w14:textId="77777777" w:rsidR="008E5FBD" w:rsidRDefault="00000000">
            <w:pPr>
              <w:spacing w:after="0" w:line="240" w:lineRule="auto"/>
              <w:rPr>
                <w:rFonts w:hint="eastAsia"/>
              </w:rPr>
            </w:pPr>
            <w:r>
              <w:rPr>
                <w:sz w:val="16"/>
              </w:rPr>
              <w:t>Nominal completion = safe completion + unsafe completion; trustworthy completion = safe completion.</w:t>
            </w:r>
          </w:p>
        </w:tc>
        <w:tc>
          <w:tcPr>
            <w:tcW w:w="2088" w:type="dxa"/>
            <w:tcMar>
              <w:top w:w="70" w:type="dxa"/>
              <w:left w:w="90" w:type="dxa"/>
              <w:bottom w:w="70" w:type="dxa"/>
              <w:right w:w="90" w:type="dxa"/>
            </w:tcMar>
            <w:vAlign w:val="center"/>
          </w:tcPr>
          <w:p w14:paraId="40D5C4B1" w14:textId="77777777" w:rsidR="008E5FBD" w:rsidRDefault="00000000">
            <w:pPr>
              <w:spacing w:after="0" w:line="240" w:lineRule="auto"/>
              <w:rPr>
                <w:rFonts w:hint="eastAsia"/>
              </w:rPr>
            </w:pPr>
            <w:r>
              <w:rPr>
                <w:sz w:val="16"/>
              </w:rPr>
              <w:t>Main conceptual figure</w:t>
            </w:r>
          </w:p>
        </w:tc>
      </w:tr>
      <w:tr w:rsidR="008E5FBD" w14:paraId="2728DC7F" w14:textId="77777777">
        <w:trPr>
          <w:jc w:val="center"/>
        </w:trPr>
        <w:tc>
          <w:tcPr>
            <w:tcW w:w="2088" w:type="dxa"/>
            <w:shd w:val="clear" w:color="auto" w:fill="F4F7FA"/>
            <w:tcMar>
              <w:top w:w="70" w:type="dxa"/>
              <w:left w:w="90" w:type="dxa"/>
              <w:bottom w:w="70" w:type="dxa"/>
              <w:right w:w="90" w:type="dxa"/>
            </w:tcMar>
            <w:vAlign w:val="center"/>
          </w:tcPr>
          <w:p w14:paraId="45E03E1D" w14:textId="77777777" w:rsidR="008E5FBD" w:rsidRDefault="00000000">
            <w:pPr>
              <w:spacing w:after="0" w:line="240" w:lineRule="auto"/>
              <w:rPr>
                <w:rFonts w:hint="eastAsia"/>
              </w:rPr>
            </w:pPr>
            <w:r>
              <w:rPr>
                <w:sz w:val="16"/>
              </w:rPr>
              <w:t>Four-way outcome distribution</w:t>
            </w:r>
          </w:p>
        </w:tc>
        <w:tc>
          <w:tcPr>
            <w:tcW w:w="5616" w:type="dxa"/>
            <w:shd w:val="clear" w:color="auto" w:fill="F4F7FA"/>
            <w:tcMar>
              <w:top w:w="70" w:type="dxa"/>
              <w:left w:w="90" w:type="dxa"/>
              <w:bottom w:w="70" w:type="dxa"/>
              <w:right w:w="90" w:type="dxa"/>
            </w:tcMar>
            <w:vAlign w:val="center"/>
          </w:tcPr>
          <w:p w14:paraId="46BBAFFB" w14:textId="77777777" w:rsidR="008E5FBD" w:rsidRDefault="00000000">
            <w:pPr>
              <w:spacing w:after="0" w:line="240" w:lineRule="auto"/>
              <w:rPr>
                <w:rFonts w:hint="eastAsia"/>
              </w:rPr>
            </w:pPr>
            <w:r>
              <w:rPr>
                <w:sz w:val="16"/>
              </w:rPr>
              <w:t>Report counts and rates for safe completion, unsafe completion, safe abort, and other failure.</w:t>
            </w:r>
          </w:p>
        </w:tc>
        <w:tc>
          <w:tcPr>
            <w:tcW w:w="2088" w:type="dxa"/>
            <w:shd w:val="clear" w:color="auto" w:fill="F4F7FA"/>
            <w:tcMar>
              <w:top w:w="70" w:type="dxa"/>
              <w:left w:w="90" w:type="dxa"/>
              <w:bottom w:w="70" w:type="dxa"/>
              <w:right w:w="90" w:type="dxa"/>
            </w:tcMar>
            <w:vAlign w:val="center"/>
          </w:tcPr>
          <w:p w14:paraId="295B1B08" w14:textId="77777777" w:rsidR="008E5FBD" w:rsidRDefault="00000000">
            <w:pPr>
              <w:spacing w:after="0" w:line="240" w:lineRule="auto"/>
              <w:rPr>
                <w:rFonts w:hint="eastAsia"/>
              </w:rPr>
            </w:pPr>
            <w:r>
              <w:rPr>
                <w:sz w:val="16"/>
              </w:rPr>
              <w:t>Main results table</w:t>
            </w:r>
          </w:p>
        </w:tc>
      </w:tr>
      <w:tr w:rsidR="008E5FBD" w14:paraId="0AC1F853" w14:textId="77777777">
        <w:trPr>
          <w:jc w:val="center"/>
        </w:trPr>
        <w:tc>
          <w:tcPr>
            <w:tcW w:w="2088" w:type="dxa"/>
            <w:tcMar>
              <w:top w:w="70" w:type="dxa"/>
              <w:left w:w="90" w:type="dxa"/>
              <w:bottom w:w="70" w:type="dxa"/>
              <w:right w:w="90" w:type="dxa"/>
            </w:tcMar>
            <w:vAlign w:val="center"/>
          </w:tcPr>
          <w:p w14:paraId="659FBEC3" w14:textId="77777777" w:rsidR="008E5FBD" w:rsidRDefault="00000000">
            <w:pPr>
              <w:spacing w:after="0" w:line="240" w:lineRule="auto"/>
              <w:rPr>
                <w:rFonts w:hint="eastAsia"/>
              </w:rPr>
            </w:pPr>
            <w:r>
              <w:rPr>
                <w:sz w:val="16"/>
              </w:rPr>
              <w:t>Task-level heterogeneity</w:t>
            </w:r>
          </w:p>
        </w:tc>
        <w:tc>
          <w:tcPr>
            <w:tcW w:w="5616" w:type="dxa"/>
            <w:tcMar>
              <w:top w:w="70" w:type="dxa"/>
              <w:left w:w="90" w:type="dxa"/>
              <w:bottom w:w="70" w:type="dxa"/>
              <w:right w:w="90" w:type="dxa"/>
            </w:tcMar>
            <w:vAlign w:val="center"/>
          </w:tcPr>
          <w:p w14:paraId="3C663BBF" w14:textId="77777777" w:rsidR="008E5FBD" w:rsidRDefault="00000000">
            <w:pPr>
              <w:spacing w:after="0" w:line="240" w:lineRule="auto"/>
              <w:rPr>
                <w:rFonts w:hint="eastAsia"/>
              </w:rPr>
            </w:pPr>
            <w:r>
              <w:rPr>
                <w:sz w:val="16"/>
              </w:rPr>
              <w:t>Heatmap by task and warning condition; descriptive, not confirmatory.</w:t>
            </w:r>
          </w:p>
        </w:tc>
        <w:tc>
          <w:tcPr>
            <w:tcW w:w="2088" w:type="dxa"/>
            <w:tcMar>
              <w:top w:w="70" w:type="dxa"/>
              <w:left w:w="90" w:type="dxa"/>
              <w:bottom w:w="70" w:type="dxa"/>
              <w:right w:w="90" w:type="dxa"/>
            </w:tcMar>
            <w:vAlign w:val="center"/>
          </w:tcPr>
          <w:p w14:paraId="390EE05C" w14:textId="77777777" w:rsidR="008E5FBD" w:rsidRDefault="00000000">
            <w:pPr>
              <w:spacing w:after="0" w:line="240" w:lineRule="auto"/>
              <w:rPr>
                <w:rFonts w:hint="eastAsia"/>
              </w:rPr>
            </w:pPr>
            <w:r>
              <w:rPr>
                <w:sz w:val="16"/>
              </w:rPr>
              <w:t>Main or appendix figure</w:t>
            </w:r>
          </w:p>
        </w:tc>
      </w:tr>
      <w:tr w:rsidR="008E5FBD" w14:paraId="022E1987" w14:textId="77777777">
        <w:trPr>
          <w:jc w:val="center"/>
        </w:trPr>
        <w:tc>
          <w:tcPr>
            <w:tcW w:w="2088" w:type="dxa"/>
            <w:shd w:val="clear" w:color="auto" w:fill="F4F7FA"/>
            <w:tcMar>
              <w:top w:w="70" w:type="dxa"/>
              <w:left w:w="90" w:type="dxa"/>
              <w:bottom w:w="70" w:type="dxa"/>
              <w:right w:w="90" w:type="dxa"/>
            </w:tcMar>
            <w:vAlign w:val="center"/>
          </w:tcPr>
          <w:p w14:paraId="4E6045E5" w14:textId="77777777" w:rsidR="008E5FBD" w:rsidRDefault="00000000">
            <w:pPr>
              <w:spacing w:after="0" w:line="240" w:lineRule="auto"/>
              <w:rPr>
                <w:rFonts w:hint="eastAsia"/>
              </w:rPr>
            </w:pPr>
            <w:r>
              <w:rPr>
                <w:sz w:val="16"/>
              </w:rPr>
              <w:t>Failure decomposition</w:t>
            </w:r>
          </w:p>
        </w:tc>
        <w:tc>
          <w:tcPr>
            <w:tcW w:w="5616" w:type="dxa"/>
            <w:shd w:val="clear" w:color="auto" w:fill="F4F7FA"/>
            <w:tcMar>
              <w:top w:w="70" w:type="dxa"/>
              <w:left w:w="90" w:type="dxa"/>
              <w:bottom w:w="70" w:type="dxa"/>
              <w:right w:w="90" w:type="dxa"/>
            </w:tcMar>
            <w:vAlign w:val="center"/>
          </w:tcPr>
          <w:p w14:paraId="5E662F71" w14:textId="77777777" w:rsidR="008E5FBD" w:rsidRDefault="00000000">
            <w:pPr>
              <w:spacing w:after="0" w:line="240" w:lineRule="auto"/>
              <w:rPr>
                <w:rFonts w:hint="eastAsia"/>
              </w:rPr>
            </w:pPr>
            <w:r>
              <w:rPr>
                <w:sz w:val="16"/>
              </w:rPr>
              <w:t>Separate unsafe decisions, safe abstention, navigation/grounding failure, and infrastructure failure.</w:t>
            </w:r>
          </w:p>
        </w:tc>
        <w:tc>
          <w:tcPr>
            <w:tcW w:w="2088" w:type="dxa"/>
            <w:shd w:val="clear" w:color="auto" w:fill="F4F7FA"/>
            <w:tcMar>
              <w:top w:w="70" w:type="dxa"/>
              <w:left w:w="90" w:type="dxa"/>
              <w:bottom w:w="70" w:type="dxa"/>
              <w:right w:w="90" w:type="dxa"/>
            </w:tcMar>
            <w:vAlign w:val="center"/>
          </w:tcPr>
          <w:p w14:paraId="1136E64F" w14:textId="77777777" w:rsidR="008E5FBD" w:rsidRDefault="00000000">
            <w:pPr>
              <w:spacing w:after="0" w:line="240" w:lineRule="auto"/>
              <w:rPr>
                <w:rFonts w:hint="eastAsia"/>
              </w:rPr>
            </w:pPr>
            <w:r>
              <w:rPr>
                <w:sz w:val="16"/>
              </w:rPr>
              <w:t>Results subsection</w:t>
            </w:r>
          </w:p>
        </w:tc>
      </w:tr>
      <w:tr w:rsidR="008E5FBD" w14:paraId="4291C360" w14:textId="77777777">
        <w:trPr>
          <w:jc w:val="center"/>
        </w:trPr>
        <w:tc>
          <w:tcPr>
            <w:tcW w:w="2088" w:type="dxa"/>
            <w:tcMar>
              <w:top w:w="70" w:type="dxa"/>
              <w:left w:w="90" w:type="dxa"/>
              <w:bottom w:w="70" w:type="dxa"/>
              <w:right w:w="90" w:type="dxa"/>
            </w:tcMar>
            <w:vAlign w:val="center"/>
          </w:tcPr>
          <w:p w14:paraId="3D9605B1" w14:textId="77777777" w:rsidR="008E5FBD" w:rsidRDefault="00000000">
            <w:pPr>
              <w:spacing w:after="0" w:line="240" w:lineRule="auto"/>
              <w:rPr>
                <w:rFonts w:hint="eastAsia"/>
              </w:rPr>
            </w:pPr>
            <w:r>
              <w:rPr>
                <w:sz w:val="16"/>
              </w:rPr>
              <w:t>Path diagnostics</w:t>
            </w:r>
          </w:p>
        </w:tc>
        <w:tc>
          <w:tcPr>
            <w:tcW w:w="5616" w:type="dxa"/>
            <w:tcMar>
              <w:top w:w="70" w:type="dxa"/>
              <w:left w:w="90" w:type="dxa"/>
              <w:bottom w:w="70" w:type="dxa"/>
              <w:right w:w="90" w:type="dxa"/>
            </w:tcMar>
            <w:vAlign w:val="center"/>
          </w:tcPr>
          <w:p w14:paraId="3F65333E" w14:textId="77777777" w:rsidR="008E5FBD" w:rsidRDefault="00000000">
            <w:pPr>
              <w:spacing w:after="0" w:line="240" w:lineRule="auto"/>
              <w:rPr>
                <w:rFonts w:hint="eastAsia"/>
              </w:rPr>
            </w:pPr>
            <w:r>
              <w:rPr>
                <w:sz w:val="16"/>
              </w:rPr>
              <w:t>Use only diagnostics reliably reconstructable from traces, such as risk-control interaction or reversal.</w:t>
            </w:r>
          </w:p>
        </w:tc>
        <w:tc>
          <w:tcPr>
            <w:tcW w:w="2088" w:type="dxa"/>
            <w:tcMar>
              <w:top w:w="70" w:type="dxa"/>
              <w:left w:w="90" w:type="dxa"/>
              <w:bottom w:w="70" w:type="dxa"/>
              <w:right w:w="90" w:type="dxa"/>
            </w:tcMar>
            <w:vAlign w:val="center"/>
          </w:tcPr>
          <w:p w14:paraId="286B9722" w14:textId="77777777" w:rsidR="008E5FBD" w:rsidRDefault="00000000">
            <w:pPr>
              <w:spacing w:after="0" w:line="240" w:lineRule="auto"/>
              <w:rPr>
                <w:rFonts w:hint="eastAsia"/>
              </w:rPr>
            </w:pPr>
            <w:r>
              <w:rPr>
                <w:sz w:val="16"/>
              </w:rPr>
              <w:t>Appendix table</w:t>
            </w:r>
          </w:p>
        </w:tc>
      </w:tr>
      <w:tr w:rsidR="008E5FBD" w14:paraId="153D555E" w14:textId="77777777">
        <w:trPr>
          <w:jc w:val="center"/>
        </w:trPr>
        <w:tc>
          <w:tcPr>
            <w:tcW w:w="2088" w:type="dxa"/>
            <w:shd w:val="clear" w:color="auto" w:fill="F4F7FA"/>
            <w:tcMar>
              <w:top w:w="70" w:type="dxa"/>
              <w:left w:w="90" w:type="dxa"/>
              <w:bottom w:w="70" w:type="dxa"/>
              <w:right w:w="90" w:type="dxa"/>
            </w:tcMar>
            <w:vAlign w:val="center"/>
          </w:tcPr>
          <w:p w14:paraId="6D011369" w14:textId="77777777" w:rsidR="008E5FBD" w:rsidRDefault="00000000">
            <w:pPr>
              <w:spacing w:after="0" w:line="240" w:lineRule="auto"/>
              <w:rPr>
                <w:rFonts w:hint="eastAsia"/>
              </w:rPr>
            </w:pPr>
            <w:r>
              <w:rPr>
                <w:sz w:val="16"/>
              </w:rPr>
              <w:t>Uncertainty</w:t>
            </w:r>
          </w:p>
        </w:tc>
        <w:tc>
          <w:tcPr>
            <w:tcW w:w="5616" w:type="dxa"/>
            <w:shd w:val="clear" w:color="auto" w:fill="F4F7FA"/>
            <w:tcMar>
              <w:top w:w="70" w:type="dxa"/>
              <w:left w:w="90" w:type="dxa"/>
              <w:bottom w:w="70" w:type="dxa"/>
              <w:right w:w="90" w:type="dxa"/>
            </w:tcMar>
            <w:vAlign w:val="center"/>
          </w:tcPr>
          <w:p w14:paraId="5D52A5AB" w14:textId="77777777" w:rsidR="008E5FBD" w:rsidRDefault="00000000">
            <w:pPr>
              <w:spacing w:after="0" w:line="240" w:lineRule="auto"/>
              <w:rPr>
                <w:rFonts w:hint="eastAsia"/>
              </w:rPr>
            </w:pPr>
            <w:r>
              <w:rPr>
                <w:sz w:val="16"/>
              </w:rPr>
              <w:t>Counts, confidence intervals, and task-stratified resampling where feasible.</w:t>
            </w:r>
          </w:p>
        </w:tc>
        <w:tc>
          <w:tcPr>
            <w:tcW w:w="2088" w:type="dxa"/>
            <w:shd w:val="clear" w:color="auto" w:fill="F4F7FA"/>
            <w:tcMar>
              <w:top w:w="70" w:type="dxa"/>
              <w:left w:w="90" w:type="dxa"/>
              <w:bottom w:w="70" w:type="dxa"/>
              <w:right w:w="90" w:type="dxa"/>
            </w:tcMar>
            <w:vAlign w:val="center"/>
          </w:tcPr>
          <w:p w14:paraId="46AA7AFF" w14:textId="77777777" w:rsidR="008E5FBD" w:rsidRDefault="00000000">
            <w:pPr>
              <w:spacing w:after="0" w:line="240" w:lineRule="auto"/>
              <w:rPr>
                <w:rFonts w:hint="eastAsia"/>
              </w:rPr>
            </w:pPr>
            <w:r>
              <w:rPr>
                <w:sz w:val="16"/>
              </w:rPr>
              <w:t>Methods and captions</w:t>
            </w:r>
          </w:p>
        </w:tc>
      </w:tr>
    </w:tbl>
    <w:p w14:paraId="6D00AA9F" w14:textId="77777777" w:rsidR="008E5FBD" w:rsidRDefault="008E5FBD">
      <w:pPr>
        <w:spacing w:after="0"/>
        <w:rPr>
          <w:rFonts w:hint="eastAsia"/>
        </w:rPr>
      </w:pPr>
    </w:p>
    <w:p w14:paraId="4D9E8DCC" w14:textId="77777777" w:rsidR="008E5FBD" w:rsidRDefault="00000000">
      <w:pPr>
        <w:pStyle w:val="SmallNote"/>
        <w:rPr>
          <w:rFonts w:hint="eastAsia"/>
        </w:rPr>
      </w:pPr>
      <w:r>
        <w:t>Pattern-level results must remain exploratory. Do not rank warning channels when confidence intervals overlap substantially.</w:t>
      </w:r>
    </w:p>
    <w:p w14:paraId="56B2A47F" w14:textId="77777777" w:rsidR="008E5FBD" w:rsidRDefault="00000000">
      <w:pPr>
        <w:pStyle w:val="Heading3"/>
      </w:pPr>
      <w:r>
        <w:lastRenderedPageBreak/>
        <w:t>A6. Repair and extend the artifact</w:t>
      </w:r>
    </w:p>
    <w:p w14:paraId="1E5D90BA" w14:textId="77777777" w:rsidR="008E5FBD" w:rsidRDefault="00000000">
      <w:pPr>
        <w:pStyle w:val="ListBullet"/>
        <w:spacing w:after="40"/>
        <w:rPr>
          <w:rFonts w:hint="eastAsia"/>
        </w:rPr>
      </w:pPr>
      <w:r>
        <w:t>Verify anonymous access while logged out and in a private browser.</w:t>
      </w:r>
    </w:p>
    <w:p w14:paraId="0685FB54" w14:textId="77777777" w:rsidR="008E5FBD" w:rsidRDefault="00000000">
      <w:pPr>
        <w:pStyle w:val="ListBullet"/>
        <w:spacing w:after="40"/>
        <w:rPr>
          <w:rFonts w:hint="eastAsia"/>
        </w:rPr>
      </w:pPr>
      <w:r>
        <w:t>Pin dependencies and record exact environment and model configuration.</w:t>
      </w:r>
    </w:p>
    <w:p w14:paraId="5D076B21" w14:textId="77777777" w:rsidR="008E5FBD" w:rsidRDefault="00000000">
      <w:pPr>
        <w:pStyle w:val="ListBullet"/>
        <w:spacing w:after="40"/>
        <w:rPr>
          <w:rFonts w:hint="eastAsia"/>
        </w:rPr>
      </w:pPr>
      <w:r>
        <w:t>Provide exact commands to reproduce all current tables and figures.</w:t>
      </w:r>
    </w:p>
    <w:p w14:paraId="00A5B1E0" w14:textId="77777777" w:rsidR="008E5FBD" w:rsidRDefault="00000000">
      <w:pPr>
        <w:pStyle w:val="ListBullet"/>
        <w:spacing w:after="40"/>
        <w:rPr>
          <w:rFonts w:hint="eastAsia"/>
        </w:rPr>
      </w:pPr>
      <w:r>
        <w:t>Add updated task metadata, harm annotations, benchmark card, and task-construction protocol.</w:t>
      </w:r>
    </w:p>
    <w:p w14:paraId="6FA58C87" w14:textId="77777777" w:rsidR="008E5FBD" w:rsidRDefault="00000000">
      <w:pPr>
        <w:pStyle w:val="ListBullet"/>
        <w:spacing w:after="40"/>
        <w:rPr>
          <w:rFonts w:hint="eastAsia"/>
        </w:rPr>
      </w:pPr>
      <w:r>
        <w:t>Include deterministic scorer tests and a run manifest.</w:t>
      </w:r>
    </w:p>
    <w:p w14:paraId="3D0D130D" w14:textId="77777777" w:rsidR="008E5FBD" w:rsidRDefault="00000000">
      <w:pPr>
        <w:pStyle w:val="ListBullet"/>
        <w:spacing w:after="40"/>
        <w:rPr>
          <w:rFonts w:hint="eastAsia"/>
        </w:rPr>
      </w:pPr>
      <w:r>
        <w:t>Label completed features separately from planned extensions.</w:t>
      </w:r>
    </w:p>
    <w:p w14:paraId="39A0B044" w14:textId="77777777" w:rsidR="008E5FBD" w:rsidRDefault="00000000">
      <w:pPr>
        <w:pStyle w:val="ListBullet"/>
        <w:spacing w:after="40"/>
        <w:rPr>
          <w:rFonts w:hint="eastAsia"/>
        </w:rPr>
      </w:pPr>
      <w:r>
        <w:t>Test the artifact from a clean environment and retain a short verification log.</w:t>
      </w:r>
    </w:p>
    <w:p w14:paraId="6496F2AC" w14:textId="77777777" w:rsidR="008E5FBD" w:rsidRDefault="00000000">
      <w:pPr>
        <w:pStyle w:val="ListBullet"/>
        <w:rPr>
          <w:rFonts w:hint="eastAsia"/>
        </w:rPr>
      </w:pPr>
      <w:r>
        <w:t>Add the following URLs to the Overleaf project: the relevant GitHub organization, the relevant Hugging Face organization, and the anonymous GitHub repository.</w:t>
      </w:r>
    </w:p>
    <w:p w14:paraId="0DE8A5C0" w14:textId="77777777" w:rsidR="008E5FBD" w:rsidRDefault="00000000">
      <w:pPr>
        <w:pStyle w:val="ListBullet"/>
        <w:rPr>
          <w:rFonts w:hint="eastAsia"/>
        </w:rPr>
      </w:pPr>
      <w:r>
        <w:t>To preserve double-blind review, keep the non-anonymous organization URLs in a clearly labeled private Overleaf comment or internal metadata block that does not render in the submitted PDF. Only the anonymous repository URL should appear in the anonymized manuscript or supplement.</w:t>
      </w:r>
    </w:p>
    <w:p w14:paraId="312B747E" w14:textId="77777777" w:rsidR="008E5FBD" w:rsidRDefault="008E5FBD">
      <w:pPr>
        <w:rPr>
          <w:rFonts w:hint="eastAsia"/>
        </w:rPr>
      </w:pPr>
    </w:p>
    <w:p w14:paraId="6B20D306" w14:textId="77777777" w:rsidR="008E5FBD" w:rsidRDefault="008E5FBD">
      <w:pPr>
        <w:rPr>
          <w:rFonts w:hint="eastAsia"/>
        </w:rPr>
      </w:pPr>
    </w:p>
    <w:p w14:paraId="654C716F" w14:textId="77777777" w:rsidR="008E5FBD" w:rsidRDefault="00000000">
      <w:pPr>
        <w:pStyle w:val="Heading2"/>
      </w:pPr>
      <w:r>
        <w:t>B. Literature, Paper Structure, and Workshop Fit</w:t>
      </w:r>
    </w:p>
    <w:p w14:paraId="40A88A83" w14:textId="77777777" w:rsidR="008E5FBD" w:rsidRDefault="00000000">
      <w:pPr>
        <w:pStyle w:val="Heading3"/>
      </w:pPr>
      <w:r>
        <w:t>B1. Rewrite the related-work section around narrower comparisons</w:t>
      </w:r>
    </w:p>
    <w:p w14:paraId="1CD69F9B" w14:textId="77777777" w:rsidR="008E5FBD" w:rsidRDefault="00000000">
      <w:pPr>
        <w:rPr>
          <w:rFonts w:hint="eastAsia"/>
        </w:rPr>
      </w:pPr>
      <w:r>
        <w:t>Organize literature by threat model and evaluation question, rather than listing general web-agent benchmarks. The comparison must distinguish deceptive choice architecture from prompt injection, harmful user requests, general capability evaluation, and OS-level risk.</w:t>
      </w:r>
    </w:p>
    <w:tbl>
      <w:tblPr>
        <w:tblStyle w:val="TableGrid"/>
        <w:tblW w:w="0" w:type="auto"/>
        <w:jc w:val="center"/>
        <w:tblLook w:val="04A0" w:firstRow="1" w:lastRow="0" w:firstColumn="1" w:lastColumn="0" w:noHBand="0" w:noVBand="1"/>
      </w:tblPr>
      <w:tblGrid>
        <w:gridCol w:w="1872"/>
        <w:gridCol w:w="7992"/>
      </w:tblGrid>
      <w:tr w:rsidR="008E5FBD" w14:paraId="5AAB54A1" w14:textId="77777777">
        <w:trPr>
          <w:tblHeader/>
          <w:jc w:val="center"/>
        </w:trPr>
        <w:tc>
          <w:tcPr>
            <w:tcW w:w="1872" w:type="dxa"/>
            <w:shd w:val="clear" w:color="auto" w:fill="D9EAF7"/>
            <w:tcMar>
              <w:top w:w="70" w:type="dxa"/>
              <w:left w:w="90" w:type="dxa"/>
              <w:bottom w:w="70" w:type="dxa"/>
              <w:right w:w="90" w:type="dxa"/>
            </w:tcMar>
            <w:vAlign w:val="center"/>
          </w:tcPr>
          <w:p w14:paraId="70B5B2E1" w14:textId="77777777" w:rsidR="008E5FBD" w:rsidRDefault="00000000">
            <w:pPr>
              <w:spacing w:after="0" w:line="240" w:lineRule="auto"/>
              <w:rPr>
                <w:rFonts w:hint="eastAsia"/>
              </w:rPr>
            </w:pPr>
            <w:r>
              <w:rPr>
                <w:b/>
                <w:color w:val="1F3758"/>
                <w:sz w:val="16"/>
              </w:rPr>
              <w:t>Comparison axis</w:t>
            </w:r>
          </w:p>
        </w:tc>
        <w:tc>
          <w:tcPr>
            <w:tcW w:w="7992" w:type="dxa"/>
            <w:shd w:val="clear" w:color="auto" w:fill="D9EAF7"/>
            <w:tcMar>
              <w:top w:w="70" w:type="dxa"/>
              <w:left w:w="90" w:type="dxa"/>
              <w:bottom w:w="70" w:type="dxa"/>
              <w:right w:w="90" w:type="dxa"/>
            </w:tcMar>
            <w:vAlign w:val="center"/>
          </w:tcPr>
          <w:p w14:paraId="059C5D13" w14:textId="77777777" w:rsidR="008E5FBD" w:rsidRDefault="00000000">
            <w:pPr>
              <w:spacing w:after="0" w:line="240" w:lineRule="auto"/>
              <w:rPr>
                <w:rFonts w:hint="eastAsia"/>
              </w:rPr>
            </w:pPr>
            <w:r>
              <w:rPr>
                <w:b/>
                <w:color w:val="1F3758"/>
                <w:sz w:val="16"/>
              </w:rPr>
              <w:t>Required distinctions</w:t>
            </w:r>
          </w:p>
        </w:tc>
      </w:tr>
      <w:tr w:rsidR="008E5FBD" w14:paraId="40318C8B" w14:textId="77777777">
        <w:trPr>
          <w:jc w:val="center"/>
        </w:trPr>
        <w:tc>
          <w:tcPr>
            <w:tcW w:w="1872" w:type="dxa"/>
            <w:tcMar>
              <w:top w:w="70" w:type="dxa"/>
              <w:left w:w="90" w:type="dxa"/>
              <w:bottom w:w="70" w:type="dxa"/>
              <w:right w:w="90" w:type="dxa"/>
            </w:tcMar>
            <w:vAlign w:val="center"/>
          </w:tcPr>
          <w:p w14:paraId="79DA7D33" w14:textId="77777777" w:rsidR="008E5FBD" w:rsidRDefault="00000000">
            <w:pPr>
              <w:spacing w:after="0" w:line="240" w:lineRule="auto"/>
              <w:rPr>
                <w:rFonts w:hint="eastAsia"/>
              </w:rPr>
            </w:pPr>
            <w:r>
              <w:rPr>
                <w:sz w:val="16"/>
              </w:rPr>
              <w:t>Threat source</w:t>
            </w:r>
          </w:p>
        </w:tc>
        <w:tc>
          <w:tcPr>
            <w:tcW w:w="7992" w:type="dxa"/>
            <w:tcMar>
              <w:top w:w="70" w:type="dxa"/>
              <w:left w:w="90" w:type="dxa"/>
              <w:bottom w:w="70" w:type="dxa"/>
              <w:right w:w="90" w:type="dxa"/>
            </w:tcMar>
            <w:vAlign w:val="center"/>
          </w:tcPr>
          <w:p w14:paraId="4E021020" w14:textId="77777777" w:rsidR="008E5FBD" w:rsidRDefault="00000000">
            <w:pPr>
              <w:spacing w:after="0" w:line="240" w:lineRule="auto"/>
              <w:rPr>
                <w:rFonts w:hint="eastAsia"/>
              </w:rPr>
            </w:pPr>
            <w:r>
              <w:rPr>
                <w:sz w:val="16"/>
              </w:rPr>
              <w:t>Deceptive UI, injected instruction, harmful user request, latent environmental risk</w:t>
            </w:r>
          </w:p>
        </w:tc>
      </w:tr>
      <w:tr w:rsidR="008E5FBD" w14:paraId="17CEFD61" w14:textId="77777777">
        <w:trPr>
          <w:jc w:val="center"/>
        </w:trPr>
        <w:tc>
          <w:tcPr>
            <w:tcW w:w="1872" w:type="dxa"/>
            <w:shd w:val="clear" w:color="auto" w:fill="F4F7FA"/>
            <w:tcMar>
              <w:top w:w="70" w:type="dxa"/>
              <w:left w:w="90" w:type="dxa"/>
              <w:bottom w:w="70" w:type="dxa"/>
              <w:right w:w="90" w:type="dxa"/>
            </w:tcMar>
            <w:vAlign w:val="center"/>
          </w:tcPr>
          <w:p w14:paraId="47E98012" w14:textId="77777777" w:rsidR="008E5FBD" w:rsidRDefault="00000000">
            <w:pPr>
              <w:spacing w:after="0" w:line="240" w:lineRule="auto"/>
              <w:rPr>
                <w:rFonts w:hint="eastAsia"/>
              </w:rPr>
            </w:pPr>
            <w:r>
              <w:rPr>
                <w:sz w:val="16"/>
              </w:rPr>
              <w:t>User intent</w:t>
            </w:r>
          </w:p>
        </w:tc>
        <w:tc>
          <w:tcPr>
            <w:tcW w:w="7992" w:type="dxa"/>
            <w:shd w:val="clear" w:color="auto" w:fill="F4F7FA"/>
            <w:tcMar>
              <w:top w:w="70" w:type="dxa"/>
              <w:left w:w="90" w:type="dxa"/>
              <w:bottom w:w="70" w:type="dxa"/>
              <w:right w:w="90" w:type="dxa"/>
            </w:tcMar>
            <w:vAlign w:val="center"/>
          </w:tcPr>
          <w:p w14:paraId="63E308A1" w14:textId="77777777" w:rsidR="008E5FBD" w:rsidRDefault="00000000">
            <w:pPr>
              <w:spacing w:after="0" w:line="240" w:lineRule="auto"/>
              <w:rPr>
                <w:rFonts w:hint="eastAsia"/>
              </w:rPr>
            </w:pPr>
            <w:r>
              <w:rPr>
                <w:sz w:val="16"/>
              </w:rPr>
              <w:t>Benign, ambiguous, or malicious</w:t>
            </w:r>
          </w:p>
        </w:tc>
      </w:tr>
      <w:tr w:rsidR="008E5FBD" w14:paraId="0FE26071" w14:textId="77777777">
        <w:trPr>
          <w:jc w:val="center"/>
        </w:trPr>
        <w:tc>
          <w:tcPr>
            <w:tcW w:w="1872" w:type="dxa"/>
            <w:tcMar>
              <w:top w:w="70" w:type="dxa"/>
              <w:left w:w="90" w:type="dxa"/>
              <w:bottom w:w="70" w:type="dxa"/>
              <w:right w:w="90" w:type="dxa"/>
            </w:tcMar>
            <w:vAlign w:val="center"/>
          </w:tcPr>
          <w:p w14:paraId="7ADB337F" w14:textId="77777777" w:rsidR="008E5FBD" w:rsidRDefault="00000000">
            <w:pPr>
              <w:spacing w:after="0" w:line="240" w:lineRule="auto"/>
              <w:rPr>
                <w:rFonts w:hint="eastAsia"/>
              </w:rPr>
            </w:pPr>
            <w:r>
              <w:rPr>
                <w:sz w:val="16"/>
              </w:rPr>
              <w:t>Environment</w:t>
            </w:r>
          </w:p>
        </w:tc>
        <w:tc>
          <w:tcPr>
            <w:tcW w:w="7992" w:type="dxa"/>
            <w:tcMar>
              <w:top w:w="70" w:type="dxa"/>
              <w:left w:w="90" w:type="dxa"/>
              <w:bottom w:w="70" w:type="dxa"/>
              <w:right w:w="90" w:type="dxa"/>
            </w:tcMar>
            <w:vAlign w:val="center"/>
          </w:tcPr>
          <w:p w14:paraId="4653975B" w14:textId="77777777" w:rsidR="008E5FBD" w:rsidRDefault="00000000">
            <w:pPr>
              <w:spacing w:after="0" w:line="240" w:lineRule="auto"/>
              <w:rPr>
                <w:rFonts w:hint="eastAsia"/>
              </w:rPr>
            </w:pPr>
            <w:r>
              <w:rPr>
                <w:sz w:val="16"/>
              </w:rPr>
              <w:t>Web sandbox, live web, tool environment, mobile/desktop OS</w:t>
            </w:r>
          </w:p>
        </w:tc>
      </w:tr>
      <w:tr w:rsidR="008E5FBD" w14:paraId="2CD25A49" w14:textId="77777777">
        <w:trPr>
          <w:jc w:val="center"/>
        </w:trPr>
        <w:tc>
          <w:tcPr>
            <w:tcW w:w="1872" w:type="dxa"/>
            <w:shd w:val="clear" w:color="auto" w:fill="F4F7FA"/>
            <w:tcMar>
              <w:top w:w="70" w:type="dxa"/>
              <w:left w:w="90" w:type="dxa"/>
              <w:bottom w:w="70" w:type="dxa"/>
              <w:right w:w="90" w:type="dxa"/>
            </w:tcMar>
            <w:vAlign w:val="center"/>
          </w:tcPr>
          <w:p w14:paraId="7A9A957B" w14:textId="77777777" w:rsidR="008E5FBD" w:rsidRDefault="00000000">
            <w:pPr>
              <w:spacing w:after="0" w:line="240" w:lineRule="auto"/>
              <w:rPr>
                <w:rFonts w:hint="eastAsia"/>
              </w:rPr>
            </w:pPr>
            <w:r>
              <w:rPr>
                <w:sz w:val="16"/>
              </w:rPr>
              <w:t>Failure definition</w:t>
            </w:r>
          </w:p>
        </w:tc>
        <w:tc>
          <w:tcPr>
            <w:tcW w:w="7992" w:type="dxa"/>
            <w:shd w:val="clear" w:color="auto" w:fill="F4F7FA"/>
            <w:tcMar>
              <w:top w:w="70" w:type="dxa"/>
              <w:left w:w="90" w:type="dxa"/>
              <w:bottom w:w="70" w:type="dxa"/>
              <w:right w:w="90" w:type="dxa"/>
            </w:tcMar>
            <w:vAlign w:val="center"/>
          </w:tcPr>
          <w:p w14:paraId="17658600" w14:textId="77777777" w:rsidR="008E5FBD" w:rsidRDefault="00000000">
            <w:pPr>
              <w:spacing w:after="0" w:line="240" w:lineRule="auto"/>
              <w:rPr>
                <w:rFonts w:hint="eastAsia"/>
              </w:rPr>
            </w:pPr>
            <w:r>
              <w:rPr>
                <w:sz w:val="16"/>
              </w:rPr>
              <w:t>Task failure, attack success, policy violation, unsafe completion</w:t>
            </w:r>
          </w:p>
        </w:tc>
      </w:tr>
      <w:tr w:rsidR="008E5FBD" w14:paraId="65605F84" w14:textId="77777777">
        <w:trPr>
          <w:jc w:val="center"/>
        </w:trPr>
        <w:tc>
          <w:tcPr>
            <w:tcW w:w="1872" w:type="dxa"/>
            <w:tcMar>
              <w:top w:w="70" w:type="dxa"/>
              <w:left w:w="90" w:type="dxa"/>
              <w:bottom w:w="70" w:type="dxa"/>
              <w:right w:w="90" w:type="dxa"/>
            </w:tcMar>
            <w:vAlign w:val="center"/>
          </w:tcPr>
          <w:p w14:paraId="1CDE6369" w14:textId="77777777" w:rsidR="008E5FBD" w:rsidRDefault="00000000">
            <w:pPr>
              <w:spacing w:after="0" w:line="240" w:lineRule="auto"/>
              <w:rPr>
                <w:rFonts w:hint="eastAsia"/>
              </w:rPr>
            </w:pPr>
            <w:r>
              <w:rPr>
                <w:sz w:val="16"/>
              </w:rPr>
              <w:t>Intervention</w:t>
            </w:r>
          </w:p>
        </w:tc>
        <w:tc>
          <w:tcPr>
            <w:tcW w:w="7992" w:type="dxa"/>
            <w:tcMar>
              <w:top w:w="70" w:type="dxa"/>
              <w:left w:w="90" w:type="dxa"/>
              <w:bottom w:w="70" w:type="dxa"/>
              <w:right w:w="90" w:type="dxa"/>
            </w:tcMar>
            <w:vAlign w:val="center"/>
          </w:tcPr>
          <w:p w14:paraId="1A987229" w14:textId="77777777" w:rsidR="008E5FBD" w:rsidRDefault="00000000">
            <w:pPr>
              <w:spacing w:after="0" w:line="240" w:lineRule="auto"/>
              <w:rPr>
                <w:rFonts w:hint="eastAsia"/>
              </w:rPr>
            </w:pPr>
            <w:r>
              <w:rPr>
                <w:sz w:val="16"/>
              </w:rPr>
              <w:t>None, detector, model training, system guardrail, execution-time warning, human oversight</w:t>
            </w:r>
          </w:p>
        </w:tc>
      </w:tr>
      <w:tr w:rsidR="008E5FBD" w14:paraId="302B9E55" w14:textId="77777777">
        <w:trPr>
          <w:jc w:val="center"/>
        </w:trPr>
        <w:tc>
          <w:tcPr>
            <w:tcW w:w="1872" w:type="dxa"/>
            <w:shd w:val="clear" w:color="auto" w:fill="F4F7FA"/>
            <w:tcMar>
              <w:top w:w="70" w:type="dxa"/>
              <w:left w:w="90" w:type="dxa"/>
              <w:bottom w:w="70" w:type="dxa"/>
              <w:right w:w="90" w:type="dxa"/>
            </w:tcMar>
            <w:vAlign w:val="center"/>
          </w:tcPr>
          <w:p w14:paraId="3D3D35E0" w14:textId="77777777" w:rsidR="008E5FBD" w:rsidRDefault="00000000">
            <w:pPr>
              <w:spacing w:after="0" w:line="240" w:lineRule="auto"/>
              <w:rPr>
                <w:rFonts w:hint="eastAsia"/>
              </w:rPr>
            </w:pPr>
            <w:r>
              <w:rPr>
                <w:sz w:val="16"/>
              </w:rPr>
              <w:t>Outcome scoring</w:t>
            </w:r>
          </w:p>
        </w:tc>
        <w:tc>
          <w:tcPr>
            <w:tcW w:w="7992" w:type="dxa"/>
            <w:shd w:val="clear" w:color="auto" w:fill="F4F7FA"/>
            <w:tcMar>
              <w:top w:w="70" w:type="dxa"/>
              <w:left w:w="90" w:type="dxa"/>
              <w:bottom w:w="70" w:type="dxa"/>
              <w:right w:w="90" w:type="dxa"/>
            </w:tcMar>
            <w:vAlign w:val="center"/>
          </w:tcPr>
          <w:p w14:paraId="7048B3EE" w14:textId="77777777" w:rsidR="008E5FBD" w:rsidRDefault="00000000">
            <w:pPr>
              <w:spacing w:after="0" w:line="240" w:lineRule="auto"/>
              <w:rPr>
                <w:rFonts w:hint="eastAsia"/>
              </w:rPr>
            </w:pPr>
            <w:r>
              <w:rPr>
                <w:sz w:val="16"/>
              </w:rPr>
              <w:t>Binary, violation-based, LLM judge, human judge, deterministic terminal state</w:t>
            </w:r>
          </w:p>
        </w:tc>
      </w:tr>
      <w:tr w:rsidR="008E5FBD" w14:paraId="6C50197F" w14:textId="77777777">
        <w:trPr>
          <w:jc w:val="center"/>
        </w:trPr>
        <w:tc>
          <w:tcPr>
            <w:tcW w:w="1872" w:type="dxa"/>
            <w:tcMar>
              <w:top w:w="70" w:type="dxa"/>
              <w:left w:w="90" w:type="dxa"/>
              <w:bottom w:w="70" w:type="dxa"/>
              <w:right w:w="90" w:type="dxa"/>
            </w:tcMar>
            <w:vAlign w:val="center"/>
          </w:tcPr>
          <w:p w14:paraId="1465F9E0" w14:textId="77777777" w:rsidR="008E5FBD" w:rsidRDefault="00000000">
            <w:pPr>
              <w:spacing w:after="0" w:line="240" w:lineRule="auto"/>
              <w:rPr>
                <w:rFonts w:hint="eastAsia"/>
              </w:rPr>
            </w:pPr>
            <w:r>
              <w:rPr>
                <w:sz w:val="16"/>
              </w:rPr>
              <w:t>Stakeholder impact</w:t>
            </w:r>
          </w:p>
        </w:tc>
        <w:tc>
          <w:tcPr>
            <w:tcW w:w="7992" w:type="dxa"/>
            <w:tcMar>
              <w:top w:w="70" w:type="dxa"/>
              <w:left w:w="90" w:type="dxa"/>
              <w:bottom w:w="70" w:type="dxa"/>
              <w:right w:w="90" w:type="dxa"/>
            </w:tcMar>
            <w:vAlign w:val="center"/>
          </w:tcPr>
          <w:p w14:paraId="272FB56F" w14:textId="77777777" w:rsidR="008E5FBD" w:rsidRDefault="00000000">
            <w:pPr>
              <w:spacing w:after="0" w:line="240" w:lineRule="auto"/>
              <w:rPr>
                <w:rFonts w:hint="eastAsia"/>
              </w:rPr>
            </w:pPr>
            <w:r>
              <w:rPr>
                <w:sz w:val="16"/>
              </w:rPr>
              <w:t>Financial, privacy, consent, autonomy, organizational, information-integrity harms</w:t>
            </w:r>
          </w:p>
        </w:tc>
      </w:tr>
    </w:tbl>
    <w:p w14:paraId="57EF037D" w14:textId="77777777" w:rsidR="008E5FBD" w:rsidRDefault="008E5FBD">
      <w:pPr>
        <w:spacing w:after="0"/>
        <w:rPr>
          <w:rFonts w:hint="eastAsia"/>
        </w:rPr>
      </w:pPr>
    </w:p>
    <w:p w14:paraId="0765B0E6" w14:textId="77777777" w:rsidR="008E5FBD" w:rsidRDefault="00000000">
      <w:pPr>
        <w:pStyle w:val="Heading3"/>
      </w:pPr>
      <w:r>
        <w:t>B2. Recommended 8-page main-paper structure</w:t>
      </w:r>
    </w:p>
    <w:tbl>
      <w:tblPr>
        <w:tblStyle w:val="TableGrid"/>
        <w:tblW w:w="0" w:type="auto"/>
        <w:jc w:val="center"/>
        <w:tblLook w:val="04A0" w:firstRow="1" w:lastRow="0" w:firstColumn="1" w:lastColumn="0" w:noHBand="0" w:noVBand="1"/>
      </w:tblPr>
      <w:tblGrid>
        <w:gridCol w:w="2232"/>
        <w:gridCol w:w="7632"/>
      </w:tblGrid>
      <w:tr w:rsidR="008E5FBD" w14:paraId="2EF7056C" w14:textId="77777777">
        <w:trPr>
          <w:tblHeader/>
          <w:jc w:val="center"/>
        </w:trPr>
        <w:tc>
          <w:tcPr>
            <w:tcW w:w="2232" w:type="dxa"/>
            <w:shd w:val="clear" w:color="auto" w:fill="D9EAF7"/>
            <w:tcMar>
              <w:top w:w="70" w:type="dxa"/>
              <w:left w:w="90" w:type="dxa"/>
              <w:bottom w:w="70" w:type="dxa"/>
              <w:right w:w="90" w:type="dxa"/>
            </w:tcMar>
            <w:vAlign w:val="center"/>
          </w:tcPr>
          <w:p w14:paraId="63401CE7" w14:textId="77777777" w:rsidR="008E5FBD" w:rsidRDefault="00000000">
            <w:pPr>
              <w:spacing w:after="0" w:line="240" w:lineRule="auto"/>
              <w:rPr>
                <w:rFonts w:hint="eastAsia"/>
              </w:rPr>
            </w:pPr>
            <w:r>
              <w:rPr>
                <w:b/>
                <w:color w:val="1F3758"/>
                <w:sz w:val="16"/>
              </w:rPr>
              <w:t>Section</w:t>
            </w:r>
          </w:p>
        </w:tc>
        <w:tc>
          <w:tcPr>
            <w:tcW w:w="7632" w:type="dxa"/>
            <w:shd w:val="clear" w:color="auto" w:fill="D9EAF7"/>
            <w:tcMar>
              <w:top w:w="70" w:type="dxa"/>
              <w:left w:w="90" w:type="dxa"/>
              <w:bottom w:w="70" w:type="dxa"/>
              <w:right w:w="90" w:type="dxa"/>
            </w:tcMar>
            <w:vAlign w:val="center"/>
          </w:tcPr>
          <w:p w14:paraId="2DA1B059" w14:textId="77777777" w:rsidR="008E5FBD" w:rsidRDefault="00000000">
            <w:pPr>
              <w:spacing w:after="0" w:line="240" w:lineRule="auto"/>
              <w:rPr>
                <w:rFonts w:hint="eastAsia"/>
              </w:rPr>
            </w:pPr>
            <w:r>
              <w:rPr>
                <w:b/>
                <w:color w:val="1F3758"/>
                <w:sz w:val="16"/>
              </w:rPr>
              <w:t>Required content</w:t>
            </w:r>
          </w:p>
        </w:tc>
      </w:tr>
      <w:tr w:rsidR="008E5FBD" w14:paraId="4CFB6412" w14:textId="77777777">
        <w:trPr>
          <w:jc w:val="center"/>
        </w:trPr>
        <w:tc>
          <w:tcPr>
            <w:tcW w:w="2232" w:type="dxa"/>
            <w:tcMar>
              <w:top w:w="70" w:type="dxa"/>
              <w:left w:w="90" w:type="dxa"/>
              <w:bottom w:w="70" w:type="dxa"/>
              <w:right w:w="90" w:type="dxa"/>
            </w:tcMar>
            <w:vAlign w:val="center"/>
          </w:tcPr>
          <w:p w14:paraId="5597D7D3" w14:textId="77777777" w:rsidR="008E5FBD" w:rsidRDefault="00000000">
            <w:pPr>
              <w:spacing w:after="0" w:line="240" w:lineRule="auto"/>
              <w:rPr>
                <w:rFonts w:hint="eastAsia"/>
              </w:rPr>
            </w:pPr>
            <w:r>
              <w:rPr>
                <w:sz w:val="16"/>
              </w:rPr>
              <w:t>1. Introduction</w:t>
            </w:r>
          </w:p>
        </w:tc>
        <w:tc>
          <w:tcPr>
            <w:tcW w:w="7632" w:type="dxa"/>
            <w:tcMar>
              <w:top w:w="70" w:type="dxa"/>
              <w:left w:w="90" w:type="dxa"/>
              <w:bottom w:w="70" w:type="dxa"/>
              <w:right w:w="90" w:type="dxa"/>
            </w:tcMar>
            <w:vAlign w:val="center"/>
          </w:tcPr>
          <w:p w14:paraId="3D3FA074" w14:textId="77777777" w:rsidR="008E5FBD" w:rsidRDefault="00000000">
            <w:pPr>
              <w:spacing w:after="0" w:line="240" w:lineRule="auto"/>
              <w:rPr>
                <w:rFonts w:hint="eastAsia"/>
              </w:rPr>
            </w:pPr>
            <w:r>
              <w:rPr>
                <w:sz w:val="16"/>
              </w:rPr>
              <w:t>Unsafe completion as a trustworthy delegated-action problem; beneficiaries and harms; scoped contributions.</w:t>
            </w:r>
          </w:p>
        </w:tc>
      </w:tr>
      <w:tr w:rsidR="008E5FBD" w14:paraId="2F04F567" w14:textId="77777777">
        <w:trPr>
          <w:jc w:val="center"/>
        </w:trPr>
        <w:tc>
          <w:tcPr>
            <w:tcW w:w="2232" w:type="dxa"/>
            <w:shd w:val="clear" w:color="auto" w:fill="F4F7FA"/>
            <w:tcMar>
              <w:top w:w="70" w:type="dxa"/>
              <w:left w:w="90" w:type="dxa"/>
              <w:bottom w:w="70" w:type="dxa"/>
              <w:right w:w="90" w:type="dxa"/>
            </w:tcMar>
            <w:vAlign w:val="center"/>
          </w:tcPr>
          <w:p w14:paraId="633AEFE3" w14:textId="77777777" w:rsidR="008E5FBD" w:rsidRDefault="00000000">
            <w:pPr>
              <w:spacing w:after="0" w:line="240" w:lineRule="auto"/>
              <w:rPr>
                <w:rFonts w:hint="eastAsia"/>
              </w:rPr>
            </w:pPr>
            <w:r>
              <w:rPr>
                <w:sz w:val="16"/>
              </w:rPr>
              <w:t>2. Related Work</w:t>
            </w:r>
          </w:p>
        </w:tc>
        <w:tc>
          <w:tcPr>
            <w:tcW w:w="7632" w:type="dxa"/>
            <w:shd w:val="clear" w:color="auto" w:fill="F4F7FA"/>
            <w:tcMar>
              <w:top w:w="70" w:type="dxa"/>
              <w:left w:w="90" w:type="dxa"/>
              <w:bottom w:w="70" w:type="dxa"/>
              <w:right w:w="90" w:type="dxa"/>
            </w:tcMar>
            <w:vAlign w:val="center"/>
          </w:tcPr>
          <w:p w14:paraId="6711C023" w14:textId="77777777" w:rsidR="008E5FBD" w:rsidRDefault="00000000">
            <w:pPr>
              <w:spacing w:after="0" w:line="240" w:lineRule="auto"/>
              <w:rPr>
                <w:rFonts w:hint="eastAsia"/>
              </w:rPr>
            </w:pPr>
            <w:r>
              <w:rPr>
                <w:sz w:val="16"/>
              </w:rPr>
              <w:t>Web-agent evaluation, agent safety/security, deceptive interfaces, execution-time safeguards, human oversight.</w:t>
            </w:r>
          </w:p>
        </w:tc>
      </w:tr>
      <w:tr w:rsidR="008E5FBD" w14:paraId="25430471" w14:textId="77777777">
        <w:trPr>
          <w:jc w:val="center"/>
        </w:trPr>
        <w:tc>
          <w:tcPr>
            <w:tcW w:w="2232" w:type="dxa"/>
            <w:tcMar>
              <w:top w:w="70" w:type="dxa"/>
              <w:left w:w="90" w:type="dxa"/>
              <w:bottom w:w="70" w:type="dxa"/>
              <w:right w:w="90" w:type="dxa"/>
            </w:tcMar>
            <w:vAlign w:val="center"/>
          </w:tcPr>
          <w:p w14:paraId="6C473F77" w14:textId="77777777" w:rsidR="008E5FBD" w:rsidRDefault="00000000">
            <w:pPr>
              <w:spacing w:after="0" w:line="240" w:lineRule="auto"/>
              <w:rPr>
                <w:rFonts w:hint="eastAsia"/>
              </w:rPr>
            </w:pPr>
            <w:r>
              <w:rPr>
                <w:sz w:val="16"/>
              </w:rPr>
              <w:t>3. Trustworthy Completion Framework</w:t>
            </w:r>
          </w:p>
        </w:tc>
        <w:tc>
          <w:tcPr>
            <w:tcW w:w="7632" w:type="dxa"/>
            <w:tcMar>
              <w:top w:w="70" w:type="dxa"/>
              <w:left w:w="90" w:type="dxa"/>
              <w:bottom w:w="70" w:type="dxa"/>
              <w:right w:w="90" w:type="dxa"/>
            </w:tcMar>
            <w:vAlign w:val="center"/>
          </w:tcPr>
          <w:p w14:paraId="045AAA46" w14:textId="77777777" w:rsidR="008E5FBD" w:rsidRDefault="00000000">
            <w:pPr>
              <w:spacing w:after="0" w:line="240" w:lineRule="auto"/>
              <w:rPr>
                <w:rFonts w:hint="eastAsia"/>
              </w:rPr>
            </w:pPr>
            <w:r>
              <w:rPr>
                <w:sz w:val="16"/>
              </w:rPr>
              <w:t>Four-way outcomes; stakeholders; protected interests; nominal vs. trustworthy completion.</w:t>
            </w:r>
          </w:p>
        </w:tc>
      </w:tr>
      <w:tr w:rsidR="008E5FBD" w14:paraId="773A8993" w14:textId="77777777">
        <w:trPr>
          <w:jc w:val="center"/>
        </w:trPr>
        <w:tc>
          <w:tcPr>
            <w:tcW w:w="2232" w:type="dxa"/>
            <w:shd w:val="clear" w:color="auto" w:fill="F4F7FA"/>
            <w:tcMar>
              <w:top w:w="70" w:type="dxa"/>
              <w:left w:w="90" w:type="dxa"/>
              <w:bottom w:w="70" w:type="dxa"/>
              <w:right w:w="90" w:type="dxa"/>
            </w:tcMar>
            <w:vAlign w:val="center"/>
          </w:tcPr>
          <w:p w14:paraId="170E21B2" w14:textId="77777777" w:rsidR="008E5FBD" w:rsidRDefault="00000000">
            <w:pPr>
              <w:spacing w:after="0" w:line="240" w:lineRule="auto"/>
              <w:rPr>
                <w:rFonts w:hint="eastAsia"/>
              </w:rPr>
            </w:pPr>
            <w:r>
              <w:rPr>
                <w:sz w:val="16"/>
              </w:rPr>
              <w:t>4. Benchmark Construction</w:t>
            </w:r>
          </w:p>
        </w:tc>
        <w:tc>
          <w:tcPr>
            <w:tcW w:w="7632" w:type="dxa"/>
            <w:shd w:val="clear" w:color="auto" w:fill="F4F7FA"/>
            <w:tcMar>
              <w:top w:w="70" w:type="dxa"/>
              <w:left w:w="90" w:type="dxa"/>
              <w:bottom w:w="70" w:type="dxa"/>
              <w:right w:w="90" w:type="dxa"/>
            </w:tcMar>
            <w:vAlign w:val="center"/>
          </w:tcPr>
          <w:p w14:paraId="142F5773" w14:textId="77777777" w:rsidR="008E5FBD" w:rsidRDefault="00000000">
            <w:pPr>
              <w:spacing w:after="0" w:line="240" w:lineRule="auto"/>
              <w:rPr>
                <w:rFonts w:hint="eastAsia"/>
              </w:rPr>
            </w:pPr>
            <w:r>
              <w:rPr>
                <w:sz w:val="16"/>
              </w:rPr>
              <w:t>Task tuple; inclusion criteria; sandboxes; warning channels; scorer; artifact.</w:t>
            </w:r>
          </w:p>
        </w:tc>
      </w:tr>
      <w:tr w:rsidR="008E5FBD" w14:paraId="483BC4EA" w14:textId="77777777">
        <w:trPr>
          <w:jc w:val="center"/>
        </w:trPr>
        <w:tc>
          <w:tcPr>
            <w:tcW w:w="2232" w:type="dxa"/>
            <w:tcMar>
              <w:top w:w="70" w:type="dxa"/>
              <w:left w:w="90" w:type="dxa"/>
              <w:bottom w:w="70" w:type="dxa"/>
              <w:right w:w="90" w:type="dxa"/>
            </w:tcMar>
            <w:vAlign w:val="center"/>
          </w:tcPr>
          <w:p w14:paraId="1BBCD274" w14:textId="77777777" w:rsidR="008E5FBD" w:rsidRDefault="00000000">
            <w:pPr>
              <w:spacing w:after="0" w:line="240" w:lineRule="auto"/>
              <w:rPr>
                <w:rFonts w:hint="eastAsia"/>
              </w:rPr>
            </w:pPr>
            <w:r>
              <w:rPr>
                <w:sz w:val="16"/>
              </w:rPr>
              <w:t>5. Pilot Evaluation</w:t>
            </w:r>
          </w:p>
        </w:tc>
        <w:tc>
          <w:tcPr>
            <w:tcW w:w="7632" w:type="dxa"/>
            <w:tcMar>
              <w:top w:w="70" w:type="dxa"/>
              <w:left w:w="90" w:type="dxa"/>
              <w:bottom w:w="70" w:type="dxa"/>
              <w:right w:w="90" w:type="dxa"/>
            </w:tcMar>
            <w:vAlign w:val="center"/>
          </w:tcPr>
          <w:p w14:paraId="35E25DF8" w14:textId="77777777" w:rsidR="008E5FBD" w:rsidRDefault="00000000">
            <w:pPr>
              <w:spacing w:after="0" w:line="240" w:lineRule="auto"/>
              <w:rPr>
                <w:rFonts w:hint="eastAsia"/>
              </w:rPr>
            </w:pPr>
            <w:r>
              <w:rPr>
                <w:sz w:val="16"/>
              </w:rPr>
              <w:t>Existing setup; reanalysis; task/pattern diagnostics; uncertainty.</w:t>
            </w:r>
          </w:p>
        </w:tc>
      </w:tr>
      <w:tr w:rsidR="008E5FBD" w14:paraId="338A6E93" w14:textId="77777777">
        <w:trPr>
          <w:jc w:val="center"/>
        </w:trPr>
        <w:tc>
          <w:tcPr>
            <w:tcW w:w="2232" w:type="dxa"/>
            <w:shd w:val="clear" w:color="auto" w:fill="F4F7FA"/>
            <w:tcMar>
              <w:top w:w="70" w:type="dxa"/>
              <w:left w:w="90" w:type="dxa"/>
              <w:bottom w:w="70" w:type="dxa"/>
              <w:right w:w="90" w:type="dxa"/>
            </w:tcMar>
            <w:vAlign w:val="center"/>
          </w:tcPr>
          <w:p w14:paraId="37FE2C56" w14:textId="77777777" w:rsidR="008E5FBD" w:rsidRDefault="00000000">
            <w:pPr>
              <w:spacing w:after="0" w:line="240" w:lineRule="auto"/>
              <w:rPr>
                <w:rFonts w:hint="eastAsia"/>
              </w:rPr>
            </w:pPr>
            <w:r>
              <w:rPr>
                <w:sz w:val="16"/>
              </w:rPr>
              <w:t>6. Research Agenda</w:t>
            </w:r>
          </w:p>
        </w:tc>
        <w:tc>
          <w:tcPr>
            <w:tcW w:w="7632" w:type="dxa"/>
            <w:shd w:val="clear" w:color="auto" w:fill="F4F7FA"/>
            <w:tcMar>
              <w:top w:w="70" w:type="dxa"/>
              <w:left w:w="90" w:type="dxa"/>
              <w:bottom w:w="70" w:type="dxa"/>
              <w:right w:w="90" w:type="dxa"/>
            </w:tcMar>
            <w:vAlign w:val="center"/>
          </w:tcPr>
          <w:p w14:paraId="2CF7A53A" w14:textId="77777777" w:rsidR="008E5FBD" w:rsidRDefault="00000000">
            <w:pPr>
              <w:spacing w:after="0" w:line="240" w:lineRule="auto"/>
              <w:rPr>
                <w:rFonts w:hint="eastAsia"/>
              </w:rPr>
            </w:pPr>
            <w:r>
              <w:rPr>
                <w:sz w:val="16"/>
              </w:rPr>
              <w:t>Cross-agent, wording, trigger, scale, long horizon, and human calibration as explicit studies.</w:t>
            </w:r>
          </w:p>
        </w:tc>
      </w:tr>
      <w:tr w:rsidR="008E5FBD" w14:paraId="4AAAEB0F" w14:textId="77777777">
        <w:trPr>
          <w:jc w:val="center"/>
        </w:trPr>
        <w:tc>
          <w:tcPr>
            <w:tcW w:w="2232" w:type="dxa"/>
            <w:tcMar>
              <w:top w:w="70" w:type="dxa"/>
              <w:left w:w="90" w:type="dxa"/>
              <w:bottom w:w="70" w:type="dxa"/>
              <w:right w:w="90" w:type="dxa"/>
            </w:tcMar>
            <w:vAlign w:val="center"/>
          </w:tcPr>
          <w:p w14:paraId="60C0C256" w14:textId="77777777" w:rsidR="008E5FBD" w:rsidRDefault="00000000">
            <w:pPr>
              <w:spacing w:after="0" w:line="240" w:lineRule="auto"/>
              <w:rPr>
                <w:rFonts w:hint="eastAsia"/>
              </w:rPr>
            </w:pPr>
            <w:r>
              <w:rPr>
                <w:sz w:val="16"/>
              </w:rPr>
              <w:t>7. Implications and Limitations</w:t>
            </w:r>
          </w:p>
        </w:tc>
        <w:tc>
          <w:tcPr>
            <w:tcW w:w="7632" w:type="dxa"/>
            <w:tcMar>
              <w:top w:w="70" w:type="dxa"/>
              <w:left w:w="90" w:type="dxa"/>
              <w:bottom w:w="70" w:type="dxa"/>
              <w:right w:w="90" w:type="dxa"/>
            </w:tcMar>
            <w:vAlign w:val="center"/>
          </w:tcPr>
          <w:p w14:paraId="5DEC3B47" w14:textId="77777777" w:rsidR="008E5FBD" w:rsidRDefault="00000000">
            <w:pPr>
              <w:spacing w:after="0" w:line="240" w:lineRule="auto"/>
              <w:rPr>
                <w:rFonts w:hint="eastAsia"/>
              </w:rPr>
            </w:pPr>
            <w:r>
              <w:rPr>
                <w:sz w:val="16"/>
              </w:rPr>
              <w:t>AI-for-Good relevance, deployment guidance, synthetic scope, no human/population causal claim.</w:t>
            </w:r>
          </w:p>
        </w:tc>
      </w:tr>
      <w:tr w:rsidR="008E5FBD" w14:paraId="30A5D682" w14:textId="77777777">
        <w:trPr>
          <w:jc w:val="center"/>
        </w:trPr>
        <w:tc>
          <w:tcPr>
            <w:tcW w:w="2232" w:type="dxa"/>
            <w:shd w:val="clear" w:color="auto" w:fill="F4F7FA"/>
            <w:tcMar>
              <w:top w:w="70" w:type="dxa"/>
              <w:left w:w="90" w:type="dxa"/>
              <w:bottom w:w="70" w:type="dxa"/>
              <w:right w:w="90" w:type="dxa"/>
            </w:tcMar>
            <w:vAlign w:val="center"/>
          </w:tcPr>
          <w:p w14:paraId="1A08773E" w14:textId="77777777" w:rsidR="008E5FBD" w:rsidRDefault="00000000">
            <w:pPr>
              <w:spacing w:after="0" w:line="240" w:lineRule="auto"/>
              <w:rPr>
                <w:rFonts w:hint="eastAsia"/>
              </w:rPr>
            </w:pPr>
            <w:r>
              <w:rPr>
                <w:sz w:val="16"/>
              </w:rPr>
              <w:t>8. Conclusion</w:t>
            </w:r>
          </w:p>
        </w:tc>
        <w:tc>
          <w:tcPr>
            <w:tcW w:w="7632" w:type="dxa"/>
            <w:shd w:val="clear" w:color="auto" w:fill="F4F7FA"/>
            <w:tcMar>
              <w:top w:w="70" w:type="dxa"/>
              <w:left w:w="90" w:type="dxa"/>
              <w:bottom w:w="70" w:type="dxa"/>
              <w:right w:w="90" w:type="dxa"/>
            </w:tcMar>
            <w:vAlign w:val="center"/>
          </w:tcPr>
          <w:p w14:paraId="51D3425D" w14:textId="77777777" w:rsidR="008E5FBD" w:rsidRDefault="00000000">
            <w:pPr>
              <w:spacing w:after="0" w:line="240" w:lineRule="auto"/>
              <w:rPr>
                <w:rFonts w:hint="eastAsia"/>
              </w:rPr>
            </w:pPr>
            <w:r>
              <w:rPr>
                <w:sz w:val="16"/>
              </w:rPr>
              <w:t>Safe completion as the principal evaluation target.</w:t>
            </w:r>
          </w:p>
        </w:tc>
      </w:tr>
    </w:tbl>
    <w:p w14:paraId="65230234" w14:textId="77777777" w:rsidR="008E5FBD" w:rsidRDefault="008E5FBD">
      <w:pPr>
        <w:spacing w:after="0"/>
        <w:rPr>
          <w:rFonts w:hint="eastAsia"/>
        </w:rPr>
      </w:pPr>
    </w:p>
    <w:p w14:paraId="0B1881F3" w14:textId="77777777" w:rsidR="008E5FBD" w:rsidRDefault="00000000">
      <w:pPr>
        <w:pStyle w:val="Heading3"/>
      </w:pPr>
      <w:r>
        <w:lastRenderedPageBreak/>
        <w:t>B3. Research agenda must be concrete, not generic</w:t>
      </w:r>
    </w:p>
    <w:p w14:paraId="463E00D2" w14:textId="77777777" w:rsidR="008E5FBD" w:rsidRDefault="00000000">
      <w:pPr>
        <w:rPr>
          <w:rFonts w:hint="eastAsia"/>
        </w:rPr>
      </w:pPr>
      <w:r>
        <w:t>Required in the August 9 version: the Future Work/Research Agenda section must already describe D, E, and all other planned extensions as explicit research questions, hypotheses, experimental designs, evidence requirements, and priorities. Later versions add completed evidence; they should not introduce the roadmap for the first time.</w:t>
      </w:r>
    </w:p>
    <w:p w14:paraId="53B2654F" w14:textId="77777777" w:rsidR="008E5FBD" w:rsidRDefault="008E5FBD">
      <w:pPr>
        <w:rPr>
          <w:rFonts w:hint="eastAsia"/>
        </w:rPr>
      </w:pPr>
    </w:p>
    <w:tbl>
      <w:tblPr>
        <w:tblStyle w:val="TableGrid"/>
        <w:tblW w:w="0" w:type="auto"/>
        <w:jc w:val="center"/>
        <w:tblLook w:val="04A0" w:firstRow="1" w:lastRow="0" w:firstColumn="1" w:lastColumn="0" w:noHBand="0" w:noVBand="1"/>
      </w:tblPr>
      <w:tblGrid>
        <w:gridCol w:w="1800"/>
        <w:gridCol w:w="4680"/>
        <w:gridCol w:w="3384"/>
      </w:tblGrid>
      <w:tr w:rsidR="008E5FBD" w14:paraId="416EE0F9" w14:textId="77777777">
        <w:trPr>
          <w:tblHeader/>
          <w:jc w:val="center"/>
        </w:trPr>
        <w:tc>
          <w:tcPr>
            <w:tcW w:w="1800" w:type="dxa"/>
            <w:shd w:val="clear" w:color="auto" w:fill="D9EAF7"/>
            <w:tcMar>
              <w:top w:w="70" w:type="dxa"/>
              <w:left w:w="90" w:type="dxa"/>
              <w:bottom w:w="70" w:type="dxa"/>
              <w:right w:w="90" w:type="dxa"/>
            </w:tcMar>
            <w:vAlign w:val="center"/>
          </w:tcPr>
          <w:p w14:paraId="7DE56C8D" w14:textId="77777777" w:rsidR="008E5FBD" w:rsidRDefault="00000000">
            <w:pPr>
              <w:spacing w:after="0" w:line="240" w:lineRule="auto"/>
              <w:rPr>
                <w:rFonts w:hint="eastAsia"/>
              </w:rPr>
            </w:pPr>
            <w:r>
              <w:rPr>
                <w:b/>
                <w:color w:val="1F3758"/>
                <w:sz w:val="16"/>
              </w:rPr>
              <w:t>Extension</w:t>
            </w:r>
          </w:p>
        </w:tc>
        <w:tc>
          <w:tcPr>
            <w:tcW w:w="4680" w:type="dxa"/>
            <w:shd w:val="clear" w:color="auto" w:fill="D9EAF7"/>
            <w:tcMar>
              <w:top w:w="70" w:type="dxa"/>
              <w:left w:w="90" w:type="dxa"/>
              <w:bottom w:w="70" w:type="dxa"/>
              <w:right w:w="90" w:type="dxa"/>
            </w:tcMar>
            <w:vAlign w:val="center"/>
          </w:tcPr>
          <w:p w14:paraId="658249CB" w14:textId="77777777" w:rsidR="008E5FBD" w:rsidRDefault="00000000">
            <w:pPr>
              <w:spacing w:after="0" w:line="240" w:lineRule="auto"/>
              <w:rPr>
                <w:rFonts w:hint="eastAsia"/>
              </w:rPr>
            </w:pPr>
            <w:r>
              <w:rPr>
                <w:b/>
                <w:color w:val="1F3758"/>
                <w:sz w:val="16"/>
              </w:rPr>
              <w:t>Question</w:t>
            </w:r>
          </w:p>
        </w:tc>
        <w:tc>
          <w:tcPr>
            <w:tcW w:w="3384" w:type="dxa"/>
            <w:shd w:val="clear" w:color="auto" w:fill="D9EAF7"/>
            <w:tcMar>
              <w:top w:w="70" w:type="dxa"/>
              <w:left w:w="90" w:type="dxa"/>
              <w:bottom w:w="70" w:type="dxa"/>
              <w:right w:w="90" w:type="dxa"/>
            </w:tcMar>
            <w:vAlign w:val="center"/>
          </w:tcPr>
          <w:p w14:paraId="5255D23A" w14:textId="77777777" w:rsidR="008E5FBD" w:rsidRDefault="00000000">
            <w:pPr>
              <w:spacing w:after="0" w:line="240" w:lineRule="auto"/>
              <w:rPr>
                <w:rFonts w:hint="eastAsia"/>
              </w:rPr>
            </w:pPr>
            <w:r>
              <w:rPr>
                <w:b/>
                <w:color w:val="1F3758"/>
                <w:sz w:val="16"/>
              </w:rPr>
              <w:t>Future design</w:t>
            </w:r>
          </w:p>
        </w:tc>
      </w:tr>
      <w:tr w:rsidR="008E5FBD" w14:paraId="38415254" w14:textId="77777777">
        <w:trPr>
          <w:jc w:val="center"/>
        </w:trPr>
        <w:tc>
          <w:tcPr>
            <w:tcW w:w="1800" w:type="dxa"/>
            <w:tcMar>
              <w:top w:w="70" w:type="dxa"/>
              <w:left w:w="90" w:type="dxa"/>
              <w:bottom w:w="70" w:type="dxa"/>
              <w:right w:w="90" w:type="dxa"/>
            </w:tcMar>
            <w:vAlign w:val="center"/>
          </w:tcPr>
          <w:p w14:paraId="55B98B7E" w14:textId="77777777" w:rsidR="008E5FBD" w:rsidRDefault="00000000">
            <w:pPr>
              <w:spacing w:after="0" w:line="240" w:lineRule="auto"/>
              <w:rPr>
                <w:rFonts w:hint="eastAsia"/>
              </w:rPr>
            </w:pPr>
            <w:r>
              <w:rPr>
                <w:sz w:val="16"/>
              </w:rPr>
              <w:t>Cross-agent validity</w:t>
            </w:r>
          </w:p>
        </w:tc>
        <w:tc>
          <w:tcPr>
            <w:tcW w:w="4680" w:type="dxa"/>
            <w:tcMar>
              <w:top w:w="70" w:type="dxa"/>
              <w:left w:w="90" w:type="dxa"/>
              <w:bottom w:w="70" w:type="dxa"/>
              <w:right w:w="90" w:type="dxa"/>
            </w:tcMar>
            <w:vAlign w:val="center"/>
          </w:tcPr>
          <w:p w14:paraId="4A295536" w14:textId="77777777" w:rsidR="008E5FBD" w:rsidRDefault="00000000">
            <w:pPr>
              <w:spacing w:after="0" w:line="240" w:lineRule="auto"/>
              <w:rPr>
                <w:rFonts w:hint="eastAsia"/>
              </w:rPr>
            </w:pPr>
            <w:r>
              <w:rPr>
                <w:sz w:val="16"/>
              </w:rPr>
              <w:t>Are unsafe completion and warning effects model- or scaffold-dependent?</w:t>
            </w:r>
          </w:p>
        </w:tc>
        <w:tc>
          <w:tcPr>
            <w:tcW w:w="3384" w:type="dxa"/>
            <w:tcMar>
              <w:top w:w="70" w:type="dxa"/>
              <w:left w:w="90" w:type="dxa"/>
              <w:bottom w:w="70" w:type="dxa"/>
              <w:right w:w="90" w:type="dxa"/>
            </w:tcMar>
            <w:vAlign w:val="center"/>
          </w:tcPr>
          <w:p w14:paraId="2EB6DCCC" w14:textId="77777777" w:rsidR="008E5FBD" w:rsidRDefault="00000000">
            <w:pPr>
              <w:spacing w:after="0" w:line="240" w:lineRule="auto"/>
              <w:rPr>
                <w:rFonts w:hint="eastAsia"/>
              </w:rPr>
            </w:pPr>
            <w:r>
              <w:rPr>
                <w:sz w:val="16"/>
              </w:rPr>
              <w:t>Agent x condition x task family</w:t>
            </w:r>
          </w:p>
        </w:tc>
      </w:tr>
      <w:tr w:rsidR="008E5FBD" w14:paraId="26D0C869" w14:textId="77777777">
        <w:trPr>
          <w:jc w:val="center"/>
        </w:trPr>
        <w:tc>
          <w:tcPr>
            <w:tcW w:w="1800" w:type="dxa"/>
            <w:shd w:val="clear" w:color="auto" w:fill="F4F7FA"/>
            <w:tcMar>
              <w:top w:w="70" w:type="dxa"/>
              <w:left w:w="90" w:type="dxa"/>
              <w:bottom w:w="70" w:type="dxa"/>
              <w:right w:w="90" w:type="dxa"/>
            </w:tcMar>
            <w:vAlign w:val="center"/>
          </w:tcPr>
          <w:p w14:paraId="3D0040A6" w14:textId="77777777" w:rsidR="008E5FBD" w:rsidRDefault="00000000">
            <w:pPr>
              <w:spacing w:after="0" w:line="240" w:lineRule="auto"/>
              <w:rPr>
                <w:rFonts w:hint="eastAsia"/>
              </w:rPr>
            </w:pPr>
            <w:r>
              <w:rPr>
                <w:sz w:val="16"/>
              </w:rPr>
              <w:t>Warning wording</w:t>
            </w:r>
          </w:p>
        </w:tc>
        <w:tc>
          <w:tcPr>
            <w:tcW w:w="4680" w:type="dxa"/>
            <w:shd w:val="clear" w:color="auto" w:fill="F4F7FA"/>
            <w:tcMar>
              <w:top w:w="70" w:type="dxa"/>
              <w:left w:w="90" w:type="dxa"/>
              <w:bottom w:w="70" w:type="dxa"/>
              <w:right w:w="90" w:type="dxa"/>
            </w:tcMar>
            <w:vAlign w:val="center"/>
          </w:tcPr>
          <w:p w14:paraId="4DBCFBDE" w14:textId="77777777" w:rsidR="008E5FBD" w:rsidRDefault="00000000">
            <w:pPr>
              <w:spacing w:after="0" w:line="240" w:lineRule="auto"/>
              <w:rPr>
                <w:rFonts w:hint="eastAsia"/>
              </w:rPr>
            </w:pPr>
            <w:r>
              <w:rPr>
                <w:sz w:val="16"/>
              </w:rPr>
              <w:t>Does goal-plus-warning wording create instruction conflict?</w:t>
            </w:r>
          </w:p>
        </w:tc>
        <w:tc>
          <w:tcPr>
            <w:tcW w:w="3384" w:type="dxa"/>
            <w:shd w:val="clear" w:color="auto" w:fill="F4F7FA"/>
            <w:tcMar>
              <w:top w:w="70" w:type="dxa"/>
              <w:left w:w="90" w:type="dxa"/>
              <w:bottom w:w="70" w:type="dxa"/>
              <w:right w:w="90" w:type="dxa"/>
            </w:tcMar>
            <w:vAlign w:val="center"/>
          </w:tcPr>
          <w:p w14:paraId="66174C23" w14:textId="77777777" w:rsidR="008E5FBD" w:rsidRDefault="00000000">
            <w:pPr>
              <w:spacing w:after="0" w:line="240" w:lineRule="auto"/>
              <w:rPr>
                <w:rFonts w:hint="eastAsia"/>
              </w:rPr>
            </w:pPr>
            <w:r>
              <w:rPr>
                <w:sz w:val="16"/>
              </w:rPr>
              <w:t>Channel x current/prohibitive/consequence-explicit wording</w:t>
            </w:r>
          </w:p>
        </w:tc>
      </w:tr>
      <w:tr w:rsidR="008E5FBD" w14:paraId="4E9BC969" w14:textId="77777777">
        <w:trPr>
          <w:jc w:val="center"/>
        </w:trPr>
        <w:tc>
          <w:tcPr>
            <w:tcW w:w="1800" w:type="dxa"/>
            <w:tcMar>
              <w:top w:w="70" w:type="dxa"/>
              <w:left w:w="90" w:type="dxa"/>
              <w:bottom w:w="70" w:type="dxa"/>
              <w:right w:w="90" w:type="dxa"/>
            </w:tcMar>
            <w:vAlign w:val="center"/>
          </w:tcPr>
          <w:p w14:paraId="32A53AFD" w14:textId="77777777" w:rsidR="008E5FBD" w:rsidRDefault="00000000">
            <w:pPr>
              <w:spacing w:after="0" w:line="240" w:lineRule="auto"/>
              <w:rPr>
                <w:rFonts w:hint="eastAsia"/>
              </w:rPr>
            </w:pPr>
            <w:r>
              <w:rPr>
                <w:sz w:val="16"/>
              </w:rPr>
              <w:t>Trigger realism</w:t>
            </w:r>
          </w:p>
        </w:tc>
        <w:tc>
          <w:tcPr>
            <w:tcW w:w="4680" w:type="dxa"/>
            <w:tcMar>
              <w:top w:w="70" w:type="dxa"/>
              <w:left w:w="90" w:type="dxa"/>
              <w:bottom w:w="70" w:type="dxa"/>
              <w:right w:w="90" w:type="dxa"/>
            </w:tcMar>
            <w:vAlign w:val="center"/>
          </w:tcPr>
          <w:p w14:paraId="07D4C365" w14:textId="77777777" w:rsidR="008E5FBD" w:rsidRDefault="00000000">
            <w:pPr>
              <w:spacing w:after="0" w:line="240" w:lineRule="auto"/>
              <w:rPr>
                <w:rFonts w:hint="eastAsia"/>
              </w:rPr>
            </w:pPr>
            <w:r>
              <w:rPr>
                <w:sz w:val="16"/>
              </w:rPr>
              <w:t>How do false, missed, or delayed triggers affect outcomes?</w:t>
            </w:r>
          </w:p>
        </w:tc>
        <w:tc>
          <w:tcPr>
            <w:tcW w:w="3384" w:type="dxa"/>
            <w:tcMar>
              <w:top w:w="70" w:type="dxa"/>
              <w:left w:w="90" w:type="dxa"/>
              <w:bottom w:w="70" w:type="dxa"/>
              <w:right w:w="90" w:type="dxa"/>
            </w:tcMar>
            <w:vAlign w:val="center"/>
          </w:tcPr>
          <w:p w14:paraId="0858B81C" w14:textId="77777777" w:rsidR="008E5FBD" w:rsidRDefault="00000000">
            <w:pPr>
              <w:spacing w:after="0" w:line="240" w:lineRule="auto"/>
              <w:rPr>
                <w:rFonts w:hint="eastAsia"/>
              </w:rPr>
            </w:pPr>
            <w:r>
              <w:rPr>
                <w:sz w:val="16"/>
              </w:rPr>
              <w:t>Oracle vs. detector-coupled subset</w:t>
            </w:r>
          </w:p>
        </w:tc>
      </w:tr>
      <w:tr w:rsidR="008E5FBD" w14:paraId="1F2C0228" w14:textId="77777777">
        <w:trPr>
          <w:jc w:val="center"/>
        </w:trPr>
        <w:tc>
          <w:tcPr>
            <w:tcW w:w="1800" w:type="dxa"/>
            <w:shd w:val="clear" w:color="auto" w:fill="F4F7FA"/>
            <w:tcMar>
              <w:top w:w="70" w:type="dxa"/>
              <w:left w:w="90" w:type="dxa"/>
              <w:bottom w:w="70" w:type="dxa"/>
              <w:right w:w="90" w:type="dxa"/>
            </w:tcMar>
            <w:vAlign w:val="center"/>
          </w:tcPr>
          <w:p w14:paraId="498AA6AC" w14:textId="77777777" w:rsidR="008E5FBD" w:rsidRDefault="00000000">
            <w:pPr>
              <w:spacing w:after="0" w:line="240" w:lineRule="auto"/>
              <w:rPr>
                <w:rFonts w:hint="eastAsia"/>
              </w:rPr>
            </w:pPr>
            <w:r>
              <w:rPr>
                <w:sz w:val="16"/>
              </w:rPr>
              <w:t>Task scale</w:t>
            </w:r>
          </w:p>
        </w:tc>
        <w:tc>
          <w:tcPr>
            <w:tcW w:w="4680" w:type="dxa"/>
            <w:shd w:val="clear" w:color="auto" w:fill="F4F7FA"/>
            <w:tcMar>
              <w:top w:w="70" w:type="dxa"/>
              <w:left w:w="90" w:type="dxa"/>
              <w:bottom w:w="70" w:type="dxa"/>
              <w:right w:w="90" w:type="dxa"/>
            </w:tcMar>
            <w:vAlign w:val="center"/>
          </w:tcPr>
          <w:p w14:paraId="6728F30B" w14:textId="77777777" w:rsidR="008E5FBD" w:rsidRDefault="00000000">
            <w:pPr>
              <w:spacing w:after="0" w:line="240" w:lineRule="auto"/>
              <w:rPr>
                <w:rFonts w:hint="eastAsia"/>
              </w:rPr>
            </w:pPr>
            <w:r>
              <w:rPr>
                <w:sz w:val="16"/>
              </w:rPr>
              <w:t>Do results generalize across instances, domains, and trajectory lengths?</w:t>
            </w:r>
          </w:p>
        </w:tc>
        <w:tc>
          <w:tcPr>
            <w:tcW w:w="3384" w:type="dxa"/>
            <w:shd w:val="clear" w:color="auto" w:fill="F4F7FA"/>
            <w:tcMar>
              <w:top w:w="70" w:type="dxa"/>
              <w:left w:w="90" w:type="dxa"/>
              <w:bottom w:w="70" w:type="dxa"/>
              <w:right w:w="90" w:type="dxa"/>
            </w:tcMar>
            <w:vAlign w:val="center"/>
          </w:tcPr>
          <w:p w14:paraId="2900CFAE" w14:textId="77777777" w:rsidR="008E5FBD" w:rsidRDefault="00000000">
            <w:pPr>
              <w:spacing w:after="0" w:line="240" w:lineRule="auto"/>
              <w:rPr>
                <w:rFonts w:hint="eastAsia"/>
              </w:rPr>
            </w:pPr>
            <w:r>
              <w:rPr>
                <w:sz w:val="16"/>
              </w:rPr>
              <w:t>More tasks, families, and long-horizon paths</w:t>
            </w:r>
          </w:p>
        </w:tc>
      </w:tr>
      <w:tr w:rsidR="008E5FBD" w14:paraId="3FB00815" w14:textId="77777777">
        <w:trPr>
          <w:jc w:val="center"/>
        </w:trPr>
        <w:tc>
          <w:tcPr>
            <w:tcW w:w="1800" w:type="dxa"/>
            <w:tcMar>
              <w:top w:w="70" w:type="dxa"/>
              <w:left w:w="90" w:type="dxa"/>
              <w:bottom w:w="70" w:type="dxa"/>
              <w:right w:w="90" w:type="dxa"/>
            </w:tcMar>
            <w:vAlign w:val="center"/>
          </w:tcPr>
          <w:p w14:paraId="765B77FE" w14:textId="77777777" w:rsidR="008E5FBD" w:rsidRDefault="00000000">
            <w:pPr>
              <w:spacing w:after="0" w:line="240" w:lineRule="auto"/>
              <w:rPr>
                <w:rFonts w:hint="eastAsia"/>
              </w:rPr>
            </w:pPr>
            <w:r>
              <w:rPr>
                <w:sz w:val="16"/>
              </w:rPr>
              <w:t>Human calibration</w:t>
            </w:r>
          </w:p>
        </w:tc>
        <w:tc>
          <w:tcPr>
            <w:tcW w:w="4680" w:type="dxa"/>
            <w:tcMar>
              <w:top w:w="70" w:type="dxa"/>
              <w:left w:w="90" w:type="dxa"/>
              <w:bottom w:w="70" w:type="dxa"/>
              <w:right w:w="90" w:type="dxa"/>
            </w:tcMar>
            <w:vAlign w:val="center"/>
          </w:tcPr>
          <w:p w14:paraId="2E1745B5" w14:textId="77777777" w:rsidR="008E5FBD" w:rsidRDefault="00000000">
            <w:pPr>
              <w:spacing w:after="0" w:line="240" w:lineRule="auto"/>
              <w:rPr>
                <w:rFonts w:hint="eastAsia"/>
              </w:rPr>
            </w:pPr>
            <w:r>
              <w:rPr>
                <w:sz w:val="16"/>
              </w:rPr>
              <w:t>Are failures agent-specific or generally induced by the interface?</w:t>
            </w:r>
          </w:p>
        </w:tc>
        <w:tc>
          <w:tcPr>
            <w:tcW w:w="3384" w:type="dxa"/>
            <w:tcMar>
              <w:top w:w="70" w:type="dxa"/>
              <w:left w:w="90" w:type="dxa"/>
              <w:bottom w:w="70" w:type="dxa"/>
              <w:right w:w="90" w:type="dxa"/>
            </w:tcMar>
            <w:vAlign w:val="center"/>
          </w:tcPr>
          <w:p w14:paraId="4DDA02F3" w14:textId="77777777" w:rsidR="008E5FBD" w:rsidRDefault="00000000">
            <w:pPr>
              <w:spacing w:after="0" w:line="240" w:lineRule="auto"/>
              <w:rPr>
                <w:rFonts w:hint="eastAsia"/>
              </w:rPr>
            </w:pPr>
            <w:r>
              <w:rPr>
                <w:sz w:val="16"/>
              </w:rPr>
              <w:t>Separately approved human-subject study</w:t>
            </w:r>
          </w:p>
        </w:tc>
      </w:tr>
      <w:tr w:rsidR="008E5FBD" w14:paraId="0290BB45" w14:textId="77777777">
        <w:trPr>
          <w:jc w:val="center"/>
        </w:trPr>
        <w:tc>
          <w:tcPr>
            <w:tcW w:w="1800" w:type="dxa"/>
            <w:shd w:val="clear" w:color="auto" w:fill="F4F7FA"/>
            <w:tcMar>
              <w:top w:w="70" w:type="dxa"/>
              <w:left w:w="90" w:type="dxa"/>
              <w:bottom w:w="70" w:type="dxa"/>
              <w:right w:w="90" w:type="dxa"/>
            </w:tcMar>
            <w:vAlign w:val="center"/>
          </w:tcPr>
          <w:p w14:paraId="5F32E55E" w14:textId="77777777" w:rsidR="008E5FBD" w:rsidRDefault="00000000">
            <w:pPr>
              <w:spacing w:after="0" w:line="240" w:lineRule="auto"/>
              <w:rPr>
                <w:rFonts w:hint="eastAsia"/>
              </w:rPr>
            </w:pPr>
            <w:r>
              <w:rPr>
                <w:sz w:val="16"/>
              </w:rPr>
              <w:t>Population interpretation</w:t>
            </w:r>
          </w:p>
        </w:tc>
        <w:tc>
          <w:tcPr>
            <w:tcW w:w="4680" w:type="dxa"/>
            <w:shd w:val="clear" w:color="auto" w:fill="F4F7FA"/>
            <w:tcMar>
              <w:top w:w="70" w:type="dxa"/>
              <w:left w:w="90" w:type="dxa"/>
              <w:bottom w:w="70" w:type="dxa"/>
              <w:right w:w="90" w:type="dxa"/>
            </w:tcMar>
            <w:vAlign w:val="center"/>
          </w:tcPr>
          <w:p w14:paraId="3E963BE3" w14:textId="77777777" w:rsidR="008E5FBD" w:rsidRDefault="00000000">
            <w:pPr>
              <w:spacing w:after="0" w:line="240" w:lineRule="auto"/>
              <w:rPr>
                <w:rFonts w:hint="eastAsia"/>
              </w:rPr>
            </w:pPr>
            <w:r>
              <w:rPr>
                <w:sz w:val="16"/>
              </w:rPr>
              <w:t>How might individual unsafe-completion rates scale under repeated delegation?</w:t>
            </w:r>
          </w:p>
        </w:tc>
        <w:tc>
          <w:tcPr>
            <w:tcW w:w="3384" w:type="dxa"/>
            <w:shd w:val="clear" w:color="auto" w:fill="F4F7FA"/>
            <w:tcMar>
              <w:top w:w="70" w:type="dxa"/>
              <w:left w:w="90" w:type="dxa"/>
              <w:bottom w:w="70" w:type="dxa"/>
              <w:right w:w="90" w:type="dxa"/>
            </w:tcMar>
            <w:vAlign w:val="center"/>
          </w:tcPr>
          <w:p w14:paraId="24844D28" w14:textId="77777777" w:rsidR="008E5FBD" w:rsidRDefault="00000000">
            <w:pPr>
              <w:spacing w:after="0" w:line="240" w:lineRule="auto"/>
              <w:rPr>
                <w:rFonts w:hint="eastAsia"/>
              </w:rPr>
            </w:pPr>
            <w:r>
              <w:rPr>
                <w:sz w:val="16"/>
              </w:rPr>
              <w:t>Sensitivity analysis, not causal deployment estimate</w:t>
            </w:r>
          </w:p>
        </w:tc>
      </w:tr>
    </w:tbl>
    <w:p w14:paraId="056D0157" w14:textId="77777777" w:rsidR="008E5FBD" w:rsidRDefault="008E5FBD">
      <w:pPr>
        <w:spacing w:after="0"/>
        <w:rPr>
          <w:rFonts w:hint="eastAsia"/>
        </w:rPr>
      </w:pPr>
    </w:p>
    <w:p w14:paraId="41D90DB8" w14:textId="77777777" w:rsidR="008E5FBD" w:rsidRDefault="00000000">
      <w:pPr>
        <w:pStyle w:val="Heading2"/>
      </w:pPr>
      <w:r>
        <w:t>C. August 9 Delivery Package and Acceptance Criteria</w:t>
      </w:r>
    </w:p>
    <w:p w14:paraId="3EF035A3" w14:textId="77777777" w:rsidR="008E5FBD" w:rsidRDefault="00000000">
      <w:pPr>
        <w:rPr>
          <w:rFonts w:hint="eastAsia"/>
        </w:rPr>
      </w:pPr>
      <w:r>
        <w:t>Ke should deliver all of the following to Sunshine:</w:t>
      </w:r>
    </w:p>
    <w:p w14:paraId="204692B2" w14:textId="77777777" w:rsidR="008E5FBD" w:rsidRDefault="00000000">
      <w:pPr>
        <w:pStyle w:val="ListBullet"/>
        <w:spacing w:after="40"/>
        <w:rPr>
          <w:rFonts w:hint="eastAsia"/>
        </w:rPr>
      </w:pPr>
      <w:r>
        <w:t>paper_v1_AC_2026-08-09.pdf</w:t>
      </w:r>
    </w:p>
    <w:p w14:paraId="4E768065" w14:textId="77777777" w:rsidR="008E5FBD" w:rsidRDefault="00000000">
      <w:pPr>
        <w:pStyle w:val="ListBullet"/>
        <w:spacing w:after="40"/>
        <w:rPr>
          <w:rFonts w:hint="eastAsia"/>
        </w:rPr>
      </w:pPr>
      <w:r>
        <w:t>Complete LaTeX source, bibliography, figures, tables, and build instructions</w:t>
      </w:r>
    </w:p>
    <w:p w14:paraId="33287257" w14:textId="77777777" w:rsidR="008E5FBD" w:rsidRDefault="00000000">
      <w:pPr>
        <w:pStyle w:val="ListBullet"/>
        <w:spacing w:after="40"/>
        <w:rPr>
          <w:rFonts w:hint="eastAsia"/>
        </w:rPr>
      </w:pPr>
      <w:r>
        <w:t>Updated supplementary material</w:t>
      </w:r>
    </w:p>
    <w:p w14:paraId="31B750AB" w14:textId="77777777" w:rsidR="008E5FBD" w:rsidRDefault="00000000">
      <w:pPr>
        <w:pStyle w:val="ListBullet"/>
        <w:spacing w:after="40"/>
        <w:rPr>
          <w:rFonts w:hint="eastAsia"/>
        </w:rPr>
      </w:pPr>
      <w:r>
        <w:t>Updated anonymous artifact or artifact archive, plus private Overleaf records of the relevant GitHub organization, Hugging Face organization, and anonymous GitHub URLs</w:t>
      </w:r>
    </w:p>
    <w:p w14:paraId="609E7A86" w14:textId="77777777" w:rsidR="008E5FBD" w:rsidRDefault="00000000">
      <w:pPr>
        <w:pStyle w:val="ListBullet"/>
        <w:spacing w:after="40"/>
        <w:rPr>
          <w:rFonts w:hint="eastAsia"/>
        </w:rPr>
      </w:pPr>
      <w:r>
        <w:t>Reviewer-to-revision change log</w:t>
      </w:r>
    </w:p>
    <w:p w14:paraId="3ACF4EAE" w14:textId="77777777" w:rsidR="008E5FBD" w:rsidRDefault="00000000">
      <w:pPr>
        <w:pStyle w:val="ListBullet"/>
        <w:spacing w:after="40"/>
        <w:rPr>
          <w:rFonts w:hint="eastAsia"/>
        </w:rPr>
      </w:pPr>
      <w:r>
        <w:t>Literature extraction matrix</w:t>
      </w:r>
    </w:p>
    <w:p w14:paraId="3E0A478C" w14:textId="77777777" w:rsidR="008E5FBD" w:rsidRDefault="00000000">
      <w:pPr>
        <w:pStyle w:val="ListBullet"/>
        <w:spacing w:after="40"/>
        <w:rPr>
          <w:rFonts w:hint="eastAsia"/>
        </w:rPr>
      </w:pPr>
      <w:r>
        <w:t>Reproducible analysis outputs and run manifest</w:t>
      </w:r>
    </w:p>
    <w:p w14:paraId="2B6793A3" w14:textId="77777777" w:rsidR="008E5FBD" w:rsidRDefault="00000000">
      <w:pPr>
        <w:pStyle w:val="ListBullet"/>
        <w:spacing w:after="40"/>
        <w:rPr>
          <w:rFonts w:hint="eastAsia"/>
        </w:rPr>
      </w:pPr>
      <w:r>
        <w:t>A short memo listing unresolved scientific or editorial decisions</w:t>
      </w:r>
    </w:p>
    <w:p w14:paraId="3F979C85" w14:textId="77777777" w:rsidR="008E5FBD" w:rsidRDefault="00000000">
      <w:pPr>
        <w:rPr>
          <w:rFonts w:hint="eastAsia"/>
        </w:rPr>
      </w:pPr>
      <w:r>
        <w:t>Version 1 is accepted only when:</w:t>
      </w:r>
    </w:p>
    <w:p w14:paraId="365C7F05" w14:textId="77777777" w:rsidR="008E5FBD" w:rsidRDefault="00000000">
      <w:pPr>
        <w:pStyle w:val="ListBullet"/>
        <w:spacing w:after="40"/>
        <w:rPr>
          <w:rFonts w:hint="eastAsia"/>
        </w:rPr>
      </w:pPr>
      <w:r>
        <w:t>The manuscript reads as a complete workshop paper.</w:t>
      </w:r>
    </w:p>
    <w:p w14:paraId="1581C174" w14:textId="77777777" w:rsidR="008E5FBD" w:rsidRDefault="00000000">
      <w:pPr>
        <w:pStyle w:val="ListBullet"/>
        <w:spacing w:after="40"/>
        <w:rPr>
          <w:rFonts w:hint="eastAsia"/>
        </w:rPr>
      </w:pPr>
      <w:r>
        <w:t>All nine tasks have stakeholder/harm metadata.</w:t>
      </w:r>
    </w:p>
    <w:p w14:paraId="2DE7426D" w14:textId="77777777" w:rsidR="008E5FBD" w:rsidRDefault="00000000">
      <w:pPr>
        <w:pStyle w:val="ListBullet"/>
        <w:spacing w:after="40"/>
        <w:rPr>
          <w:rFonts w:hint="eastAsia"/>
        </w:rPr>
      </w:pPr>
      <w:r>
        <w:t>All new factual literature claims have verified citations.</w:t>
      </w:r>
    </w:p>
    <w:p w14:paraId="1BEC2DC9" w14:textId="77777777" w:rsidR="008E5FBD" w:rsidRDefault="00000000">
      <w:pPr>
        <w:pStyle w:val="ListBullet"/>
        <w:spacing w:after="40"/>
        <w:rPr>
          <w:rFonts w:hint="eastAsia"/>
        </w:rPr>
      </w:pPr>
      <w:r>
        <w:t>Existing tables and figures reproduce from the supplied commands.</w:t>
      </w:r>
    </w:p>
    <w:p w14:paraId="4EA537DC" w14:textId="77777777" w:rsidR="008E5FBD" w:rsidRDefault="00000000">
      <w:pPr>
        <w:pStyle w:val="ListBullet"/>
        <w:spacing w:after="40"/>
        <w:rPr>
          <w:rFonts w:hint="eastAsia"/>
        </w:rPr>
      </w:pPr>
      <w:r>
        <w:t>The anonymous artifact link works from a logged-out browser, and the Overleaf project contains the required GitHub organization, Hugging Face organization, and anonymous GitHub URLs with correct anonymity controls.</w:t>
      </w:r>
    </w:p>
    <w:p w14:paraId="335CC379" w14:textId="77777777" w:rsidR="008E5FBD" w:rsidRDefault="00000000">
      <w:pPr>
        <w:pStyle w:val="ListBullet"/>
        <w:spacing w:after="40"/>
        <w:rPr>
          <w:rFonts w:hint="eastAsia"/>
        </w:rPr>
      </w:pPr>
      <w:r>
        <w:t>No planned experiment is written as if it were completed; D, E, and all other extensions are already documented in the Future Work/Research Agenda section.</w:t>
      </w:r>
    </w:p>
    <w:p w14:paraId="08C3B68D" w14:textId="77777777" w:rsidR="008E5FBD" w:rsidRDefault="00000000">
      <w:pPr>
        <w:pStyle w:val="ListBullet"/>
        <w:spacing w:after="40"/>
        <w:rPr>
          <w:rFonts w:hint="eastAsia"/>
        </w:rPr>
      </w:pPr>
      <w:r>
        <w:t>The abstract, introduction, results, limitations, and conclusion use consistent scoped claims.</w:t>
      </w:r>
    </w:p>
    <w:p w14:paraId="573EFE89" w14:textId="77777777" w:rsidR="008E5FBD" w:rsidRDefault="00000000">
      <w:pPr>
        <w:rPr>
          <w:rFonts w:hint="eastAsia"/>
        </w:rPr>
      </w:pPr>
      <w:r>
        <w:br w:type="page"/>
      </w:r>
    </w:p>
    <w:p w14:paraId="26B7BA44" w14:textId="77777777" w:rsidR="008E5FBD" w:rsidRDefault="00000000">
      <w:pPr>
        <w:pStyle w:val="Heading1"/>
      </w:pPr>
      <w:r>
        <w:lastRenderedPageBreak/>
        <w:t>4. Version 2 Due August 16: D - Initial Cross-Agent Validation</w:t>
      </w:r>
    </w:p>
    <w:p w14:paraId="71719D24" w14:textId="77777777" w:rsidR="008E5FBD" w:rsidRDefault="00000000">
      <w:pPr>
        <w:rPr>
          <w:rFonts w:hint="eastAsia"/>
        </w:rPr>
      </w:pPr>
      <w:r>
        <w:t>Ke’s second handoff adds one stronger agent configuration while preserving the benchmark, warning conditions, scorer, and analysis pipeline. This is the highest-value empirical extension because all three original reviewers questioned single-agent validity.</w:t>
      </w:r>
    </w:p>
    <w:p w14:paraId="2EA65122" w14:textId="77777777" w:rsidR="008E5FBD" w:rsidRDefault="00000000">
      <w:pPr>
        <w:pStyle w:val="Heading2"/>
      </w:pPr>
      <w:r>
        <w:t>D1. Agent-selection rule</w:t>
      </w:r>
    </w:p>
    <w:p w14:paraId="3D836423" w14:textId="77777777" w:rsidR="008E5FBD" w:rsidRDefault="00000000">
      <w:pPr>
        <w:pStyle w:val="ListNumber"/>
        <w:spacing w:after="40"/>
        <w:rPr>
          <w:rFonts w:hint="eastAsia"/>
        </w:rPr>
      </w:pPr>
      <w:r>
        <w:t>Preferred: keep the BrowserUse scaffold and replace Nova Lite with a stronger compatible multimodal model. This isolates model differences.</w:t>
      </w:r>
    </w:p>
    <w:p w14:paraId="74A563EF" w14:textId="77777777" w:rsidR="008E5FBD" w:rsidRDefault="00000000">
      <w:pPr>
        <w:pStyle w:val="ListNumber"/>
        <w:spacing w:after="40"/>
        <w:rPr>
          <w:rFonts w:hint="eastAsia"/>
        </w:rPr>
      </w:pPr>
      <w:r>
        <w:t>Fallback: use a native computer-use agent only if the same tasks, terminal-state scorer, and warning conditions can be preserved through a documented adapter.</w:t>
      </w:r>
    </w:p>
    <w:p w14:paraId="07F7C422" w14:textId="77777777" w:rsidR="008E5FBD" w:rsidRDefault="00000000">
      <w:pPr>
        <w:pStyle w:val="ListNumber"/>
        <w:spacing w:after="40"/>
        <w:rPr>
          <w:rFonts w:hint="eastAsia"/>
        </w:rPr>
      </w:pPr>
      <w:r>
        <w:t>Freeze the exact model identifier, API version, tool configuration, prompt templates, and date of access before the full run.</w:t>
      </w:r>
    </w:p>
    <w:p w14:paraId="472C0D04" w14:textId="77777777" w:rsidR="008E5FBD" w:rsidRDefault="00000000">
      <w:pPr>
        <w:pStyle w:val="Heading2"/>
      </w:pPr>
      <w:r>
        <w:t>D2. Minimum experiment</w:t>
      </w:r>
    </w:p>
    <w:tbl>
      <w:tblPr>
        <w:tblStyle w:val="TableGrid"/>
        <w:tblW w:w="0" w:type="auto"/>
        <w:jc w:val="center"/>
        <w:tblLook w:val="04A0" w:firstRow="1" w:lastRow="0" w:firstColumn="1" w:lastColumn="0" w:noHBand="0" w:noVBand="1"/>
      </w:tblPr>
      <w:tblGrid>
        <w:gridCol w:w="10166"/>
      </w:tblGrid>
      <w:tr w:rsidR="008E5FBD" w14:paraId="2A19FE81" w14:textId="77777777">
        <w:trPr>
          <w:jc w:val="center"/>
        </w:trPr>
        <w:tc>
          <w:tcPr>
            <w:tcW w:w="10166" w:type="dxa"/>
            <w:shd w:val="clear" w:color="auto" w:fill="E2F0D9"/>
            <w:tcMar>
              <w:top w:w="100" w:type="dxa"/>
              <w:left w:w="130" w:type="dxa"/>
              <w:bottom w:w="100" w:type="dxa"/>
              <w:right w:w="130" w:type="dxa"/>
            </w:tcMar>
          </w:tcPr>
          <w:p w14:paraId="7FFC22EC" w14:textId="77777777" w:rsidR="008E5FBD" w:rsidRDefault="00000000">
            <w:pPr>
              <w:spacing w:after="40"/>
              <w:rPr>
                <w:rFonts w:hint="eastAsia"/>
              </w:rPr>
            </w:pPr>
            <w:r>
              <w:rPr>
                <w:b/>
                <w:color w:val="1F3758"/>
                <w:sz w:val="20"/>
              </w:rPr>
              <w:t>Required run matrix</w:t>
            </w:r>
          </w:p>
          <w:p w14:paraId="06D4BB16" w14:textId="77777777" w:rsidR="008E5FBD" w:rsidRDefault="00000000">
            <w:pPr>
              <w:spacing w:after="0"/>
              <w:rPr>
                <w:rFonts w:hint="eastAsia"/>
              </w:rPr>
            </w:pPr>
            <w:r>
              <w:rPr>
                <w:sz w:val="18"/>
              </w:rPr>
              <w:t>9 tasks x 3 warning conditions x 5 repeats = 135 new runs. Keep the existing agent results as the first comparison block.</w:t>
            </w:r>
          </w:p>
        </w:tc>
      </w:tr>
    </w:tbl>
    <w:p w14:paraId="42456797" w14:textId="77777777" w:rsidR="008E5FBD" w:rsidRDefault="008E5FBD">
      <w:pPr>
        <w:spacing w:after="0"/>
        <w:rPr>
          <w:rFonts w:hint="eastAsia"/>
        </w:rPr>
      </w:pPr>
    </w:p>
    <w:p w14:paraId="7BA3E5B1" w14:textId="77777777" w:rsidR="008E5FBD" w:rsidRDefault="00000000">
      <w:pPr>
        <w:pStyle w:val="Heading2"/>
      </w:pPr>
      <w:r>
        <w:t>D3. Protocol freeze before execution</w:t>
      </w:r>
    </w:p>
    <w:p w14:paraId="59AFAF56" w14:textId="77777777" w:rsidR="008E5FBD" w:rsidRDefault="00000000">
      <w:pPr>
        <w:pStyle w:val="ListBullet"/>
        <w:spacing w:after="40"/>
        <w:rPr>
          <w:rFonts w:hint="eastAsia"/>
        </w:rPr>
      </w:pPr>
      <w:r>
        <w:t>Same nine tasks and task versions</w:t>
      </w:r>
    </w:p>
    <w:p w14:paraId="43E64FA2" w14:textId="77777777" w:rsidR="008E5FBD" w:rsidRDefault="00000000">
      <w:pPr>
        <w:pStyle w:val="ListBullet"/>
        <w:spacing w:after="40"/>
        <w:rPr>
          <w:rFonts w:hint="eastAsia"/>
        </w:rPr>
      </w:pPr>
      <w:r>
        <w:t>Same No Warning, System Warning, and UI Warning semantics</w:t>
      </w:r>
    </w:p>
    <w:p w14:paraId="7589C813" w14:textId="77777777" w:rsidR="008E5FBD" w:rsidRDefault="00000000">
      <w:pPr>
        <w:pStyle w:val="ListBullet"/>
        <w:spacing w:after="40"/>
        <w:rPr>
          <w:rFonts w:hint="eastAsia"/>
        </w:rPr>
      </w:pPr>
      <w:r>
        <w:t>Same viewport, step budget, timeouts, and infrastructure-only retry rule where technically possible</w:t>
      </w:r>
    </w:p>
    <w:p w14:paraId="41CD7305" w14:textId="77777777" w:rsidR="008E5FBD" w:rsidRDefault="00000000">
      <w:pPr>
        <w:pStyle w:val="ListBullet"/>
        <w:spacing w:after="40"/>
        <w:rPr>
          <w:rFonts w:hint="eastAsia"/>
        </w:rPr>
      </w:pPr>
      <w:r>
        <w:t>Same deterministic terminal-state scorer</w:t>
      </w:r>
    </w:p>
    <w:p w14:paraId="01C252DF" w14:textId="77777777" w:rsidR="008E5FBD" w:rsidRDefault="00000000">
      <w:pPr>
        <w:pStyle w:val="ListBullet"/>
        <w:spacing w:after="40"/>
        <w:rPr>
          <w:rFonts w:hint="eastAsia"/>
        </w:rPr>
      </w:pPr>
      <w:r>
        <w:t>Same run artifact schema and directory naming</w:t>
      </w:r>
    </w:p>
    <w:p w14:paraId="16F1F680" w14:textId="77777777" w:rsidR="008E5FBD" w:rsidRDefault="00000000">
      <w:pPr>
        <w:pStyle w:val="ListBullet"/>
        <w:spacing w:after="40"/>
        <w:rPr>
          <w:rFonts w:hint="eastAsia"/>
        </w:rPr>
      </w:pPr>
      <w:r>
        <w:t>Predefined criteria for invalid runs and permissible reruns</w:t>
      </w:r>
    </w:p>
    <w:p w14:paraId="5B8A5CE6" w14:textId="77777777" w:rsidR="008E5FBD" w:rsidRDefault="00000000">
      <w:pPr>
        <w:pStyle w:val="ListBullet"/>
        <w:spacing w:after="40"/>
        <w:rPr>
          <w:rFonts w:hint="eastAsia"/>
        </w:rPr>
      </w:pPr>
      <w:r>
        <w:t>Frozen analysis script before the full experiment</w:t>
      </w:r>
    </w:p>
    <w:p w14:paraId="661AD093" w14:textId="77777777" w:rsidR="008E5FBD" w:rsidRDefault="00000000">
      <w:pPr>
        <w:pStyle w:val="Heading2"/>
      </w:pPr>
      <w:r>
        <w:t>D4. Required analyses</w:t>
      </w:r>
    </w:p>
    <w:tbl>
      <w:tblPr>
        <w:tblStyle w:val="TableGrid"/>
        <w:tblW w:w="0" w:type="auto"/>
        <w:jc w:val="center"/>
        <w:tblLook w:val="04A0" w:firstRow="1" w:lastRow="0" w:firstColumn="1" w:lastColumn="0" w:noHBand="0" w:noVBand="1"/>
      </w:tblPr>
      <w:tblGrid>
        <w:gridCol w:w="2304"/>
        <w:gridCol w:w="7560"/>
      </w:tblGrid>
      <w:tr w:rsidR="008E5FBD" w14:paraId="5B390A7B" w14:textId="77777777">
        <w:trPr>
          <w:tblHeader/>
          <w:jc w:val="center"/>
        </w:trPr>
        <w:tc>
          <w:tcPr>
            <w:tcW w:w="2304" w:type="dxa"/>
            <w:shd w:val="clear" w:color="auto" w:fill="D9EAF7"/>
            <w:tcMar>
              <w:top w:w="70" w:type="dxa"/>
              <w:left w:w="90" w:type="dxa"/>
              <w:bottom w:w="70" w:type="dxa"/>
              <w:right w:w="90" w:type="dxa"/>
            </w:tcMar>
            <w:vAlign w:val="center"/>
          </w:tcPr>
          <w:p w14:paraId="2DC07C42" w14:textId="77777777" w:rsidR="008E5FBD" w:rsidRDefault="00000000">
            <w:pPr>
              <w:spacing w:after="0" w:line="240" w:lineRule="auto"/>
              <w:rPr>
                <w:rFonts w:hint="eastAsia"/>
              </w:rPr>
            </w:pPr>
            <w:r>
              <w:rPr>
                <w:b/>
                <w:color w:val="1F3758"/>
                <w:sz w:val="16"/>
              </w:rPr>
              <w:t>Analysis</w:t>
            </w:r>
          </w:p>
        </w:tc>
        <w:tc>
          <w:tcPr>
            <w:tcW w:w="7560" w:type="dxa"/>
            <w:shd w:val="clear" w:color="auto" w:fill="D9EAF7"/>
            <w:tcMar>
              <w:top w:w="70" w:type="dxa"/>
              <w:left w:w="90" w:type="dxa"/>
              <w:bottom w:w="70" w:type="dxa"/>
              <w:right w:w="90" w:type="dxa"/>
            </w:tcMar>
            <w:vAlign w:val="center"/>
          </w:tcPr>
          <w:p w14:paraId="4C6BB62F" w14:textId="77777777" w:rsidR="008E5FBD" w:rsidRDefault="00000000">
            <w:pPr>
              <w:spacing w:after="0" w:line="240" w:lineRule="auto"/>
              <w:rPr>
                <w:rFonts w:hint="eastAsia"/>
              </w:rPr>
            </w:pPr>
            <w:r>
              <w:rPr>
                <w:b/>
                <w:color w:val="1F3758"/>
                <w:sz w:val="16"/>
              </w:rPr>
              <w:t>Requirement</w:t>
            </w:r>
          </w:p>
        </w:tc>
      </w:tr>
      <w:tr w:rsidR="008E5FBD" w14:paraId="548ABEA6" w14:textId="77777777">
        <w:trPr>
          <w:jc w:val="center"/>
        </w:trPr>
        <w:tc>
          <w:tcPr>
            <w:tcW w:w="2304" w:type="dxa"/>
            <w:tcMar>
              <w:top w:w="70" w:type="dxa"/>
              <w:left w:w="90" w:type="dxa"/>
              <w:bottom w:w="70" w:type="dxa"/>
              <w:right w:w="90" w:type="dxa"/>
            </w:tcMar>
            <w:vAlign w:val="center"/>
          </w:tcPr>
          <w:p w14:paraId="3653EF9E" w14:textId="77777777" w:rsidR="008E5FBD" w:rsidRDefault="00000000">
            <w:pPr>
              <w:spacing w:after="0" w:line="240" w:lineRule="auto"/>
              <w:rPr>
                <w:rFonts w:hint="eastAsia"/>
              </w:rPr>
            </w:pPr>
            <w:r>
              <w:rPr>
                <w:sz w:val="16"/>
              </w:rPr>
              <w:t>Outcome distribution</w:t>
            </w:r>
          </w:p>
        </w:tc>
        <w:tc>
          <w:tcPr>
            <w:tcW w:w="7560" w:type="dxa"/>
            <w:tcMar>
              <w:top w:w="70" w:type="dxa"/>
              <w:left w:w="90" w:type="dxa"/>
              <w:bottom w:w="70" w:type="dxa"/>
              <w:right w:w="90" w:type="dxa"/>
            </w:tcMar>
            <w:vAlign w:val="center"/>
          </w:tcPr>
          <w:p w14:paraId="4D1C5F8F" w14:textId="77777777" w:rsidR="008E5FBD" w:rsidRDefault="00000000">
            <w:pPr>
              <w:spacing w:after="0" w:line="240" w:lineRule="auto"/>
              <w:rPr>
                <w:rFonts w:hint="eastAsia"/>
              </w:rPr>
            </w:pPr>
            <w:r>
              <w:rPr>
                <w:sz w:val="16"/>
              </w:rPr>
              <w:t>Four-way outcomes by agent and warning condition</w:t>
            </w:r>
          </w:p>
        </w:tc>
      </w:tr>
      <w:tr w:rsidR="008E5FBD" w14:paraId="718440B2" w14:textId="77777777">
        <w:trPr>
          <w:jc w:val="center"/>
        </w:trPr>
        <w:tc>
          <w:tcPr>
            <w:tcW w:w="2304" w:type="dxa"/>
            <w:shd w:val="clear" w:color="auto" w:fill="F4F7FA"/>
            <w:tcMar>
              <w:top w:w="70" w:type="dxa"/>
              <w:left w:w="90" w:type="dxa"/>
              <w:bottom w:w="70" w:type="dxa"/>
              <w:right w:w="90" w:type="dxa"/>
            </w:tcMar>
            <w:vAlign w:val="center"/>
          </w:tcPr>
          <w:p w14:paraId="69C0CE01" w14:textId="77777777" w:rsidR="008E5FBD" w:rsidRDefault="00000000">
            <w:pPr>
              <w:spacing w:after="0" w:line="240" w:lineRule="auto"/>
              <w:rPr>
                <w:rFonts w:hint="eastAsia"/>
              </w:rPr>
            </w:pPr>
            <w:r>
              <w:rPr>
                <w:sz w:val="16"/>
              </w:rPr>
              <w:t>Unsafe completion</w:t>
            </w:r>
          </w:p>
        </w:tc>
        <w:tc>
          <w:tcPr>
            <w:tcW w:w="7560" w:type="dxa"/>
            <w:shd w:val="clear" w:color="auto" w:fill="F4F7FA"/>
            <w:tcMar>
              <w:top w:w="70" w:type="dxa"/>
              <w:left w:w="90" w:type="dxa"/>
              <w:bottom w:w="70" w:type="dxa"/>
              <w:right w:w="90" w:type="dxa"/>
            </w:tcMar>
            <w:vAlign w:val="center"/>
          </w:tcPr>
          <w:p w14:paraId="24ABE531" w14:textId="77777777" w:rsidR="008E5FBD" w:rsidRDefault="00000000">
            <w:pPr>
              <w:spacing w:after="0" w:line="240" w:lineRule="auto"/>
              <w:rPr>
                <w:rFonts w:hint="eastAsia"/>
              </w:rPr>
            </w:pPr>
            <w:r>
              <w:rPr>
                <w:sz w:val="16"/>
              </w:rPr>
              <w:t>Counts, rates, and intervals; no broad channel ranking without evidence</w:t>
            </w:r>
          </w:p>
        </w:tc>
      </w:tr>
      <w:tr w:rsidR="008E5FBD" w14:paraId="21F83CE6" w14:textId="77777777">
        <w:trPr>
          <w:jc w:val="center"/>
        </w:trPr>
        <w:tc>
          <w:tcPr>
            <w:tcW w:w="2304" w:type="dxa"/>
            <w:tcMar>
              <w:top w:w="70" w:type="dxa"/>
              <w:left w:w="90" w:type="dxa"/>
              <w:bottom w:w="70" w:type="dxa"/>
              <w:right w:w="90" w:type="dxa"/>
            </w:tcMar>
            <w:vAlign w:val="center"/>
          </w:tcPr>
          <w:p w14:paraId="79B2D9D5" w14:textId="77777777" w:rsidR="008E5FBD" w:rsidRDefault="00000000">
            <w:pPr>
              <w:spacing w:after="0" w:line="240" w:lineRule="auto"/>
              <w:rPr>
                <w:rFonts w:hint="eastAsia"/>
              </w:rPr>
            </w:pPr>
            <w:r>
              <w:rPr>
                <w:sz w:val="16"/>
              </w:rPr>
              <w:t>Agent x warning</w:t>
            </w:r>
          </w:p>
        </w:tc>
        <w:tc>
          <w:tcPr>
            <w:tcW w:w="7560" w:type="dxa"/>
            <w:tcMar>
              <w:top w:w="70" w:type="dxa"/>
              <w:left w:w="90" w:type="dxa"/>
              <w:bottom w:w="70" w:type="dxa"/>
              <w:right w:w="90" w:type="dxa"/>
            </w:tcMar>
            <w:vAlign w:val="center"/>
          </w:tcPr>
          <w:p w14:paraId="5D5BB33E" w14:textId="77777777" w:rsidR="008E5FBD" w:rsidRDefault="00000000">
            <w:pPr>
              <w:spacing w:after="0" w:line="240" w:lineRule="auto"/>
              <w:rPr>
                <w:rFonts w:hint="eastAsia"/>
              </w:rPr>
            </w:pPr>
            <w:r>
              <w:rPr>
                <w:sz w:val="16"/>
              </w:rPr>
              <w:t>Test whether warning effects differ across the two agent configurations</w:t>
            </w:r>
          </w:p>
        </w:tc>
      </w:tr>
      <w:tr w:rsidR="008E5FBD" w14:paraId="7F4F0BDC" w14:textId="77777777">
        <w:trPr>
          <w:jc w:val="center"/>
        </w:trPr>
        <w:tc>
          <w:tcPr>
            <w:tcW w:w="2304" w:type="dxa"/>
            <w:shd w:val="clear" w:color="auto" w:fill="F4F7FA"/>
            <w:tcMar>
              <w:top w:w="70" w:type="dxa"/>
              <w:left w:w="90" w:type="dxa"/>
              <w:bottom w:w="70" w:type="dxa"/>
              <w:right w:w="90" w:type="dxa"/>
            </w:tcMar>
            <w:vAlign w:val="center"/>
          </w:tcPr>
          <w:p w14:paraId="4B450232" w14:textId="77777777" w:rsidR="008E5FBD" w:rsidRDefault="00000000">
            <w:pPr>
              <w:spacing w:after="0" w:line="240" w:lineRule="auto"/>
              <w:rPr>
                <w:rFonts w:hint="eastAsia"/>
              </w:rPr>
            </w:pPr>
            <w:r>
              <w:rPr>
                <w:sz w:val="16"/>
              </w:rPr>
              <w:t>Task stratification</w:t>
            </w:r>
          </w:p>
        </w:tc>
        <w:tc>
          <w:tcPr>
            <w:tcW w:w="7560" w:type="dxa"/>
            <w:shd w:val="clear" w:color="auto" w:fill="F4F7FA"/>
            <w:tcMar>
              <w:top w:w="70" w:type="dxa"/>
              <w:left w:w="90" w:type="dxa"/>
              <w:bottom w:w="70" w:type="dxa"/>
              <w:right w:w="90" w:type="dxa"/>
            </w:tcMar>
            <w:vAlign w:val="center"/>
          </w:tcPr>
          <w:p w14:paraId="31720C4F" w14:textId="77777777" w:rsidR="008E5FBD" w:rsidRDefault="00000000">
            <w:pPr>
              <w:spacing w:after="0" w:line="240" w:lineRule="auto"/>
              <w:rPr>
                <w:rFonts w:hint="eastAsia"/>
              </w:rPr>
            </w:pPr>
            <w:r>
              <w:rPr>
                <w:sz w:val="16"/>
              </w:rPr>
              <w:t>Preserve task identity in resampling or hierarchical analysis</w:t>
            </w:r>
          </w:p>
        </w:tc>
      </w:tr>
      <w:tr w:rsidR="008E5FBD" w14:paraId="44965857" w14:textId="77777777">
        <w:trPr>
          <w:jc w:val="center"/>
        </w:trPr>
        <w:tc>
          <w:tcPr>
            <w:tcW w:w="2304" w:type="dxa"/>
            <w:tcMar>
              <w:top w:w="70" w:type="dxa"/>
              <w:left w:w="90" w:type="dxa"/>
              <w:bottom w:w="70" w:type="dxa"/>
              <w:right w:w="90" w:type="dxa"/>
            </w:tcMar>
            <w:vAlign w:val="center"/>
          </w:tcPr>
          <w:p w14:paraId="1686FCF9" w14:textId="77777777" w:rsidR="008E5FBD" w:rsidRDefault="00000000">
            <w:pPr>
              <w:spacing w:after="0" w:line="240" w:lineRule="auto"/>
              <w:rPr>
                <w:rFonts w:hint="eastAsia"/>
              </w:rPr>
            </w:pPr>
            <w:r>
              <w:rPr>
                <w:sz w:val="16"/>
              </w:rPr>
              <w:t>Pattern view</w:t>
            </w:r>
          </w:p>
        </w:tc>
        <w:tc>
          <w:tcPr>
            <w:tcW w:w="7560" w:type="dxa"/>
            <w:tcMar>
              <w:top w:w="70" w:type="dxa"/>
              <w:left w:w="90" w:type="dxa"/>
              <w:bottom w:w="70" w:type="dxa"/>
              <w:right w:w="90" w:type="dxa"/>
            </w:tcMar>
            <w:vAlign w:val="center"/>
          </w:tcPr>
          <w:p w14:paraId="53A38E49" w14:textId="77777777" w:rsidR="008E5FBD" w:rsidRDefault="00000000">
            <w:pPr>
              <w:spacing w:after="0" w:line="240" w:lineRule="auto"/>
              <w:rPr>
                <w:rFonts w:hint="eastAsia"/>
              </w:rPr>
            </w:pPr>
            <w:r>
              <w:rPr>
                <w:sz w:val="16"/>
              </w:rPr>
              <w:t>Descriptive family-level results unless power is adequate</w:t>
            </w:r>
          </w:p>
        </w:tc>
      </w:tr>
      <w:tr w:rsidR="008E5FBD" w14:paraId="035377B4" w14:textId="77777777">
        <w:trPr>
          <w:jc w:val="center"/>
        </w:trPr>
        <w:tc>
          <w:tcPr>
            <w:tcW w:w="2304" w:type="dxa"/>
            <w:shd w:val="clear" w:color="auto" w:fill="F4F7FA"/>
            <w:tcMar>
              <w:top w:w="70" w:type="dxa"/>
              <w:left w:w="90" w:type="dxa"/>
              <w:bottom w:w="70" w:type="dxa"/>
              <w:right w:w="90" w:type="dxa"/>
            </w:tcMar>
            <w:vAlign w:val="center"/>
          </w:tcPr>
          <w:p w14:paraId="56C7E8EE" w14:textId="77777777" w:rsidR="008E5FBD" w:rsidRDefault="00000000">
            <w:pPr>
              <w:spacing w:after="0" w:line="240" w:lineRule="auto"/>
              <w:rPr>
                <w:rFonts w:hint="eastAsia"/>
              </w:rPr>
            </w:pPr>
            <w:r>
              <w:rPr>
                <w:sz w:val="16"/>
              </w:rPr>
              <w:t>Failure audit</w:t>
            </w:r>
          </w:p>
        </w:tc>
        <w:tc>
          <w:tcPr>
            <w:tcW w:w="7560" w:type="dxa"/>
            <w:shd w:val="clear" w:color="auto" w:fill="F4F7FA"/>
            <w:tcMar>
              <w:top w:w="70" w:type="dxa"/>
              <w:left w:w="90" w:type="dxa"/>
              <w:bottom w:w="70" w:type="dxa"/>
              <w:right w:w="90" w:type="dxa"/>
            </w:tcMar>
            <w:vAlign w:val="center"/>
          </w:tcPr>
          <w:p w14:paraId="4E3FDECF" w14:textId="77777777" w:rsidR="008E5FBD" w:rsidRDefault="00000000">
            <w:pPr>
              <w:spacing w:after="0" w:line="240" w:lineRule="auto"/>
              <w:rPr>
                <w:rFonts w:hint="eastAsia"/>
              </w:rPr>
            </w:pPr>
            <w:r>
              <w:rPr>
                <w:sz w:val="16"/>
              </w:rPr>
              <w:t>Separate model behavior, grounding/navigation failures, and infrastructure failures</w:t>
            </w:r>
          </w:p>
        </w:tc>
      </w:tr>
      <w:tr w:rsidR="008E5FBD" w14:paraId="7AECF7B4" w14:textId="77777777">
        <w:trPr>
          <w:jc w:val="center"/>
        </w:trPr>
        <w:tc>
          <w:tcPr>
            <w:tcW w:w="2304" w:type="dxa"/>
            <w:tcMar>
              <w:top w:w="70" w:type="dxa"/>
              <w:left w:w="90" w:type="dxa"/>
              <w:bottom w:w="70" w:type="dxa"/>
              <w:right w:w="90" w:type="dxa"/>
            </w:tcMar>
            <w:vAlign w:val="center"/>
          </w:tcPr>
          <w:p w14:paraId="3423F953" w14:textId="77777777" w:rsidR="008E5FBD" w:rsidRDefault="00000000">
            <w:pPr>
              <w:spacing w:after="0" w:line="240" w:lineRule="auto"/>
              <w:rPr>
                <w:rFonts w:hint="eastAsia"/>
              </w:rPr>
            </w:pPr>
            <w:r>
              <w:rPr>
                <w:sz w:val="16"/>
              </w:rPr>
              <w:t>Claim impact memo</w:t>
            </w:r>
          </w:p>
        </w:tc>
        <w:tc>
          <w:tcPr>
            <w:tcW w:w="7560" w:type="dxa"/>
            <w:tcMar>
              <w:top w:w="70" w:type="dxa"/>
              <w:left w:w="90" w:type="dxa"/>
              <w:bottom w:w="70" w:type="dxa"/>
              <w:right w:w="90" w:type="dxa"/>
            </w:tcMar>
            <w:vAlign w:val="center"/>
          </w:tcPr>
          <w:p w14:paraId="6320C330" w14:textId="77777777" w:rsidR="008E5FBD" w:rsidRDefault="00000000">
            <w:pPr>
              <w:spacing w:after="0" w:line="240" w:lineRule="auto"/>
              <w:rPr>
                <w:rFonts w:hint="eastAsia"/>
              </w:rPr>
            </w:pPr>
            <w:r>
              <w:rPr>
                <w:sz w:val="16"/>
              </w:rPr>
              <w:t>State whether the new agent changes, strengthens, or weakens any central claim</w:t>
            </w:r>
          </w:p>
        </w:tc>
      </w:tr>
    </w:tbl>
    <w:p w14:paraId="6FE7AA7A" w14:textId="77777777" w:rsidR="008E5FBD" w:rsidRDefault="008E5FBD">
      <w:pPr>
        <w:spacing w:after="0"/>
        <w:rPr>
          <w:rFonts w:hint="eastAsia"/>
        </w:rPr>
      </w:pPr>
    </w:p>
    <w:p w14:paraId="2583EE5A" w14:textId="77777777" w:rsidR="008E5FBD" w:rsidRDefault="00000000">
      <w:pPr>
        <w:pStyle w:val="Heading2"/>
      </w:pPr>
      <w:r>
        <w:t>D5. August 16 delivery package</w:t>
      </w:r>
    </w:p>
    <w:p w14:paraId="515BB90D" w14:textId="77777777" w:rsidR="008E5FBD" w:rsidRDefault="00000000">
      <w:pPr>
        <w:pStyle w:val="ListBullet"/>
        <w:spacing w:after="40"/>
        <w:rPr>
          <w:rFonts w:hint="eastAsia"/>
        </w:rPr>
      </w:pPr>
      <w:r>
        <w:t>paper_v2_D_2026-08-16.pdf and complete source</w:t>
      </w:r>
    </w:p>
    <w:p w14:paraId="46D71711" w14:textId="77777777" w:rsidR="008E5FBD" w:rsidRDefault="00000000">
      <w:pPr>
        <w:pStyle w:val="ListBullet"/>
        <w:spacing w:after="40"/>
        <w:rPr>
          <w:rFonts w:hint="eastAsia"/>
        </w:rPr>
      </w:pPr>
      <w:r>
        <w:t>All new run artifacts and a machine-readable run manifest</w:t>
      </w:r>
    </w:p>
    <w:p w14:paraId="449CBDDE" w14:textId="77777777" w:rsidR="008E5FBD" w:rsidRDefault="00000000">
      <w:pPr>
        <w:pStyle w:val="ListBullet"/>
        <w:spacing w:after="40"/>
        <w:rPr>
          <w:rFonts w:hint="eastAsia"/>
        </w:rPr>
      </w:pPr>
      <w:r>
        <w:t>Frozen configuration and adapter documentation</w:t>
      </w:r>
    </w:p>
    <w:p w14:paraId="4C2CCD8E" w14:textId="77777777" w:rsidR="008E5FBD" w:rsidRDefault="00000000">
      <w:pPr>
        <w:pStyle w:val="ListBullet"/>
        <w:spacing w:after="40"/>
        <w:rPr>
          <w:rFonts w:hint="eastAsia"/>
        </w:rPr>
      </w:pPr>
      <w:r>
        <w:t>Failure and rerun audit</w:t>
      </w:r>
    </w:p>
    <w:p w14:paraId="6DD6AD9B" w14:textId="77777777" w:rsidR="008E5FBD" w:rsidRDefault="00000000">
      <w:pPr>
        <w:pStyle w:val="ListBullet"/>
        <w:spacing w:after="40"/>
        <w:rPr>
          <w:rFonts w:hint="eastAsia"/>
        </w:rPr>
      </w:pPr>
      <w:r>
        <w:t>Updated figures, tables, methods, results, limitations, abstract, and supplement</w:t>
      </w:r>
    </w:p>
    <w:p w14:paraId="5FCEF829" w14:textId="77777777" w:rsidR="008E5FBD" w:rsidRDefault="00000000">
      <w:pPr>
        <w:pStyle w:val="ListBullet"/>
        <w:spacing w:after="40"/>
        <w:rPr>
          <w:rFonts w:hint="eastAsia"/>
        </w:rPr>
      </w:pPr>
      <w:r>
        <w:t>Reproduction commands for the cross-agent analysis</w:t>
      </w:r>
    </w:p>
    <w:p w14:paraId="22132978" w14:textId="77777777" w:rsidR="008E5FBD" w:rsidRDefault="00000000">
      <w:pPr>
        <w:pStyle w:val="ListBullet"/>
        <w:spacing w:after="40"/>
        <w:rPr>
          <w:rFonts w:hint="eastAsia"/>
        </w:rPr>
      </w:pPr>
      <w:r>
        <w:t>One-page memo explaining how the new evidence affects the paper’s claims</w:t>
      </w:r>
    </w:p>
    <w:p w14:paraId="542A9BA3" w14:textId="77777777" w:rsidR="008E5FBD" w:rsidRDefault="00000000">
      <w:pPr>
        <w:pStyle w:val="Heading1"/>
      </w:pPr>
      <w:r>
        <w:lastRenderedPageBreak/>
        <w:t>5. Optional Version 3 Due August 24: E - Ke, Supplementary Results Only</w:t>
      </w:r>
    </w:p>
    <w:p w14:paraId="01A19B27" w14:textId="77777777" w:rsidR="008E5FBD" w:rsidRDefault="00000000">
      <w:pPr>
        <w:rPr>
          <w:rFonts w:hint="eastAsia"/>
        </w:rPr>
      </w:pPr>
      <w:r>
        <w:t>Optional E work begins only after Version 2 is stable and must not delay the workshop main paper. If time permits, Ke may conduct E experiments and deliver an optional Version 3 to Sunshine by August 24. Only completed and audited improvements should be included in the workshop supplementary material. These results may be promoted into the main paper of the next full conference submission after broader validation and corresponding-author review.</w:t>
      </w:r>
    </w:p>
    <w:p w14:paraId="2FC9DFF7" w14:textId="77777777" w:rsidR="008E5FBD" w:rsidRDefault="00000000">
      <w:pPr>
        <w:pStyle w:val="Heading2"/>
      </w:pPr>
      <w:r>
        <w:t>E1. Highest priority: warning-wording ablation</w:t>
      </w:r>
    </w:p>
    <w:p w14:paraId="6EA1D46E" w14:textId="77777777" w:rsidR="008E5FBD" w:rsidRDefault="00000000">
      <w:pPr>
        <w:rPr>
          <w:rFonts w:hint="eastAsia"/>
        </w:rPr>
      </w:pPr>
      <w:r>
        <w:t>Use the three sneaking tasks, where the pilot showed the strongest unsafe-completion floor. Compare System and UI delivery under the current goal-plus-warning wording and a purely prohibitive wording.</w:t>
      </w:r>
    </w:p>
    <w:tbl>
      <w:tblPr>
        <w:tblStyle w:val="TableGrid"/>
        <w:tblW w:w="0" w:type="auto"/>
        <w:jc w:val="center"/>
        <w:tblLook w:val="04A0" w:firstRow="1" w:lastRow="0" w:firstColumn="1" w:lastColumn="0" w:noHBand="0" w:noVBand="1"/>
      </w:tblPr>
      <w:tblGrid>
        <w:gridCol w:w="10166"/>
      </w:tblGrid>
      <w:tr w:rsidR="008E5FBD" w14:paraId="700DDBC1" w14:textId="77777777">
        <w:trPr>
          <w:jc w:val="center"/>
        </w:trPr>
        <w:tc>
          <w:tcPr>
            <w:tcW w:w="10166" w:type="dxa"/>
            <w:shd w:val="clear" w:color="auto" w:fill="FFF2CC"/>
            <w:tcMar>
              <w:top w:w="100" w:type="dxa"/>
              <w:left w:w="130" w:type="dxa"/>
              <w:bottom w:w="100" w:type="dxa"/>
              <w:right w:w="130" w:type="dxa"/>
            </w:tcMar>
          </w:tcPr>
          <w:p w14:paraId="515F732A" w14:textId="77777777" w:rsidR="008E5FBD" w:rsidRDefault="00000000">
            <w:pPr>
              <w:spacing w:after="40"/>
              <w:rPr>
                <w:rFonts w:hint="eastAsia"/>
              </w:rPr>
            </w:pPr>
            <w:r>
              <w:rPr>
                <w:b/>
                <w:color w:val="1F3758"/>
                <w:sz w:val="20"/>
              </w:rPr>
              <w:t>Suggested design</w:t>
            </w:r>
          </w:p>
          <w:p w14:paraId="55D1E367" w14:textId="77777777" w:rsidR="008E5FBD" w:rsidRDefault="00000000">
            <w:pPr>
              <w:spacing w:after="0"/>
              <w:rPr>
                <w:rFonts w:hint="eastAsia"/>
              </w:rPr>
            </w:pPr>
            <w:r>
              <w:rPr>
                <w:sz w:val="18"/>
              </w:rPr>
              <w:t>3 tasks x 2 channels x 2 wording conditions x 5 repeats = 60 runs per agent. Suggested prohibitive wording: “Do not interact with [RISK_SLOT]. If the goal cannot be completed without it, stop.”</w:t>
            </w:r>
          </w:p>
        </w:tc>
      </w:tr>
    </w:tbl>
    <w:p w14:paraId="5EB4662F" w14:textId="77777777" w:rsidR="008E5FBD" w:rsidRDefault="008E5FBD">
      <w:pPr>
        <w:spacing w:after="0"/>
        <w:rPr>
          <w:rFonts w:hint="eastAsia"/>
        </w:rPr>
      </w:pPr>
    </w:p>
    <w:p w14:paraId="49C108A4" w14:textId="77777777" w:rsidR="008E5FBD" w:rsidRDefault="00000000">
      <w:pPr>
        <w:pStyle w:val="Heading2"/>
      </w:pPr>
      <w:r>
        <w:t>E2. Second priority: more repeats</w:t>
      </w:r>
    </w:p>
    <w:p w14:paraId="0D75672E" w14:textId="77777777" w:rsidR="008E5FBD" w:rsidRDefault="00000000">
      <w:pPr>
        <w:rPr>
          <w:rFonts w:hint="eastAsia"/>
        </w:rPr>
      </w:pPr>
      <w:r>
        <w:t>Increasing the cross-agent experiment from five to ten repeats may be more valuable than introducing a third model or another factor. Use additional repeats to improve uncertainty estimates rather than to manufacture significance.</w:t>
      </w:r>
    </w:p>
    <w:p w14:paraId="6C03FCE4" w14:textId="77777777" w:rsidR="008E5FBD" w:rsidRDefault="00000000">
      <w:pPr>
        <w:pStyle w:val="Heading2"/>
      </w:pPr>
      <w:r>
        <w:t>E3. Third priority: trigger robustness subset</w:t>
      </w:r>
    </w:p>
    <w:p w14:paraId="7009A4F8" w14:textId="77777777" w:rsidR="008E5FBD" w:rsidRDefault="00000000">
      <w:pPr>
        <w:rPr>
          <w:rFonts w:hint="eastAsia"/>
        </w:rPr>
      </w:pPr>
      <w:r>
        <w:t>On a very small task subset, compare oracle-timed warnings with one-step-delayed warnings or false-positive warnings at a safe control. Treat this as exploratory detector-coupled evidence.</w:t>
      </w:r>
    </w:p>
    <w:p w14:paraId="3D0ABEBF" w14:textId="77777777" w:rsidR="008E5FBD" w:rsidRDefault="00000000">
      <w:pPr>
        <w:pStyle w:val="Heading2"/>
      </w:pPr>
      <w:r>
        <w:t>E4. Explicitly out of scope for this workshop cycle</w:t>
      </w:r>
    </w:p>
    <w:p w14:paraId="60447A94" w14:textId="77777777" w:rsidR="008E5FBD" w:rsidRDefault="00000000">
      <w:pPr>
        <w:pStyle w:val="ListBullet"/>
        <w:spacing w:after="40"/>
        <w:rPr>
          <w:rFonts w:hint="eastAsia"/>
        </w:rPr>
      </w:pPr>
      <w:r>
        <w:t>Human-subject data collection</w:t>
      </w:r>
    </w:p>
    <w:p w14:paraId="3E1F6DC3" w14:textId="77777777" w:rsidR="008E5FBD" w:rsidRDefault="00000000">
      <w:pPr>
        <w:pStyle w:val="ListBullet"/>
        <w:spacing w:after="40"/>
        <w:rPr>
          <w:rFonts w:hint="eastAsia"/>
        </w:rPr>
      </w:pPr>
      <w:r>
        <w:t>A new public-service sandbox</w:t>
      </w:r>
    </w:p>
    <w:p w14:paraId="56C29E31" w14:textId="77777777" w:rsidR="008E5FBD" w:rsidRDefault="00000000">
      <w:pPr>
        <w:pStyle w:val="ListBullet"/>
        <w:spacing w:after="40"/>
        <w:rPr>
          <w:rFonts w:hint="eastAsia"/>
        </w:rPr>
      </w:pPr>
      <w:r>
        <w:t>A learned risk detector</w:t>
      </w:r>
    </w:p>
    <w:p w14:paraId="033B9B2A" w14:textId="77777777" w:rsidR="008E5FBD" w:rsidRDefault="00000000">
      <w:pPr>
        <w:pStyle w:val="ListBullet"/>
        <w:spacing w:after="40"/>
        <w:rPr>
          <w:rFonts w:hint="eastAsia"/>
        </w:rPr>
      </w:pPr>
      <w:r>
        <w:t>Comprehensive deceptive-pattern taxonomy coverage</w:t>
      </w:r>
    </w:p>
    <w:p w14:paraId="20BC5A2D" w14:textId="77777777" w:rsidR="008E5FBD" w:rsidRDefault="00000000">
      <w:pPr>
        <w:pStyle w:val="ListBullet"/>
        <w:spacing w:after="40"/>
        <w:rPr>
          <w:rFonts w:hint="eastAsia"/>
        </w:rPr>
      </w:pPr>
      <w:r>
        <w:t>Multiple additional agent systems</w:t>
      </w:r>
    </w:p>
    <w:p w14:paraId="74DC2180" w14:textId="77777777" w:rsidR="008E5FBD" w:rsidRDefault="00000000">
      <w:pPr>
        <w:pStyle w:val="ListBullet"/>
        <w:spacing w:after="40"/>
        <w:rPr>
          <w:rFonts w:hint="eastAsia"/>
        </w:rPr>
      </w:pPr>
      <w:r>
        <w:t>Numerical harm-severity weighting</w:t>
      </w:r>
    </w:p>
    <w:p w14:paraId="3BFE2256" w14:textId="77777777" w:rsidR="008E5FBD" w:rsidRDefault="00000000">
      <w:pPr>
        <w:pStyle w:val="ListBullet"/>
        <w:spacing w:after="40"/>
        <w:rPr>
          <w:rFonts w:hint="eastAsia"/>
        </w:rPr>
      </w:pPr>
      <w:r>
        <w:t>Population-level causal claims</w:t>
      </w:r>
    </w:p>
    <w:p w14:paraId="1F781A3B" w14:textId="77777777" w:rsidR="008E5FBD" w:rsidRDefault="00000000">
      <w:pPr>
        <w:pStyle w:val="Heading1"/>
      </w:pPr>
      <w:r>
        <w:t>6. Section-by-Section Revision Checklist</w:t>
      </w:r>
    </w:p>
    <w:tbl>
      <w:tblPr>
        <w:tblStyle w:val="TableGrid"/>
        <w:tblW w:w="0" w:type="auto"/>
        <w:jc w:val="center"/>
        <w:tblLook w:val="04A0" w:firstRow="1" w:lastRow="0" w:firstColumn="1" w:lastColumn="0" w:noHBand="0" w:noVBand="1"/>
      </w:tblPr>
      <w:tblGrid>
        <w:gridCol w:w="1728"/>
        <w:gridCol w:w="6120"/>
        <w:gridCol w:w="1944"/>
      </w:tblGrid>
      <w:tr w:rsidR="008E5FBD" w14:paraId="1E2BEF58" w14:textId="77777777">
        <w:trPr>
          <w:tblHeader/>
          <w:jc w:val="center"/>
        </w:trPr>
        <w:tc>
          <w:tcPr>
            <w:tcW w:w="1728" w:type="dxa"/>
            <w:shd w:val="clear" w:color="auto" w:fill="D9EAF7"/>
            <w:tcMar>
              <w:top w:w="70" w:type="dxa"/>
              <w:left w:w="90" w:type="dxa"/>
              <w:bottom w:w="70" w:type="dxa"/>
              <w:right w:w="90" w:type="dxa"/>
            </w:tcMar>
            <w:vAlign w:val="center"/>
          </w:tcPr>
          <w:p w14:paraId="5D930CDE" w14:textId="77777777" w:rsidR="008E5FBD" w:rsidRDefault="00000000">
            <w:pPr>
              <w:spacing w:after="0" w:line="240" w:lineRule="auto"/>
              <w:rPr>
                <w:rFonts w:hint="eastAsia"/>
              </w:rPr>
            </w:pPr>
            <w:r>
              <w:rPr>
                <w:b/>
                <w:color w:val="1F3758"/>
                <w:sz w:val="16"/>
              </w:rPr>
              <w:t>Paper component</w:t>
            </w:r>
          </w:p>
        </w:tc>
        <w:tc>
          <w:tcPr>
            <w:tcW w:w="6120" w:type="dxa"/>
            <w:shd w:val="clear" w:color="auto" w:fill="D9EAF7"/>
            <w:tcMar>
              <w:top w:w="70" w:type="dxa"/>
              <w:left w:w="90" w:type="dxa"/>
              <w:bottom w:w="70" w:type="dxa"/>
              <w:right w:w="90" w:type="dxa"/>
            </w:tcMar>
            <w:vAlign w:val="center"/>
          </w:tcPr>
          <w:p w14:paraId="6D618CC4" w14:textId="77777777" w:rsidR="008E5FBD" w:rsidRDefault="00000000">
            <w:pPr>
              <w:spacing w:after="0" w:line="240" w:lineRule="auto"/>
              <w:rPr>
                <w:rFonts w:hint="eastAsia"/>
              </w:rPr>
            </w:pPr>
            <w:r>
              <w:rPr>
                <w:b/>
                <w:color w:val="1F3758"/>
                <w:sz w:val="16"/>
              </w:rPr>
              <w:t>Required revision</w:t>
            </w:r>
          </w:p>
        </w:tc>
        <w:tc>
          <w:tcPr>
            <w:tcW w:w="1944" w:type="dxa"/>
            <w:shd w:val="clear" w:color="auto" w:fill="D9EAF7"/>
            <w:tcMar>
              <w:top w:w="70" w:type="dxa"/>
              <w:left w:w="90" w:type="dxa"/>
              <w:bottom w:w="70" w:type="dxa"/>
              <w:right w:w="90" w:type="dxa"/>
            </w:tcMar>
            <w:vAlign w:val="center"/>
          </w:tcPr>
          <w:p w14:paraId="52623F87" w14:textId="77777777" w:rsidR="008E5FBD" w:rsidRDefault="00000000">
            <w:pPr>
              <w:spacing w:after="0" w:line="240" w:lineRule="auto"/>
              <w:rPr>
                <w:rFonts w:hint="eastAsia"/>
              </w:rPr>
            </w:pPr>
            <w:r>
              <w:rPr>
                <w:b/>
                <w:color w:val="1F3758"/>
                <w:sz w:val="16"/>
              </w:rPr>
              <w:t>Owner/deadline</w:t>
            </w:r>
          </w:p>
        </w:tc>
      </w:tr>
      <w:tr w:rsidR="008E5FBD" w14:paraId="1C95B425" w14:textId="77777777">
        <w:trPr>
          <w:jc w:val="center"/>
        </w:trPr>
        <w:tc>
          <w:tcPr>
            <w:tcW w:w="1728" w:type="dxa"/>
            <w:tcMar>
              <w:top w:w="70" w:type="dxa"/>
              <w:left w:w="90" w:type="dxa"/>
              <w:bottom w:w="70" w:type="dxa"/>
              <w:right w:w="90" w:type="dxa"/>
            </w:tcMar>
            <w:vAlign w:val="center"/>
          </w:tcPr>
          <w:p w14:paraId="1689B985" w14:textId="77777777" w:rsidR="008E5FBD" w:rsidRDefault="00000000">
            <w:pPr>
              <w:spacing w:after="0" w:line="240" w:lineRule="auto"/>
              <w:rPr>
                <w:rFonts w:hint="eastAsia"/>
              </w:rPr>
            </w:pPr>
            <w:r>
              <w:rPr>
                <w:sz w:val="16"/>
              </w:rPr>
              <w:t>Title</w:t>
            </w:r>
          </w:p>
        </w:tc>
        <w:tc>
          <w:tcPr>
            <w:tcW w:w="6120" w:type="dxa"/>
            <w:tcMar>
              <w:top w:w="70" w:type="dxa"/>
              <w:left w:w="90" w:type="dxa"/>
              <w:bottom w:w="70" w:type="dxa"/>
              <w:right w:w="90" w:type="dxa"/>
            </w:tcMar>
            <w:vAlign w:val="center"/>
          </w:tcPr>
          <w:p w14:paraId="3C9EDFC9" w14:textId="77777777" w:rsidR="008E5FBD" w:rsidRDefault="00000000">
            <w:pPr>
              <w:spacing w:after="0" w:line="240" w:lineRule="auto"/>
              <w:rPr>
                <w:rFonts w:hint="eastAsia"/>
              </w:rPr>
            </w:pPr>
            <w:r>
              <w:rPr>
                <w:sz w:val="16"/>
              </w:rPr>
              <w:t>Use the approved interdisciplinary title.</w:t>
            </w:r>
          </w:p>
        </w:tc>
        <w:tc>
          <w:tcPr>
            <w:tcW w:w="1944" w:type="dxa"/>
            <w:tcMar>
              <w:top w:w="70" w:type="dxa"/>
              <w:left w:w="90" w:type="dxa"/>
              <w:bottom w:w="70" w:type="dxa"/>
              <w:right w:w="90" w:type="dxa"/>
            </w:tcMar>
            <w:vAlign w:val="center"/>
          </w:tcPr>
          <w:p w14:paraId="35FBEBE6" w14:textId="77777777" w:rsidR="008E5FBD" w:rsidRDefault="00000000">
            <w:pPr>
              <w:spacing w:after="0" w:line="240" w:lineRule="auto"/>
              <w:rPr>
                <w:rFonts w:hint="eastAsia"/>
              </w:rPr>
            </w:pPr>
            <w:r>
              <w:rPr>
                <w:sz w:val="16"/>
              </w:rPr>
              <w:t>Ke by Aug 9; Sunshine final</w:t>
            </w:r>
          </w:p>
        </w:tc>
      </w:tr>
      <w:tr w:rsidR="008E5FBD" w14:paraId="330C049B" w14:textId="77777777">
        <w:trPr>
          <w:jc w:val="center"/>
        </w:trPr>
        <w:tc>
          <w:tcPr>
            <w:tcW w:w="1728" w:type="dxa"/>
            <w:shd w:val="clear" w:color="auto" w:fill="F4F7FA"/>
            <w:tcMar>
              <w:top w:w="70" w:type="dxa"/>
              <w:left w:w="90" w:type="dxa"/>
              <w:bottom w:w="70" w:type="dxa"/>
              <w:right w:w="90" w:type="dxa"/>
            </w:tcMar>
            <w:vAlign w:val="center"/>
          </w:tcPr>
          <w:p w14:paraId="362C9DE6" w14:textId="77777777" w:rsidR="008E5FBD" w:rsidRDefault="00000000">
            <w:pPr>
              <w:spacing w:after="0" w:line="240" w:lineRule="auto"/>
              <w:rPr>
                <w:rFonts w:hint="eastAsia"/>
              </w:rPr>
            </w:pPr>
            <w:r>
              <w:rPr>
                <w:sz w:val="16"/>
              </w:rPr>
              <w:t>Abstract</w:t>
            </w:r>
          </w:p>
        </w:tc>
        <w:tc>
          <w:tcPr>
            <w:tcW w:w="6120" w:type="dxa"/>
            <w:shd w:val="clear" w:color="auto" w:fill="F4F7FA"/>
            <w:tcMar>
              <w:top w:w="70" w:type="dxa"/>
              <w:left w:w="90" w:type="dxa"/>
              <w:bottom w:w="70" w:type="dxa"/>
              <w:right w:w="90" w:type="dxa"/>
            </w:tcMar>
            <w:vAlign w:val="center"/>
          </w:tcPr>
          <w:p w14:paraId="68B24BB5" w14:textId="77777777" w:rsidR="008E5FBD" w:rsidRDefault="00000000">
            <w:pPr>
              <w:spacing w:after="0" w:line="240" w:lineRule="auto"/>
              <w:rPr>
                <w:rFonts w:hint="eastAsia"/>
              </w:rPr>
            </w:pPr>
            <w:r>
              <w:rPr>
                <w:sz w:val="16"/>
              </w:rPr>
              <w:t>Problem, safe-completion framework, benchmark, scoped pilot, workshop relevance, no overclaiming.</w:t>
            </w:r>
          </w:p>
        </w:tc>
        <w:tc>
          <w:tcPr>
            <w:tcW w:w="1944" w:type="dxa"/>
            <w:shd w:val="clear" w:color="auto" w:fill="F4F7FA"/>
            <w:tcMar>
              <w:top w:w="70" w:type="dxa"/>
              <w:left w:w="90" w:type="dxa"/>
              <w:bottom w:w="70" w:type="dxa"/>
              <w:right w:w="90" w:type="dxa"/>
            </w:tcMar>
            <w:vAlign w:val="center"/>
          </w:tcPr>
          <w:p w14:paraId="1B0F3FB7" w14:textId="77777777" w:rsidR="008E5FBD" w:rsidRDefault="00000000">
            <w:pPr>
              <w:spacing w:after="0" w:line="240" w:lineRule="auto"/>
              <w:rPr>
                <w:rFonts w:hint="eastAsia"/>
              </w:rPr>
            </w:pPr>
            <w:r>
              <w:rPr>
                <w:sz w:val="16"/>
              </w:rPr>
              <w:t>Ke Aug 9; update Aug 16</w:t>
            </w:r>
          </w:p>
        </w:tc>
      </w:tr>
      <w:tr w:rsidR="008E5FBD" w14:paraId="0548ADB6" w14:textId="77777777">
        <w:trPr>
          <w:jc w:val="center"/>
        </w:trPr>
        <w:tc>
          <w:tcPr>
            <w:tcW w:w="1728" w:type="dxa"/>
            <w:tcMar>
              <w:top w:w="70" w:type="dxa"/>
              <w:left w:w="90" w:type="dxa"/>
              <w:bottom w:w="70" w:type="dxa"/>
              <w:right w:w="90" w:type="dxa"/>
            </w:tcMar>
            <w:vAlign w:val="center"/>
          </w:tcPr>
          <w:p w14:paraId="6F197FD4" w14:textId="77777777" w:rsidR="008E5FBD" w:rsidRDefault="00000000">
            <w:pPr>
              <w:spacing w:after="0" w:line="240" w:lineRule="auto"/>
              <w:rPr>
                <w:rFonts w:hint="eastAsia"/>
              </w:rPr>
            </w:pPr>
            <w:r>
              <w:rPr>
                <w:sz w:val="16"/>
              </w:rPr>
              <w:t>Introduction</w:t>
            </w:r>
          </w:p>
        </w:tc>
        <w:tc>
          <w:tcPr>
            <w:tcW w:w="6120" w:type="dxa"/>
            <w:tcMar>
              <w:top w:w="70" w:type="dxa"/>
              <w:left w:w="90" w:type="dxa"/>
              <w:bottom w:w="70" w:type="dxa"/>
              <w:right w:w="90" w:type="dxa"/>
            </w:tcMar>
            <w:vAlign w:val="center"/>
          </w:tcPr>
          <w:p w14:paraId="4049D9D5" w14:textId="77777777" w:rsidR="008E5FBD" w:rsidRDefault="00000000">
            <w:pPr>
              <w:spacing w:after="0" w:line="240" w:lineRule="auto"/>
              <w:rPr>
                <w:rFonts w:hint="eastAsia"/>
              </w:rPr>
            </w:pPr>
            <w:r>
              <w:rPr>
                <w:sz w:val="16"/>
              </w:rPr>
              <w:t>Beneficiary, harms, gap, contributions, claim boundaries.</w:t>
            </w:r>
          </w:p>
        </w:tc>
        <w:tc>
          <w:tcPr>
            <w:tcW w:w="1944" w:type="dxa"/>
            <w:tcMar>
              <w:top w:w="70" w:type="dxa"/>
              <w:left w:w="90" w:type="dxa"/>
              <w:bottom w:w="70" w:type="dxa"/>
              <w:right w:w="90" w:type="dxa"/>
            </w:tcMar>
            <w:vAlign w:val="center"/>
          </w:tcPr>
          <w:p w14:paraId="6C3696EB" w14:textId="77777777" w:rsidR="008E5FBD" w:rsidRDefault="00000000">
            <w:pPr>
              <w:spacing w:after="0" w:line="240" w:lineRule="auto"/>
              <w:rPr>
                <w:rFonts w:hint="eastAsia"/>
              </w:rPr>
            </w:pPr>
            <w:r>
              <w:rPr>
                <w:sz w:val="16"/>
              </w:rPr>
              <w:t>Ke Aug 9</w:t>
            </w:r>
          </w:p>
        </w:tc>
      </w:tr>
      <w:tr w:rsidR="008E5FBD" w14:paraId="3DA65AF7" w14:textId="77777777">
        <w:trPr>
          <w:jc w:val="center"/>
        </w:trPr>
        <w:tc>
          <w:tcPr>
            <w:tcW w:w="1728" w:type="dxa"/>
            <w:shd w:val="clear" w:color="auto" w:fill="F4F7FA"/>
            <w:tcMar>
              <w:top w:w="70" w:type="dxa"/>
              <w:left w:w="90" w:type="dxa"/>
              <w:bottom w:w="70" w:type="dxa"/>
              <w:right w:w="90" w:type="dxa"/>
            </w:tcMar>
            <w:vAlign w:val="center"/>
          </w:tcPr>
          <w:p w14:paraId="503CC7A7" w14:textId="77777777" w:rsidR="008E5FBD" w:rsidRDefault="00000000">
            <w:pPr>
              <w:spacing w:after="0" w:line="240" w:lineRule="auto"/>
              <w:rPr>
                <w:rFonts w:hint="eastAsia"/>
              </w:rPr>
            </w:pPr>
            <w:r>
              <w:rPr>
                <w:sz w:val="16"/>
              </w:rPr>
              <w:t>Related work</w:t>
            </w:r>
          </w:p>
        </w:tc>
        <w:tc>
          <w:tcPr>
            <w:tcW w:w="6120" w:type="dxa"/>
            <w:shd w:val="clear" w:color="auto" w:fill="F4F7FA"/>
            <w:tcMar>
              <w:top w:w="70" w:type="dxa"/>
              <w:left w:w="90" w:type="dxa"/>
              <w:bottom w:w="70" w:type="dxa"/>
              <w:right w:w="90" w:type="dxa"/>
            </w:tcMar>
            <w:vAlign w:val="center"/>
          </w:tcPr>
          <w:p w14:paraId="46C435C6" w14:textId="77777777" w:rsidR="008E5FBD" w:rsidRDefault="00000000">
            <w:pPr>
              <w:spacing w:after="0" w:line="240" w:lineRule="auto"/>
              <w:rPr>
                <w:rFonts w:hint="eastAsia"/>
              </w:rPr>
            </w:pPr>
            <w:r>
              <w:rPr>
                <w:sz w:val="16"/>
              </w:rPr>
              <w:t>Add verified NeurIPS, KDD, Web Conference, HCI, and exact-topic studies.</w:t>
            </w:r>
          </w:p>
        </w:tc>
        <w:tc>
          <w:tcPr>
            <w:tcW w:w="1944" w:type="dxa"/>
            <w:shd w:val="clear" w:color="auto" w:fill="F4F7FA"/>
            <w:tcMar>
              <w:top w:w="70" w:type="dxa"/>
              <w:left w:w="90" w:type="dxa"/>
              <w:bottom w:w="70" w:type="dxa"/>
              <w:right w:w="90" w:type="dxa"/>
            </w:tcMar>
            <w:vAlign w:val="center"/>
          </w:tcPr>
          <w:p w14:paraId="704FBA2E" w14:textId="77777777" w:rsidR="008E5FBD" w:rsidRDefault="00000000">
            <w:pPr>
              <w:spacing w:after="0" w:line="240" w:lineRule="auto"/>
              <w:rPr>
                <w:rFonts w:hint="eastAsia"/>
              </w:rPr>
            </w:pPr>
            <w:r>
              <w:rPr>
                <w:sz w:val="16"/>
              </w:rPr>
              <w:t>Ke Aug 9</w:t>
            </w:r>
          </w:p>
        </w:tc>
      </w:tr>
      <w:tr w:rsidR="008E5FBD" w14:paraId="08F9BD1B" w14:textId="77777777">
        <w:trPr>
          <w:jc w:val="center"/>
        </w:trPr>
        <w:tc>
          <w:tcPr>
            <w:tcW w:w="1728" w:type="dxa"/>
            <w:tcMar>
              <w:top w:w="70" w:type="dxa"/>
              <w:left w:w="90" w:type="dxa"/>
              <w:bottom w:w="70" w:type="dxa"/>
              <w:right w:w="90" w:type="dxa"/>
            </w:tcMar>
            <w:vAlign w:val="center"/>
          </w:tcPr>
          <w:p w14:paraId="31FC90EB" w14:textId="77777777" w:rsidR="008E5FBD" w:rsidRDefault="00000000">
            <w:pPr>
              <w:spacing w:after="0" w:line="240" w:lineRule="auto"/>
              <w:rPr>
                <w:rFonts w:hint="eastAsia"/>
              </w:rPr>
            </w:pPr>
            <w:r>
              <w:rPr>
                <w:sz w:val="16"/>
              </w:rPr>
              <w:t>Framework</w:t>
            </w:r>
          </w:p>
        </w:tc>
        <w:tc>
          <w:tcPr>
            <w:tcW w:w="6120" w:type="dxa"/>
            <w:tcMar>
              <w:top w:w="70" w:type="dxa"/>
              <w:left w:w="90" w:type="dxa"/>
              <w:bottom w:w="70" w:type="dxa"/>
              <w:right w:w="90" w:type="dxa"/>
            </w:tcMar>
            <w:vAlign w:val="center"/>
          </w:tcPr>
          <w:p w14:paraId="41506362" w14:textId="77777777" w:rsidR="008E5FBD" w:rsidRDefault="00000000">
            <w:pPr>
              <w:spacing w:after="0" w:line="240" w:lineRule="auto"/>
              <w:rPr>
                <w:rFonts w:hint="eastAsia"/>
              </w:rPr>
            </w:pPr>
            <w:r>
              <w:rPr>
                <w:sz w:val="16"/>
              </w:rPr>
              <w:t>Four-way outcomes, stakeholder/harm fields, layered evaluation architecture.</w:t>
            </w:r>
          </w:p>
        </w:tc>
        <w:tc>
          <w:tcPr>
            <w:tcW w:w="1944" w:type="dxa"/>
            <w:tcMar>
              <w:top w:w="70" w:type="dxa"/>
              <w:left w:w="90" w:type="dxa"/>
              <w:bottom w:w="70" w:type="dxa"/>
              <w:right w:w="90" w:type="dxa"/>
            </w:tcMar>
            <w:vAlign w:val="center"/>
          </w:tcPr>
          <w:p w14:paraId="4401828A" w14:textId="77777777" w:rsidR="008E5FBD" w:rsidRDefault="00000000">
            <w:pPr>
              <w:spacing w:after="0" w:line="240" w:lineRule="auto"/>
              <w:rPr>
                <w:rFonts w:hint="eastAsia"/>
              </w:rPr>
            </w:pPr>
            <w:r>
              <w:rPr>
                <w:sz w:val="16"/>
              </w:rPr>
              <w:t>Ke Aug 9</w:t>
            </w:r>
          </w:p>
        </w:tc>
      </w:tr>
      <w:tr w:rsidR="008E5FBD" w14:paraId="56102AFF" w14:textId="77777777">
        <w:trPr>
          <w:jc w:val="center"/>
        </w:trPr>
        <w:tc>
          <w:tcPr>
            <w:tcW w:w="1728" w:type="dxa"/>
            <w:shd w:val="clear" w:color="auto" w:fill="F4F7FA"/>
            <w:tcMar>
              <w:top w:w="70" w:type="dxa"/>
              <w:left w:w="90" w:type="dxa"/>
              <w:bottom w:w="70" w:type="dxa"/>
              <w:right w:w="90" w:type="dxa"/>
            </w:tcMar>
            <w:vAlign w:val="center"/>
          </w:tcPr>
          <w:p w14:paraId="6FD86788" w14:textId="77777777" w:rsidR="008E5FBD" w:rsidRDefault="00000000">
            <w:pPr>
              <w:spacing w:after="0" w:line="240" w:lineRule="auto"/>
              <w:rPr>
                <w:rFonts w:hint="eastAsia"/>
              </w:rPr>
            </w:pPr>
            <w:r>
              <w:rPr>
                <w:sz w:val="16"/>
              </w:rPr>
              <w:t>Benchmark</w:t>
            </w:r>
          </w:p>
        </w:tc>
        <w:tc>
          <w:tcPr>
            <w:tcW w:w="6120" w:type="dxa"/>
            <w:shd w:val="clear" w:color="auto" w:fill="F4F7FA"/>
            <w:tcMar>
              <w:top w:w="70" w:type="dxa"/>
              <w:left w:w="90" w:type="dxa"/>
              <w:bottom w:w="70" w:type="dxa"/>
              <w:right w:w="90" w:type="dxa"/>
            </w:tcMar>
            <w:vAlign w:val="center"/>
          </w:tcPr>
          <w:p w14:paraId="5C08CB7C" w14:textId="77777777" w:rsidR="008E5FBD" w:rsidRDefault="00000000">
            <w:pPr>
              <w:spacing w:after="0" w:line="240" w:lineRule="auto"/>
              <w:rPr>
                <w:rFonts w:hint="eastAsia"/>
              </w:rPr>
            </w:pPr>
            <w:r>
              <w:rPr>
                <w:sz w:val="16"/>
              </w:rPr>
              <w:t>Task tuple, inclusion criteria, current scale, deterministic scorer.</w:t>
            </w:r>
          </w:p>
        </w:tc>
        <w:tc>
          <w:tcPr>
            <w:tcW w:w="1944" w:type="dxa"/>
            <w:shd w:val="clear" w:color="auto" w:fill="F4F7FA"/>
            <w:tcMar>
              <w:top w:w="70" w:type="dxa"/>
              <w:left w:w="90" w:type="dxa"/>
              <w:bottom w:w="70" w:type="dxa"/>
              <w:right w:w="90" w:type="dxa"/>
            </w:tcMar>
            <w:vAlign w:val="center"/>
          </w:tcPr>
          <w:p w14:paraId="58733048" w14:textId="77777777" w:rsidR="008E5FBD" w:rsidRDefault="00000000">
            <w:pPr>
              <w:spacing w:after="0" w:line="240" w:lineRule="auto"/>
              <w:rPr>
                <w:rFonts w:hint="eastAsia"/>
              </w:rPr>
            </w:pPr>
            <w:r>
              <w:rPr>
                <w:sz w:val="16"/>
              </w:rPr>
              <w:t>Ke Aug 9</w:t>
            </w:r>
          </w:p>
        </w:tc>
      </w:tr>
      <w:tr w:rsidR="008E5FBD" w14:paraId="35C2813D" w14:textId="77777777">
        <w:trPr>
          <w:jc w:val="center"/>
        </w:trPr>
        <w:tc>
          <w:tcPr>
            <w:tcW w:w="1728" w:type="dxa"/>
            <w:tcMar>
              <w:top w:w="70" w:type="dxa"/>
              <w:left w:w="90" w:type="dxa"/>
              <w:bottom w:w="70" w:type="dxa"/>
              <w:right w:w="90" w:type="dxa"/>
            </w:tcMar>
            <w:vAlign w:val="center"/>
          </w:tcPr>
          <w:p w14:paraId="454E679B" w14:textId="77777777" w:rsidR="008E5FBD" w:rsidRDefault="00000000">
            <w:pPr>
              <w:spacing w:after="0" w:line="240" w:lineRule="auto"/>
              <w:rPr>
                <w:rFonts w:hint="eastAsia"/>
              </w:rPr>
            </w:pPr>
            <w:r>
              <w:rPr>
                <w:sz w:val="16"/>
              </w:rPr>
              <w:t>Results</w:t>
            </w:r>
          </w:p>
        </w:tc>
        <w:tc>
          <w:tcPr>
            <w:tcW w:w="6120" w:type="dxa"/>
            <w:tcMar>
              <w:top w:w="70" w:type="dxa"/>
              <w:left w:w="90" w:type="dxa"/>
              <w:bottom w:w="70" w:type="dxa"/>
              <w:right w:w="90" w:type="dxa"/>
            </w:tcMar>
            <w:vAlign w:val="center"/>
          </w:tcPr>
          <w:p w14:paraId="6BE97F85" w14:textId="77777777" w:rsidR="008E5FBD" w:rsidRDefault="00000000">
            <w:pPr>
              <w:spacing w:after="0" w:line="240" w:lineRule="auto"/>
              <w:rPr>
                <w:rFonts w:hint="eastAsia"/>
              </w:rPr>
            </w:pPr>
            <w:r>
              <w:rPr>
                <w:sz w:val="16"/>
              </w:rPr>
              <w:t>Nominal vs. trustworthy completion, four-way outcomes, task heterogeneity, uncertainty.</w:t>
            </w:r>
          </w:p>
        </w:tc>
        <w:tc>
          <w:tcPr>
            <w:tcW w:w="1944" w:type="dxa"/>
            <w:tcMar>
              <w:top w:w="70" w:type="dxa"/>
              <w:left w:w="90" w:type="dxa"/>
              <w:bottom w:w="70" w:type="dxa"/>
              <w:right w:w="90" w:type="dxa"/>
            </w:tcMar>
            <w:vAlign w:val="center"/>
          </w:tcPr>
          <w:p w14:paraId="77CE05D4" w14:textId="77777777" w:rsidR="008E5FBD" w:rsidRDefault="00000000">
            <w:pPr>
              <w:spacing w:after="0" w:line="240" w:lineRule="auto"/>
              <w:rPr>
                <w:rFonts w:hint="eastAsia"/>
              </w:rPr>
            </w:pPr>
            <w:r>
              <w:rPr>
                <w:sz w:val="16"/>
              </w:rPr>
              <w:t>Ke Aug 9; cross-agent Aug 16</w:t>
            </w:r>
          </w:p>
        </w:tc>
      </w:tr>
      <w:tr w:rsidR="008E5FBD" w14:paraId="3502524E" w14:textId="77777777">
        <w:trPr>
          <w:jc w:val="center"/>
        </w:trPr>
        <w:tc>
          <w:tcPr>
            <w:tcW w:w="1728" w:type="dxa"/>
            <w:shd w:val="clear" w:color="auto" w:fill="F4F7FA"/>
            <w:tcMar>
              <w:top w:w="70" w:type="dxa"/>
              <w:left w:w="90" w:type="dxa"/>
              <w:bottom w:w="70" w:type="dxa"/>
              <w:right w:w="90" w:type="dxa"/>
            </w:tcMar>
            <w:vAlign w:val="center"/>
          </w:tcPr>
          <w:p w14:paraId="01E4D84E" w14:textId="77777777" w:rsidR="008E5FBD" w:rsidRDefault="00000000">
            <w:pPr>
              <w:spacing w:after="0" w:line="240" w:lineRule="auto"/>
              <w:rPr>
                <w:rFonts w:hint="eastAsia"/>
              </w:rPr>
            </w:pPr>
            <w:r>
              <w:rPr>
                <w:sz w:val="16"/>
              </w:rPr>
              <w:t>Research agenda</w:t>
            </w:r>
          </w:p>
        </w:tc>
        <w:tc>
          <w:tcPr>
            <w:tcW w:w="6120" w:type="dxa"/>
            <w:shd w:val="clear" w:color="auto" w:fill="F4F7FA"/>
            <w:tcMar>
              <w:top w:w="70" w:type="dxa"/>
              <w:left w:w="90" w:type="dxa"/>
              <w:bottom w:w="70" w:type="dxa"/>
              <w:right w:w="90" w:type="dxa"/>
            </w:tcMar>
            <w:vAlign w:val="center"/>
          </w:tcPr>
          <w:p w14:paraId="434AE554" w14:textId="77777777" w:rsidR="008E5FBD" w:rsidRDefault="00000000">
            <w:pPr>
              <w:spacing w:after="0"/>
              <w:rPr>
                <w:rFonts w:hint="eastAsia"/>
              </w:rPr>
            </w:pPr>
            <w:r>
              <w:rPr>
                <w:sz w:val="16"/>
              </w:rPr>
              <w:t>Specific questions and experimental designs for D, E, and all longer-term extensions; no vague promises.</w:t>
            </w:r>
          </w:p>
        </w:tc>
        <w:tc>
          <w:tcPr>
            <w:tcW w:w="1944" w:type="dxa"/>
            <w:shd w:val="clear" w:color="auto" w:fill="F4F7FA"/>
            <w:tcMar>
              <w:top w:w="70" w:type="dxa"/>
              <w:left w:w="90" w:type="dxa"/>
              <w:bottom w:w="70" w:type="dxa"/>
              <w:right w:w="90" w:type="dxa"/>
            </w:tcMar>
            <w:vAlign w:val="center"/>
          </w:tcPr>
          <w:p w14:paraId="2B4C9BD0" w14:textId="77777777" w:rsidR="008E5FBD" w:rsidRDefault="00000000">
            <w:pPr>
              <w:spacing w:after="0"/>
              <w:rPr>
                <w:rFonts w:hint="eastAsia"/>
              </w:rPr>
            </w:pPr>
            <w:r>
              <w:rPr>
                <w:sz w:val="16"/>
              </w:rPr>
              <w:t>Ke Aug 9</w:t>
            </w:r>
          </w:p>
        </w:tc>
      </w:tr>
      <w:tr w:rsidR="008E5FBD" w14:paraId="05F91976" w14:textId="77777777">
        <w:trPr>
          <w:jc w:val="center"/>
        </w:trPr>
        <w:tc>
          <w:tcPr>
            <w:tcW w:w="1728" w:type="dxa"/>
            <w:tcMar>
              <w:top w:w="70" w:type="dxa"/>
              <w:left w:w="90" w:type="dxa"/>
              <w:bottom w:w="70" w:type="dxa"/>
              <w:right w:w="90" w:type="dxa"/>
            </w:tcMar>
            <w:vAlign w:val="center"/>
          </w:tcPr>
          <w:p w14:paraId="351C48B6" w14:textId="77777777" w:rsidR="008E5FBD" w:rsidRDefault="00000000">
            <w:pPr>
              <w:spacing w:after="0" w:line="240" w:lineRule="auto"/>
              <w:rPr>
                <w:rFonts w:hint="eastAsia"/>
              </w:rPr>
            </w:pPr>
            <w:r>
              <w:rPr>
                <w:sz w:val="16"/>
              </w:rPr>
              <w:t>Limitations</w:t>
            </w:r>
          </w:p>
        </w:tc>
        <w:tc>
          <w:tcPr>
            <w:tcW w:w="6120" w:type="dxa"/>
            <w:tcMar>
              <w:top w:w="70" w:type="dxa"/>
              <w:left w:w="90" w:type="dxa"/>
              <w:bottom w:w="70" w:type="dxa"/>
              <w:right w:w="90" w:type="dxa"/>
            </w:tcMar>
            <w:vAlign w:val="center"/>
          </w:tcPr>
          <w:p w14:paraId="191E47CF" w14:textId="77777777" w:rsidR="008E5FBD" w:rsidRDefault="00000000">
            <w:pPr>
              <w:spacing w:after="0" w:line="240" w:lineRule="auto"/>
              <w:rPr>
                <w:rFonts w:hint="eastAsia"/>
              </w:rPr>
            </w:pPr>
            <w:r>
              <w:rPr>
                <w:sz w:val="16"/>
              </w:rPr>
              <w:t>Scale, single-agent status until D, oracle triggers, synthetic environment, no human claim.</w:t>
            </w:r>
          </w:p>
        </w:tc>
        <w:tc>
          <w:tcPr>
            <w:tcW w:w="1944" w:type="dxa"/>
            <w:tcMar>
              <w:top w:w="70" w:type="dxa"/>
              <w:left w:w="90" w:type="dxa"/>
              <w:bottom w:w="70" w:type="dxa"/>
              <w:right w:w="90" w:type="dxa"/>
            </w:tcMar>
            <w:vAlign w:val="center"/>
          </w:tcPr>
          <w:p w14:paraId="39B593EF" w14:textId="77777777" w:rsidR="008E5FBD" w:rsidRDefault="00000000">
            <w:pPr>
              <w:spacing w:after="0" w:line="240" w:lineRule="auto"/>
              <w:rPr>
                <w:rFonts w:hint="eastAsia"/>
              </w:rPr>
            </w:pPr>
            <w:r>
              <w:rPr>
                <w:sz w:val="16"/>
              </w:rPr>
              <w:t>Ke Aug 9; update Aug 16</w:t>
            </w:r>
          </w:p>
        </w:tc>
      </w:tr>
      <w:tr w:rsidR="008E5FBD" w14:paraId="625E9EDC" w14:textId="77777777">
        <w:trPr>
          <w:jc w:val="center"/>
        </w:trPr>
        <w:tc>
          <w:tcPr>
            <w:tcW w:w="1728" w:type="dxa"/>
            <w:shd w:val="clear" w:color="auto" w:fill="F4F7FA"/>
            <w:tcMar>
              <w:top w:w="70" w:type="dxa"/>
              <w:left w:w="90" w:type="dxa"/>
              <w:bottom w:w="70" w:type="dxa"/>
              <w:right w:w="90" w:type="dxa"/>
            </w:tcMar>
            <w:vAlign w:val="center"/>
          </w:tcPr>
          <w:p w14:paraId="40526AFB" w14:textId="77777777" w:rsidR="008E5FBD" w:rsidRDefault="00000000">
            <w:pPr>
              <w:spacing w:after="0" w:line="240" w:lineRule="auto"/>
              <w:rPr>
                <w:rFonts w:hint="eastAsia"/>
              </w:rPr>
            </w:pPr>
            <w:r>
              <w:rPr>
                <w:sz w:val="16"/>
              </w:rPr>
              <w:t>Supplement</w:t>
            </w:r>
          </w:p>
        </w:tc>
        <w:tc>
          <w:tcPr>
            <w:tcW w:w="6120" w:type="dxa"/>
            <w:shd w:val="clear" w:color="auto" w:fill="F4F7FA"/>
            <w:tcMar>
              <w:top w:w="70" w:type="dxa"/>
              <w:left w:w="90" w:type="dxa"/>
              <w:bottom w:w="70" w:type="dxa"/>
              <w:right w:w="90" w:type="dxa"/>
            </w:tcMar>
            <w:vAlign w:val="center"/>
          </w:tcPr>
          <w:p w14:paraId="34DEF1FB" w14:textId="77777777" w:rsidR="008E5FBD" w:rsidRDefault="00000000">
            <w:pPr>
              <w:spacing w:after="0"/>
              <w:rPr>
                <w:rFonts w:hint="eastAsia"/>
              </w:rPr>
            </w:pPr>
            <w:r>
              <w:rPr>
                <w:sz w:val="16"/>
              </w:rPr>
              <w:t>Detailed tasks, annotations, diagnostics, and only completed optional E results; optional improvements stay supplementary for the workshop.</w:t>
            </w:r>
          </w:p>
        </w:tc>
        <w:tc>
          <w:tcPr>
            <w:tcW w:w="1944" w:type="dxa"/>
            <w:shd w:val="clear" w:color="auto" w:fill="F4F7FA"/>
            <w:tcMar>
              <w:top w:w="70" w:type="dxa"/>
              <w:left w:w="90" w:type="dxa"/>
              <w:bottom w:w="70" w:type="dxa"/>
              <w:right w:w="90" w:type="dxa"/>
            </w:tcMar>
            <w:vAlign w:val="center"/>
          </w:tcPr>
          <w:p w14:paraId="67F5F902" w14:textId="77777777" w:rsidR="008E5FBD" w:rsidRDefault="00000000">
            <w:pPr>
              <w:spacing w:after="0"/>
              <w:rPr>
                <w:rFonts w:hint="eastAsia"/>
              </w:rPr>
            </w:pPr>
            <w:r>
              <w:rPr>
                <w:sz w:val="16"/>
              </w:rPr>
              <w:t>Ke Aug 9/16; optional Aug 24</w:t>
            </w:r>
          </w:p>
        </w:tc>
      </w:tr>
      <w:tr w:rsidR="008E5FBD" w14:paraId="766DAB4F" w14:textId="77777777">
        <w:trPr>
          <w:jc w:val="center"/>
        </w:trPr>
        <w:tc>
          <w:tcPr>
            <w:tcW w:w="1728" w:type="dxa"/>
            <w:tcMar>
              <w:top w:w="70" w:type="dxa"/>
              <w:left w:w="90" w:type="dxa"/>
              <w:bottom w:w="70" w:type="dxa"/>
              <w:right w:w="90" w:type="dxa"/>
            </w:tcMar>
            <w:vAlign w:val="center"/>
          </w:tcPr>
          <w:p w14:paraId="630155A8" w14:textId="77777777" w:rsidR="008E5FBD" w:rsidRDefault="00000000">
            <w:pPr>
              <w:spacing w:after="0" w:line="240" w:lineRule="auto"/>
              <w:rPr>
                <w:rFonts w:hint="eastAsia"/>
              </w:rPr>
            </w:pPr>
            <w:r>
              <w:rPr>
                <w:sz w:val="16"/>
              </w:rPr>
              <w:lastRenderedPageBreak/>
              <w:t>Artifact</w:t>
            </w:r>
          </w:p>
        </w:tc>
        <w:tc>
          <w:tcPr>
            <w:tcW w:w="6120" w:type="dxa"/>
            <w:tcMar>
              <w:top w:w="70" w:type="dxa"/>
              <w:left w:w="90" w:type="dxa"/>
              <w:bottom w:w="70" w:type="dxa"/>
              <w:right w:w="90" w:type="dxa"/>
            </w:tcMar>
            <w:vAlign w:val="center"/>
          </w:tcPr>
          <w:p w14:paraId="453FF1E9" w14:textId="77777777" w:rsidR="008E5FBD" w:rsidRDefault="00000000">
            <w:pPr>
              <w:spacing w:after="0"/>
              <w:rPr>
                <w:rFonts w:hint="eastAsia"/>
              </w:rPr>
            </w:pPr>
            <w:r>
              <w:rPr>
                <w:sz w:val="16"/>
              </w:rPr>
              <w:t>Anonymous access, exact commands, pinned environment, completed/planned labels, and Overleaf records of GitHub/Hugging Face/anonymous repository URLs.</w:t>
            </w:r>
          </w:p>
        </w:tc>
        <w:tc>
          <w:tcPr>
            <w:tcW w:w="1944" w:type="dxa"/>
            <w:tcMar>
              <w:top w:w="70" w:type="dxa"/>
              <w:left w:w="90" w:type="dxa"/>
              <w:bottom w:w="70" w:type="dxa"/>
              <w:right w:w="90" w:type="dxa"/>
            </w:tcMar>
            <w:vAlign w:val="center"/>
          </w:tcPr>
          <w:p w14:paraId="4130565B" w14:textId="77777777" w:rsidR="008E5FBD" w:rsidRDefault="00000000">
            <w:pPr>
              <w:spacing w:after="0"/>
              <w:rPr>
                <w:rFonts w:hint="eastAsia"/>
              </w:rPr>
            </w:pPr>
            <w:r>
              <w:rPr>
                <w:sz w:val="16"/>
              </w:rPr>
              <w:t>Ke Aug 9/16</w:t>
            </w:r>
          </w:p>
        </w:tc>
      </w:tr>
      <w:tr w:rsidR="008E5FBD" w14:paraId="732D71B8" w14:textId="77777777">
        <w:trPr>
          <w:jc w:val="center"/>
        </w:trPr>
        <w:tc>
          <w:tcPr>
            <w:tcW w:w="1728" w:type="dxa"/>
            <w:shd w:val="clear" w:color="auto" w:fill="F4F7FA"/>
            <w:tcMar>
              <w:top w:w="70" w:type="dxa"/>
              <w:left w:w="90" w:type="dxa"/>
              <w:bottom w:w="70" w:type="dxa"/>
              <w:right w:w="90" w:type="dxa"/>
            </w:tcMar>
            <w:vAlign w:val="center"/>
          </w:tcPr>
          <w:p w14:paraId="6851F620" w14:textId="77777777" w:rsidR="008E5FBD" w:rsidRDefault="00000000">
            <w:pPr>
              <w:spacing w:after="0" w:line="240" w:lineRule="auto"/>
              <w:rPr>
                <w:rFonts w:hint="eastAsia"/>
              </w:rPr>
            </w:pPr>
            <w:r>
              <w:rPr>
                <w:sz w:val="16"/>
              </w:rPr>
              <w:t>Final submission</w:t>
            </w:r>
          </w:p>
        </w:tc>
        <w:tc>
          <w:tcPr>
            <w:tcW w:w="6120" w:type="dxa"/>
            <w:shd w:val="clear" w:color="auto" w:fill="F4F7FA"/>
            <w:tcMar>
              <w:top w:w="70" w:type="dxa"/>
              <w:left w:w="90" w:type="dxa"/>
              <w:bottom w:w="70" w:type="dxa"/>
              <w:right w:w="90" w:type="dxa"/>
            </w:tcMar>
            <w:vAlign w:val="center"/>
          </w:tcPr>
          <w:p w14:paraId="2B5C1034" w14:textId="77777777" w:rsidR="008E5FBD" w:rsidRDefault="00000000">
            <w:pPr>
              <w:spacing w:after="0" w:line="240" w:lineRule="auto"/>
              <w:rPr>
                <w:rFonts w:hint="eastAsia"/>
              </w:rPr>
            </w:pPr>
            <w:r>
              <w:rPr>
                <w:sz w:val="16"/>
              </w:rPr>
              <w:t>Page limit, anonymization, claim audit, link audit, portal upload.</w:t>
            </w:r>
          </w:p>
        </w:tc>
        <w:tc>
          <w:tcPr>
            <w:tcW w:w="1944" w:type="dxa"/>
            <w:shd w:val="clear" w:color="auto" w:fill="F4F7FA"/>
            <w:tcMar>
              <w:top w:w="70" w:type="dxa"/>
              <w:left w:w="90" w:type="dxa"/>
              <w:bottom w:w="70" w:type="dxa"/>
              <w:right w:w="90" w:type="dxa"/>
            </w:tcMar>
            <w:vAlign w:val="center"/>
          </w:tcPr>
          <w:p w14:paraId="05E667EC" w14:textId="77777777" w:rsidR="008E5FBD" w:rsidRDefault="00000000">
            <w:pPr>
              <w:spacing w:after="0" w:line="240" w:lineRule="auto"/>
              <w:rPr>
                <w:rFonts w:hint="eastAsia"/>
              </w:rPr>
            </w:pPr>
            <w:r>
              <w:rPr>
                <w:sz w:val="16"/>
              </w:rPr>
              <w:t>Sunshine</w:t>
            </w:r>
          </w:p>
        </w:tc>
      </w:tr>
    </w:tbl>
    <w:p w14:paraId="31708765" w14:textId="77777777" w:rsidR="008E5FBD" w:rsidRDefault="008E5FBD">
      <w:pPr>
        <w:spacing w:after="0"/>
        <w:rPr>
          <w:rFonts w:hint="eastAsia"/>
        </w:rPr>
      </w:pPr>
    </w:p>
    <w:p w14:paraId="45070894" w14:textId="77777777" w:rsidR="008E5FBD" w:rsidRDefault="00000000">
      <w:pPr>
        <w:pStyle w:val="Heading1"/>
      </w:pPr>
      <w:r>
        <w:t>7. Statistical and Reporting Standards</w:t>
      </w:r>
    </w:p>
    <w:p w14:paraId="39E0FC45" w14:textId="77777777" w:rsidR="008E5FBD" w:rsidRDefault="00000000">
      <w:pPr>
        <w:pStyle w:val="ListBullet"/>
        <w:spacing w:after="40"/>
        <w:rPr>
          <w:rFonts w:hint="eastAsia"/>
        </w:rPr>
      </w:pPr>
      <w:r>
        <w:t>Always report outcome counts together with rates.</w:t>
      </w:r>
    </w:p>
    <w:p w14:paraId="073AA921" w14:textId="77777777" w:rsidR="008E5FBD" w:rsidRDefault="00000000">
      <w:pPr>
        <w:pStyle w:val="ListBullet"/>
        <w:spacing w:after="40"/>
        <w:rPr>
          <w:rFonts w:hint="eastAsia"/>
        </w:rPr>
      </w:pPr>
      <w:r>
        <w:t>State the denominator: all runs or scorable runs.</w:t>
      </w:r>
    </w:p>
    <w:p w14:paraId="70770418" w14:textId="77777777" w:rsidR="008E5FBD" w:rsidRDefault="00000000">
      <w:pPr>
        <w:pStyle w:val="ListBullet"/>
        <w:spacing w:after="40"/>
        <w:rPr>
          <w:rFonts w:hint="eastAsia"/>
        </w:rPr>
      </w:pPr>
      <w:r>
        <w:t>Preserve task identity in bootstrap or hierarchical analyses; do not treat all runs as exchangeable without qualification.</w:t>
      </w:r>
    </w:p>
    <w:p w14:paraId="20E4F3E6" w14:textId="77777777" w:rsidR="008E5FBD" w:rsidRDefault="00000000">
      <w:pPr>
        <w:pStyle w:val="ListBullet"/>
        <w:spacing w:after="40"/>
        <w:rPr>
          <w:rFonts w:hint="eastAsia"/>
        </w:rPr>
      </w:pPr>
      <w:r>
        <w:t>Report infrastructure failures separately and provide analyses with and without them where informative.</w:t>
      </w:r>
    </w:p>
    <w:p w14:paraId="0A6D76AE" w14:textId="77777777" w:rsidR="008E5FBD" w:rsidRDefault="00000000">
      <w:pPr>
        <w:pStyle w:val="ListBullet"/>
        <w:spacing w:after="40"/>
        <w:rPr>
          <w:rFonts w:hint="eastAsia"/>
        </w:rPr>
      </w:pPr>
      <w:r>
        <w:t>Use confidence intervals to communicate uncertainty, not as a binary significance ritual.</w:t>
      </w:r>
    </w:p>
    <w:p w14:paraId="246EA690" w14:textId="77777777" w:rsidR="008E5FBD" w:rsidRDefault="00000000">
      <w:pPr>
        <w:pStyle w:val="ListBullet"/>
        <w:spacing w:after="40"/>
        <w:rPr>
          <w:rFonts w:hint="eastAsia"/>
        </w:rPr>
      </w:pPr>
      <w:r>
        <w:t>Label pattern-family analyses exploratory unless the expanded data support confirmatory inference.</w:t>
      </w:r>
    </w:p>
    <w:p w14:paraId="43F8A260" w14:textId="77777777" w:rsidR="008E5FBD" w:rsidRDefault="00000000">
      <w:pPr>
        <w:pStyle w:val="ListBullet"/>
        <w:spacing w:after="40"/>
        <w:rPr>
          <w:rFonts w:hint="eastAsia"/>
        </w:rPr>
      </w:pPr>
      <w:r>
        <w:t>For Version 2, consider an exploratory mixed-effects logistic model with warning condition, agent, and their interaction as fixed effects and task as a random intercept; retain transparent descriptive results as primary.</w:t>
      </w:r>
    </w:p>
    <w:p w14:paraId="347A2254" w14:textId="77777777" w:rsidR="008E5FBD" w:rsidRDefault="00000000">
      <w:pPr>
        <w:pStyle w:val="ListBullet"/>
        <w:spacing w:after="40"/>
        <w:rPr>
          <w:rFonts w:hint="eastAsia"/>
        </w:rPr>
      </w:pPr>
      <w:r>
        <w:t>Do not interpret a null effect as proof of no effect.</w:t>
      </w:r>
    </w:p>
    <w:p w14:paraId="4C83C81B" w14:textId="77777777" w:rsidR="008E5FBD" w:rsidRDefault="00000000">
      <w:pPr>
        <w:pStyle w:val="ListBullet"/>
        <w:spacing w:after="40"/>
        <w:rPr>
          <w:rFonts w:hint="eastAsia"/>
        </w:rPr>
      </w:pPr>
      <w:r>
        <w:t>Do not compare human and agent vulnerability without a separately designed human-subject study.</w:t>
      </w:r>
    </w:p>
    <w:p w14:paraId="76A09A9B" w14:textId="77777777" w:rsidR="008E5FBD" w:rsidRDefault="00000000">
      <w:pPr>
        <w:pStyle w:val="Heading1"/>
      </w:pPr>
      <w:r>
        <w:t>8. Verified Literature Integration Plan</w:t>
      </w:r>
    </w:p>
    <w:p w14:paraId="0A58349B" w14:textId="77777777" w:rsidR="008E5FBD" w:rsidRDefault="00000000">
      <w:pPr>
        <w:rPr>
          <w:rFonts w:hint="eastAsia"/>
        </w:rPr>
      </w:pPr>
      <w:r>
        <w:t>Every new paper below was checked against an official proceedings page, ACM Digital Library record, or arXiv record. Ke should cite the formal venue version when one exists; preprints must be identified as arXiv preprints.</w:t>
      </w:r>
    </w:p>
    <w:p w14:paraId="74E6E15E" w14:textId="77777777" w:rsidR="008E5FBD" w:rsidRDefault="00000000">
      <w:pPr>
        <w:pStyle w:val="Heading2"/>
      </w:pPr>
      <w:r>
        <w:t>8.1 NeurIPS papers - benchmark and security baselines</w:t>
      </w:r>
    </w:p>
    <w:tbl>
      <w:tblPr>
        <w:tblStyle w:val="TableGrid"/>
        <w:tblW w:w="0" w:type="auto"/>
        <w:jc w:val="center"/>
        <w:tblLook w:val="04A0" w:firstRow="1" w:lastRow="0" w:firstColumn="1" w:lastColumn="0" w:noHBand="0" w:noVBand="1"/>
      </w:tblPr>
      <w:tblGrid>
        <w:gridCol w:w="2232"/>
        <w:gridCol w:w="3816"/>
        <w:gridCol w:w="3816"/>
      </w:tblGrid>
      <w:tr w:rsidR="008E5FBD" w14:paraId="477C6F8C" w14:textId="77777777">
        <w:trPr>
          <w:tblHeader/>
          <w:jc w:val="center"/>
        </w:trPr>
        <w:tc>
          <w:tcPr>
            <w:tcW w:w="2232" w:type="dxa"/>
            <w:shd w:val="clear" w:color="auto" w:fill="D9EAF7"/>
            <w:tcMar>
              <w:top w:w="70" w:type="dxa"/>
              <w:left w:w="90" w:type="dxa"/>
              <w:bottom w:w="70" w:type="dxa"/>
              <w:right w:w="90" w:type="dxa"/>
            </w:tcMar>
            <w:vAlign w:val="center"/>
          </w:tcPr>
          <w:p w14:paraId="5860C2CA" w14:textId="77777777" w:rsidR="008E5FBD" w:rsidRDefault="00000000">
            <w:pPr>
              <w:spacing w:after="0" w:line="240" w:lineRule="auto"/>
              <w:rPr>
                <w:rFonts w:hint="eastAsia"/>
              </w:rPr>
            </w:pPr>
            <w:r>
              <w:rPr>
                <w:b/>
                <w:color w:val="1F3758"/>
                <w:sz w:val="15"/>
              </w:rPr>
              <w:t>Paper</w:t>
            </w:r>
          </w:p>
        </w:tc>
        <w:tc>
          <w:tcPr>
            <w:tcW w:w="3816" w:type="dxa"/>
            <w:shd w:val="clear" w:color="auto" w:fill="D9EAF7"/>
            <w:tcMar>
              <w:top w:w="70" w:type="dxa"/>
              <w:left w:w="90" w:type="dxa"/>
              <w:bottom w:w="70" w:type="dxa"/>
              <w:right w:w="90" w:type="dxa"/>
            </w:tcMar>
            <w:vAlign w:val="center"/>
          </w:tcPr>
          <w:p w14:paraId="131DB1F4" w14:textId="77777777" w:rsidR="008E5FBD" w:rsidRDefault="00000000">
            <w:pPr>
              <w:spacing w:after="0" w:line="240" w:lineRule="auto"/>
              <w:rPr>
                <w:rFonts w:hint="eastAsia"/>
              </w:rPr>
            </w:pPr>
            <w:r>
              <w:rPr>
                <w:b/>
                <w:color w:val="1F3758"/>
                <w:sz w:val="15"/>
              </w:rPr>
              <w:t>What it contributes</w:t>
            </w:r>
          </w:p>
        </w:tc>
        <w:tc>
          <w:tcPr>
            <w:tcW w:w="3816" w:type="dxa"/>
            <w:shd w:val="clear" w:color="auto" w:fill="D9EAF7"/>
            <w:tcMar>
              <w:top w:w="70" w:type="dxa"/>
              <w:left w:w="90" w:type="dxa"/>
              <w:bottom w:w="70" w:type="dxa"/>
              <w:right w:w="90" w:type="dxa"/>
            </w:tcMar>
            <w:vAlign w:val="center"/>
          </w:tcPr>
          <w:p w14:paraId="754086B3" w14:textId="77777777" w:rsidR="008E5FBD" w:rsidRDefault="00000000">
            <w:pPr>
              <w:spacing w:after="0" w:line="240" w:lineRule="auto"/>
              <w:rPr>
                <w:rFonts w:hint="eastAsia"/>
              </w:rPr>
            </w:pPr>
            <w:r>
              <w:rPr>
                <w:b/>
                <w:color w:val="1F3758"/>
                <w:sz w:val="15"/>
              </w:rPr>
              <w:t>How our paper should position itself</w:t>
            </w:r>
          </w:p>
        </w:tc>
      </w:tr>
      <w:tr w:rsidR="008E5FBD" w14:paraId="48DE51FC" w14:textId="77777777">
        <w:trPr>
          <w:jc w:val="center"/>
        </w:trPr>
        <w:tc>
          <w:tcPr>
            <w:tcW w:w="2232" w:type="dxa"/>
            <w:tcMar>
              <w:top w:w="70" w:type="dxa"/>
              <w:left w:w="90" w:type="dxa"/>
              <w:bottom w:w="70" w:type="dxa"/>
              <w:right w:w="90" w:type="dxa"/>
            </w:tcMar>
            <w:vAlign w:val="center"/>
          </w:tcPr>
          <w:p w14:paraId="0BD024B4" w14:textId="77777777" w:rsidR="008E5FBD" w:rsidRDefault="00000000">
            <w:pPr>
              <w:spacing w:after="0" w:line="240" w:lineRule="auto"/>
              <w:rPr>
                <w:rFonts w:hint="eastAsia"/>
              </w:rPr>
            </w:pPr>
            <w:r>
              <w:rPr>
                <w:sz w:val="15"/>
              </w:rPr>
              <w:t>AgentDojo (NeurIPS 2024 D&amp;B)</w:t>
            </w:r>
          </w:p>
        </w:tc>
        <w:tc>
          <w:tcPr>
            <w:tcW w:w="3816" w:type="dxa"/>
            <w:tcMar>
              <w:top w:w="70" w:type="dxa"/>
              <w:left w:w="90" w:type="dxa"/>
              <w:bottom w:w="70" w:type="dxa"/>
              <w:right w:w="90" w:type="dxa"/>
            </w:tcMar>
            <w:vAlign w:val="center"/>
          </w:tcPr>
          <w:p w14:paraId="4B1CD4DF" w14:textId="77777777" w:rsidR="008E5FBD" w:rsidRDefault="00000000">
            <w:pPr>
              <w:spacing w:after="0" w:line="240" w:lineRule="auto"/>
              <w:rPr>
                <w:rFonts w:hint="eastAsia"/>
              </w:rPr>
            </w:pPr>
            <w:r>
              <w:rPr>
                <w:sz w:val="15"/>
              </w:rPr>
              <w:t>Dynamic, extensible evaluation of prompt-injection attacks and defenses for tool-using agents.</w:t>
            </w:r>
          </w:p>
        </w:tc>
        <w:tc>
          <w:tcPr>
            <w:tcW w:w="3816" w:type="dxa"/>
            <w:tcMar>
              <w:top w:w="70" w:type="dxa"/>
              <w:left w:w="90" w:type="dxa"/>
              <w:bottom w:w="70" w:type="dxa"/>
              <w:right w:w="90" w:type="dxa"/>
            </w:tcMar>
            <w:vAlign w:val="center"/>
          </w:tcPr>
          <w:p w14:paraId="2C1F53CB" w14:textId="77777777" w:rsidR="008E5FBD" w:rsidRDefault="00000000">
            <w:pPr>
              <w:spacing w:after="0" w:line="240" w:lineRule="auto"/>
              <w:rPr>
                <w:rFonts w:hint="eastAsia"/>
              </w:rPr>
            </w:pPr>
            <w:r>
              <w:rPr>
                <w:sz w:val="15"/>
              </w:rPr>
              <w:t>Use to justify modular task/attack/defense separation; distinguish tool-returned injections from deceptive UI paths.</w:t>
            </w:r>
          </w:p>
        </w:tc>
      </w:tr>
      <w:tr w:rsidR="008E5FBD" w14:paraId="5850A72A" w14:textId="77777777">
        <w:trPr>
          <w:jc w:val="center"/>
        </w:trPr>
        <w:tc>
          <w:tcPr>
            <w:tcW w:w="2232" w:type="dxa"/>
            <w:shd w:val="clear" w:color="auto" w:fill="F4F7FA"/>
            <w:tcMar>
              <w:top w:w="70" w:type="dxa"/>
              <w:left w:w="90" w:type="dxa"/>
              <w:bottom w:w="70" w:type="dxa"/>
              <w:right w:w="90" w:type="dxa"/>
            </w:tcMar>
            <w:vAlign w:val="center"/>
          </w:tcPr>
          <w:p w14:paraId="13FC1614" w14:textId="77777777" w:rsidR="008E5FBD" w:rsidRDefault="00000000">
            <w:pPr>
              <w:spacing w:after="0" w:line="240" w:lineRule="auto"/>
              <w:rPr>
                <w:rFonts w:hint="eastAsia"/>
              </w:rPr>
            </w:pPr>
            <w:r>
              <w:rPr>
                <w:sz w:val="15"/>
              </w:rPr>
              <w:t>WASP (NeurIPS 2025 D&amp;B)</w:t>
            </w:r>
          </w:p>
        </w:tc>
        <w:tc>
          <w:tcPr>
            <w:tcW w:w="3816" w:type="dxa"/>
            <w:shd w:val="clear" w:color="auto" w:fill="F4F7FA"/>
            <w:tcMar>
              <w:top w:w="70" w:type="dxa"/>
              <w:left w:w="90" w:type="dxa"/>
              <w:bottom w:w="70" w:type="dxa"/>
              <w:right w:w="90" w:type="dxa"/>
            </w:tcMar>
            <w:vAlign w:val="center"/>
          </w:tcPr>
          <w:p w14:paraId="48E7B576" w14:textId="77777777" w:rsidR="008E5FBD" w:rsidRDefault="00000000">
            <w:pPr>
              <w:spacing w:after="0" w:line="240" w:lineRule="auto"/>
              <w:rPr>
                <w:rFonts w:hint="eastAsia"/>
              </w:rPr>
            </w:pPr>
            <w:r>
              <w:rPr>
                <w:sz w:val="15"/>
              </w:rPr>
              <w:t>End-to-end web-agent security against realistic prompt-injection attacks.</w:t>
            </w:r>
          </w:p>
        </w:tc>
        <w:tc>
          <w:tcPr>
            <w:tcW w:w="3816" w:type="dxa"/>
            <w:shd w:val="clear" w:color="auto" w:fill="F4F7FA"/>
            <w:tcMar>
              <w:top w:w="70" w:type="dxa"/>
              <w:left w:w="90" w:type="dxa"/>
              <w:bottom w:w="70" w:type="dxa"/>
              <w:right w:w="90" w:type="dxa"/>
            </w:tcMar>
            <w:vAlign w:val="center"/>
          </w:tcPr>
          <w:p w14:paraId="7C29528B" w14:textId="77777777" w:rsidR="008E5FBD" w:rsidRDefault="00000000">
            <w:pPr>
              <w:spacing w:after="0" w:line="240" w:lineRule="auto"/>
              <w:rPr>
                <w:rFonts w:hint="eastAsia"/>
              </w:rPr>
            </w:pPr>
            <w:r>
              <w:rPr>
                <w:sz w:val="15"/>
              </w:rPr>
              <w:t>Closest web-security scale comparison; distinguish attacker instructions from deceptive choice architecture.</w:t>
            </w:r>
          </w:p>
        </w:tc>
      </w:tr>
      <w:tr w:rsidR="008E5FBD" w14:paraId="0EDEF489" w14:textId="77777777">
        <w:trPr>
          <w:jc w:val="center"/>
        </w:trPr>
        <w:tc>
          <w:tcPr>
            <w:tcW w:w="2232" w:type="dxa"/>
            <w:tcMar>
              <w:top w:w="70" w:type="dxa"/>
              <w:left w:w="90" w:type="dxa"/>
              <w:bottom w:w="70" w:type="dxa"/>
              <w:right w:w="90" w:type="dxa"/>
            </w:tcMar>
            <w:vAlign w:val="center"/>
          </w:tcPr>
          <w:p w14:paraId="2929DC16" w14:textId="77777777" w:rsidR="008E5FBD" w:rsidRDefault="00000000">
            <w:pPr>
              <w:spacing w:after="0" w:line="240" w:lineRule="auto"/>
              <w:rPr>
                <w:rFonts w:hint="eastAsia"/>
              </w:rPr>
            </w:pPr>
            <w:r>
              <w:rPr>
                <w:sz w:val="15"/>
              </w:rPr>
              <w:t>OS-Harm (NeurIPS 2025 D&amp;B)</w:t>
            </w:r>
          </w:p>
        </w:tc>
        <w:tc>
          <w:tcPr>
            <w:tcW w:w="3816" w:type="dxa"/>
            <w:tcMar>
              <w:top w:w="70" w:type="dxa"/>
              <w:left w:w="90" w:type="dxa"/>
              <w:bottom w:w="70" w:type="dxa"/>
              <w:right w:w="90" w:type="dxa"/>
            </w:tcMar>
            <w:vAlign w:val="center"/>
          </w:tcPr>
          <w:p w14:paraId="45ED0C10" w14:textId="77777777" w:rsidR="008E5FBD" w:rsidRDefault="00000000">
            <w:pPr>
              <w:spacing w:after="0" w:line="240" w:lineRule="auto"/>
              <w:rPr>
                <w:rFonts w:hint="eastAsia"/>
              </w:rPr>
            </w:pPr>
            <w:r>
              <w:rPr>
                <w:sz w:val="15"/>
              </w:rPr>
              <w:t>150 computer-use safety tasks across misuse, prompt injection, and model misbehavior; multiple frontier agents.</w:t>
            </w:r>
          </w:p>
        </w:tc>
        <w:tc>
          <w:tcPr>
            <w:tcW w:w="3816" w:type="dxa"/>
            <w:tcMar>
              <w:top w:w="70" w:type="dxa"/>
              <w:left w:w="90" w:type="dxa"/>
              <w:bottom w:w="70" w:type="dxa"/>
              <w:right w:w="90" w:type="dxa"/>
            </w:tcMar>
            <w:vAlign w:val="center"/>
          </w:tcPr>
          <w:p w14:paraId="31F49403" w14:textId="77777777" w:rsidR="008E5FBD" w:rsidRDefault="00000000">
            <w:pPr>
              <w:spacing w:after="0" w:line="240" w:lineRule="auto"/>
              <w:rPr>
                <w:rFonts w:hint="eastAsia"/>
              </w:rPr>
            </w:pPr>
            <w:r>
              <w:rPr>
                <w:sz w:val="15"/>
              </w:rPr>
              <w:t>Use for cross-agent breadth and harm taxonomy; distinguish benign-goal unsafe completion and deterministic terminal states.</w:t>
            </w:r>
          </w:p>
        </w:tc>
      </w:tr>
      <w:tr w:rsidR="008E5FBD" w14:paraId="18E20A28" w14:textId="77777777">
        <w:trPr>
          <w:jc w:val="center"/>
        </w:trPr>
        <w:tc>
          <w:tcPr>
            <w:tcW w:w="2232" w:type="dxa"/>
            <w:shd w:val="clear" w:color="auto" w:fill="F4F7FA"/>
            <w:tcMar>
              <w:top w:w="70" w:type="dxa"/>
              <w:left w:w="90" w:type="dxa"/>
              <w:bottom w:w="70" w:type="dxa"/>
              <w:right w:w="90" w:type="dxa"/>
            </w:tcMar>
            <w:vAlign w:val="center"/>
          </w:tcPr>
          <w:p w14:paraId="1A57DD26" w14:textId="77777777" w:rsidR="008E5FBD" w:rsidRDefault="00000000">
            <w:pPr>
              <w:spacing w:after="0" w:line="240" w:lineRule="auto"/>
              <w:rPr>
                <w:rFonts w:hint="eastAsia"/>
              </w:rPr>
            </w:pPr>
            <w:r>
              <w:rPr>
                <w:sz w:val="15"/>
              </w:rPr>
              <w:t>RiOSWorld (NeurIPS 2025)</w:t>
            </w:r>
          </w:p>
        </w:tc>
        <w:tc>
          <w:tcPr>
            <w:tcW w:w="3816" w:type="dxa"/>
            <w:shd w:val="clear" w:color="auto" w:fill="F4F7FA"/>
            <w:tcMar>
              <w:top w:w="70" w:type="dxa"/>
              <w:left w:w="90" w:type="dxa"/>
              <w:bottom w:w="70" w:type="dxa"/>
              <w:right w:w="90" w:type="dxa"/>
            </w:tcMar>
            <w:vAlign w:val="center"/>
          </w:tcPr>
          <w:p w14:paraId="37CBC92E" w14:textId="77777777" w:rsidR="008E5FBD" w:rsidRDefault="00000000">
            <w:pPr>
              <w:spacing w:after="0" w:line="240" w:lineRule="auto"/>
              <w:rPr>
                <w:rFonts w:hint="eastAsia"/>
              </w:rPr>
            </w:pPr>
            <w:r>
              <w:rPr>
                <w:sz w:val="15"/>
              </w:rPr>
              <w:t>492 risky computer-use tasks across web and OS applications; user-originated and environmental risks.</w:t>
            </w:r>
          </w:p>
        </w:tc>
        <w:tc>
          <w:tcPr>
            <w:tcW w:w="3816" w:type="dxa"/>
            <w:shd w:val="clear" w:color="auto" w:fill="F4F7FA"/>
            <w:tcMar>
              <w:top w:w="70" w:type="dxa"/>
              <w:left w:w="90" w:type="dxa"/>
              <w:bottom w:w="70" w:type="dxa"/>
              <w:right w:w="90" w:type="dxa"/>
            </w:tcMar>
            <w:vAlign w:val="center"/>
          </w:tcPr>
          <w:p w14:paraId="1FF1C367" w14:textId="77777777" w:rsidR="008E5FBD" w:rsidRDefault="00000000">
            <w:pPr>
              <w:spacing w:after="0" w:line="240" w:lineRule="auto"/>
              <w:rPr>
                <w:rFonts w:hint="eastAsia"/>
              </w:rPr>
            </w:pPr>
            <w:r>
              <w:rPr>
                <w:sz w:val="15"/>
              </w:rPr>
              <w:t>Use to frame environmental risk and risk completion; distinguish execution-time warning intervention.</w:t>
            </w:r>
          </w:p>
        </w:tc>
      </w:tr>
      <w:tr w:rsidR="008E5FBD" w14:paraId="21D304BB" w14:textId="77777777">
        <w:trPr>
          <w:jc w:val="center"/>
        </w:trPr>
        <w:tc>
          <w:tcPr>
            <w:tcW w:w="2232" w:type="dxa"/>
            <w:tcMar>
              <w:top w:w="70" w:type="dxa"/>
              <w:left w:w="90" w:type="dxa"/>
              <w:bottom w:w="70" w:type="dxa"/>
              <w:right w:w="90" w:type="dxa"/>
            </w:tcMar>
            <w:vAlign w:val="center"/>
          </w:tcPr>
          <w:p w14:paraId="32AC5BCD" w14:textId="77777777" w:rsidR="008E5FBD" w:rsidRDefault="00000000">
            <w:pPr>
              <w:spacing w:after="0" w:line="240" w:lineRule="auto"/>
              <w:rPr>
                <w:rFonts w:hint="eastAsia"/>
              </w:rPr>
            </w:pPr>
            <w:r>
              <w:rPr>
                <w:sz w:val="15"/>
              </w:rPr>
              <w:t>RedCode (NeurIPS 2024 D&amp;B)</w:t>
            </w:r>
          </w:p>
        </w:tc>
        <w:tc>
          <w:tcPr>
            <w:tcW w:w="3816" w:type="dxa"/>
            <w:tcMar>
              <w:top w:w="70" w:type="dxa"/>
              <w:left w:w="90" w:type="dxa"/>
              <w:bottom w:w="70" w:type="dxa"/>
              <w:right w:w="90" w:type="dxa"/>
            </w:tcMar>
            <w:vAlign w:val="center"/>
          </w:tcPr>
          <w:p w14:paraId="194A94F4" w14:textId="77777777" w:rsidR="008E5FBD" w:rsidRDefault="00000000">
            <w:pPr>
              <w:spacing w:after="0" w:line="240" w:lineRule="auto"/>
              <w:rPr>
                <w:rFonts w:hint="eastAsia"/>
              </w:rPr>
            </w:pPr>
            <w:r>
              <w:rPr>
                <w:sz w:val="15"/>
              </w:rPr>
              <w:t>Risky code execution and generation benchmark with structured data construction.</w:t>
            </w:r>
          </w:p>
        </w:tc>
        <w:tc>
          <w:tcPr>
            <w:tcW w:w="3816" w:type="dxa"/>
            <w:tcMar>
              <w:top w:w="70" w:type="dxa"/>
              <w:left w:w="90" w:type="dxa"/>
              <w:bottom w:w="70" w:type="dxa"/>
              <w:right w:w="90" w:type="dxa"/>
            </w:tcMar>
            <w:vAlign w:val="center"/>
          </w:tcPr>
          <w:p w14:paraId="5D410112" w14:textId="77777777" w:rsidR="008E5FBD" w:rsidRDefault="00000000">
            <w:pPr>
              <w:spacing w:after="0" w:line="240" w:lineRule="auto"/>
              <w:rPr>
                <w:rFonts w:hint="eastAsia"/>
              </w:rPr>
            </w:pPr>
            <w:r>
              <w:rPr>
                <w:sz w:val="15"/>
              </w:rPr>
              <w:t>Optional methodology comparison for safety benchmark construction and reproducibility.</w:t>
            </w:r>
          </w:p>
        </w:tc>
      </w:tr>
    </w:tbl>
    <w:p w14:paraId="376930B5" w14:textId="77777777" w:rsidR="008E5FBD" w:rsidRDefault="008E5FBD">
      <w:pPr>
        <w:spacing w:after="0"/>
        <w:rPr>
          <w:rFonts w:hint="eastAsia"/>
        </w:rPr>
      </w:pPr>
    </w:p>
    <w:p w14:paraId="597E6120" w14:textId="77777777" w:rsidR="008E5FBD" w:rsidRDefault="00000000">
      <w:pPr>
        <w:pStyle w:val="Heading2"/>
      </w:pPr>
      <w:r>
        <w:t>8.2 KDD papers - agent evaluation, web agents, and defenses</w:t>
      </w:r>
    </w:p>
    <w:tbl>
      <w:tblPr>
        <w:tblStyle w:val="TableGrid"/>
        <w:tblW w:w="0" w:type="auto"/>
        <w:jc w:val="center"/>
        <w:tblLook w:val="04A0" w:firstRow="1" w:lastRow="0" w:firstColumn="1" w:lastColumn="0" w:noHBand="0" w:noVBand="1"/>
      </w:tblPr>
      <w:tblGrid>
        <w:gridCol w:w="2448"/>
        <w:gridCol w:w="3672"/>
        <w:gridCol w:w="3744"/>
      </w:tblGrid>
      <w:tr w:rsidR="008E5FBD" w14:paraId="5F059B18" w14:textId="77777777">
        <w:trPr>
          <w:tblHeader/>
          <w:jc w:val="center"/>
        </w:trPr>
        <w:tc>
          <w:tcPr>
            <w:tcW w:w="2448" w:type="dxa"/>
            <w:shd w:val="clear" w:color="auto" w:fill="D9EAF7"/>
            <w:tcMar>
              <w:top w:w="70" w:type="dxa"/>
              <w:left w:w="90" w:type="dxa"/>
              <w:bottom w:w="70" w:type="dxa"/>
              <w:right w:w="90" w:type="dxa"/>
            </w:tcMar>
            <w:vAlign w:val="center"/>
          </w:tcPr>
          <w:p w14:paraId="6060EC81" w14:textId="77777777" w:rsidR="008E5FBD" w:rsidRDefault="00000000">
            <w:pPr>
              <w:spacing w:after="0" w:line="240" w:lineRule="auto"/>
              <w:rPr>
                <w:rFonts w:hint="eastAsia"/>
              </w:rPr>
            </w:pPr>
            <w:r>
              <w:rPr>
                <w:b/>
                <w:color w:val="1F3758"/>
                <w:sz w:val="15"/>
              </w:rPr>
              <w:t>Paper</w:t>
            </w:r>
          </w:p>
        </w:tc>
        <w:tc>
          <w:tcPr>
            <w:tcW w:w="3672" w:type="dxa"/>
            <w:shd w:val="clear" w:color="auto" w:fill="D9EAF7"/>
            <w:tcMar>
              <w:top w:w="70" w:type="dxa"/>
              <w:left w:w="90" w:type="dxa"/>
              <w:bottom w:w="70" w:type="dxa"/>
              <w:right w:w="90" w:type="dxa"/>
            </w:tcMar>
            <w:vAlign w:val="center"/>
          </w:tcPr>
          <w:p w14:paraId="015DEF94" w14:textId="77777777" w:rsidR="008E5FBD" w:rsidRDefault="00000000">
            <w:pPr>
              <w:spacing w:after="0" w:line="240" w:lineRule="auto"/>
              <w:rPr>
                <w:rFonts w:hint="eastAsia"/>
              </w:rPr>
            </w:pPr>
            <w:r>
              <w:rPr>
                <w:b/>
                <w:color w:val="1F3758"/>
                <w:sz w:val="15"/>
              </w:rPr>
              <w:t>What it contributes</w:t>
            </w:r>
          </w:p>
        </w:tc>
        <w:tc>
          <w:tcPr>
            <w:tcW w:w="3744" w:type="dxa"/>
            <w:shd w:val="clear" w:color="auto" w:fill="D9EAF7"/>
            <w:tcMar>
              <w:top w:w="70" w:type="dxa"/>
              <w:left w:w="90" w:type="dxa"/>
              <w:bottom w:w="70" w:type="dxa"/>
              <w:right w:w="90" w:type="dxa"/>
            </w:tcMar>
            <w:vAlign w:val="center"/>
          </w:tcPr>
          <w:p w14:paraId="0BBCA4A9" w14:textId="77777777" w:rsidR="008E5FBD" w:rsidRDefault="00000000">
            <w:pPr>
              <w:spacing w:after="0" w:line="240" w:lineRule="auto"/>
              <w:rPr>
                <w:rFonts w:hint="eastAsia"/>
              </w:rPr>
            </w:pPr>
            <w:r>
              <w:rPr>
                <w:b/>
                <w:color w:val="1F3758"/>
                <w:sz w:val="15"/>
              </w:rPr>
              <w:t>How our paper should use it</w:t>
            </w:r>
          </w:p>
        </w:tc>
      </w:tr>
      <w:tr w:rsidR="008E5FBD" w14:paraId="2DDF49EF" w14:textId="77777777">
        <w:trPr>
          <w:jc w:val="center"/>
        </w:trPr>
        <w:tc>
          <w:tcPr>
            <w:tcW w:w="2448" w:type="dxa"/>
            <w:tcMar>
              <w:top w:w="70" w:type="dxa"/>
              <w:left w:w="90" w:type="dxa"/>
              <w:bottom w:w="70" w:type="dxa"/>
              <w:right w:w="90" w:type="dxa"/>
            </w:tcMar>
            <w:vAlign w:val="center"/>
          </w:tcPr>
          <w:p w14:paraId="751BD9CB" w14:textId="77777777" w:rsidR="008E5FBD" w:rsidRDefault="00000000">
            <w:pPr>
              <w:spacing w:after="0" w:line="240" w:lineRule="auto"/>
              <w:rPr>
                <w:rFonts w:hint="eastAsia"/>
              </w:rPr>
            </w:pPr>
            <w:r>
              <w:rPr>
                <w:sz w:val="15"/>
              </w:rPr>
              <w:t>AndroidArena / agent weakness (KDD 2024)</w:t>
            </w:r>
          </w:p>
        </w:tc>
        <w:tc>
          <w:tcPr>
            <w:tcW w:w="3672" w:type="dxa"/>
            <w:tcMar>
              <w:top w:w="70" w:type="dxa"/>
              <w:left w:w="90" w:type="dxa"/>
              <w:bottom w:w="70" w:type="dxa"/>
              <w:right w:w="90" w:type="dxa"/>
            </w:tcMar>
            <w:vAlign w:val="center"/>
          </w:tcPr>
          <w:p w14:paraId="487F42D2" w14:textId="77777777" w:rsidR="008E5FBD" w:rsidRDefault="00000000">
            <w:pPr>
              <w:spacing w:after="0" w:line="240" w:lineRule="auto"/>
              <w:rPr>
                <w:rFonts w:hint="eastAsia"/>
              </w:rPr>
            </w:pPr>
            <w:r>
              <w:rPr>
                <w:sz w:val="15"/>
              </w:rPr>
              <w:t>Scalable benchmark construction for complex Android tasks and constraint adherence.</w:t>
            </w:r>
          </w:p>
        </w:tc>
        <w:tc>
          <w:tcPr>
            <w:tcW w:w="3744" w:type="dxa"/>
            <w:tcMar>
              <w:top w:w="70" w:type="dxa"/>
              <w:left w:w="90" w:type="dxa"/>
              <w:bottom w:w="70" w:type="dxa"/>
              <w:right w:w="90" w:type="dxa"/>
            </w:tcMar>
            <w:vAlign w:val="center"/>
          </w:tcPr>
          <w:p w14:paraId="553358B7" w14:textId="77777777" w:rsidR="008E5FBD" w:rsidRDefault="00000000">
            <w:pPr>
              <w:spacing w:after="0" w:line="240" w:lineRule="auto"/>
              <w:rPr>
                <w:rFonts w:hint="eastAsia"/>
              </w:rPr>
            </w:pPr>
            <w:r>
              <w:rPr>
                <w:sz w:val="15"/>
              </w:rPr>
              <w:t>Use for task-construction methodology, long-horizon expansion, and fine-grained failure analysis.</w:t>
            </w:r>
          </w:p>
        </w:tc>
      </w:tr>
      <w:tr w:rsidR="008E5FBD" w14:paraId="0C4B93D7" w14:textId="77777777">
        <w:trPr>
          <w:jc w:val="center"/>
        </w:trPr>
        <w:tc>
          <w:tcPr>
            <w:tcW w:w="2448" w:type="dxa"/>
            <w:shd w:val="clear" w:color="auto" w:fill="F4F7FA"/>
            <w:tcMar>
              <w:top w:w="70" w:type="dxa"/>
              <w:left w:w="90" w:type="dxa"/>
              <w:bottom w:w="70" w:type="dxa"/>
              <w:right w:w="90" w:type="dxa"/>
            </w:tcMar>
            <w:vAlign w:val="center"/>
          </w:tcPr>
          <w:p w14:paraId="6A242D6A" w14:textId="77777777" w:rsidR="008E5FBD" w:rsidRDefault="00000000">
            <w:pPr>
              <w:spacing w:after="0" w:line="240" w:lineRule="auto"/>
              <w:rPr>
                <w:rFonts w:hint="eastAsia"/>
              </w:rPr>
            </w:pPr>
            <w:r>
              <w:rPr>
                <w:sz w:val="15"/>
              </w:rPr>
              <w:t>BIPIA (KDD 2025)</w:t>
            </w:r>
          </w:p>
        </w:tc>
        <w:tc>
          <w:tcPr>
            <w:tcW w:w="3672" w:type="dxa"/>
            <w:shd w:val="clear" w:color="auto" w:fill="F4F7FA"/>
            <w:tcMar>
              <w:top w:w="70" w:type="dxa"/>
              <w:left w:w="90" w:type="dxa"/>
              <w:bottom w:w="70" w:type="dxa"/>
              <w:right w:w="90" w:type="dxa"/>
            </w:tcMar>
            <w:vAlign w:val="center"/>
          </w:tcPr>
          <w:p w14:paraId="08EF2250" w14:textId="77777777" w:rsidR="008E5FBD" w:rsidRDefault="00000000">
            <w:pPr>
              <w:spacing w:after="0" w:line="240" w:lineRule="auto"/>
              <w:rPr>
                <w:rFonts w:hint="eastAsia"/>
              </w:rPr>
            </w:pPr>
            <w:r>
              <w:rPr>
                <w:sz w:val="15"/>
              </w:rPr>
              <w:t>Benchmark and defenses for indirect prompt injection; boundary awareness and explicit reminders.</w:t>
            </w:r>
          </w:p>
        </w:tc>
        <w:tc>
          <w:tcPr>
            <w:tcW w:w="3744" w:type="dxa"/>
            <w:shd w:val="clear" w:color="auto" w:fill="F4F7FA"/>
            <w:tcMar>
              <w:top w:w="70" w:type="dxa"/>
              <w:left w:w="90" w:type="dxa"/>
              <w:bottom w:w="70" w:type="dxa"/>
              <w:right w:w="90" w:type="dxa"/>
            </w:tcMar>
            <w:vAlign w:val="center"/>
          </w:tcPr>
          <w:p w14:paraId="590412A1" w14:textId="77777777" w:rsidR="008E5FBD" w:rsidRDefault="00000000">
            <w:pPr>
              <w:spacing w:after="0" w:line="240" w:lineRule="auto"/>
              <w:rPr>
                <w:rFonts w:hint="eastAsia"/>
              </w:rPr>
            </w:pPr>
            <w:r>
              <w:rPr>
                <w:sz w:val="15"/>
              </w:rPr>
              <w:t>Relevant to warning wording and instruction/data boundaries; distinguish deceptive interfaces without explicit injected instructions.</w:t>
            </w:r>
          </w:p>
        </w:tc>
      </w:tr>
      <w:tr w:rsidR="008E5FBD" w14:paraId="7CC748A8" w14:textId="77777777">
        <w:trPr>
          <w:jc w:val="center"/>
        </w:trPr>
        <w:tc>
          <w:tcPr>
            <w:tcW w:w="2448" w:type="dxa"/>
            <w:tcMar>
              <w:top w:w="70" w:type="dxa"/>
              <w:left w:w="90" w:type="dxa"/>
              <w:bottom w:w="70" w:type="dxa"/>
              <w:right w:w="90" w:type="dxa"/>
            </w:tcMar>
            <w:vAlign w:val="center"/>
          </w:tcPr>
          <w:p w14:paraId="4A73616B" w14:textId="77777777" w:rsidR="008E5FBD" w:rsidRDefault="00000000">
            <w:pPr>
              <w:spacing w:after="0" w:line="240" w:lineRule="auto"/>
              <w:rPr>
                <w:rFonts w:hint="eastAsia"/>
              </w:rPr>
            </w:pPr>
            <w:r>
              <w:rPr>
                <w:sz w:val="15"/>
              </w:rPr>
              <w:t>Evaluation and Benchmarking of LLM Agents (KDD 2025)</w:t>
            </w:r>
          </w:p>
        </w:tc>
        <w:tc>
          <w:tcPr>
            <w:tcW w:w="3672" w:type="dxa"/>
            <w:tcMar>
              <w:top w:w="70" w:type="dxa"/>
              <w:left w:w="90" w:type="dxa"/>
              <w:bottom w:w="70" w:type="dxa"/>
              <w:right w:w="90" w:type="dxa"/>
            </w:tcMar>
            <w:vAlign w:val="center"/>
          </w:tcPr>
          <w:p w14:paraId="476D1632" w14:textId="77777777" w:rsidR="008E5FBD" w:rsidRDefault="00000000">
            <w:pPr>
              <w:spacing w:after="0" w:line="240" w:lineRule="auto"/>
              <w:rPr>
                <w:rFonts w:hint="eastAsia"/>
              </w:rPr>
            </w:pPr>
            <w:r>
              <w:rPr>
                <w:sz w:val="15"/>
              </w:rPr>
              <w:t>Taxonomy of evaluation objectives and processes, including safety and reliability.</w:t>
            </w:r>
          </w:p>
        </w:tc>
        <w:tc>
          <w:tcPr>
            <w:tcW w:w="3744" w:type="dxa"/>
            <w:tcMar>
              <w:top w:w="70" w:type="dxa"/>
              <w:left w:w="90" w:type="dxa"/>
              <w:bottom w:w="70" w:type="dxa"/>
              <w:right w:w="90" w:type="dxa"/>
            </w:tcMar>
            <w:vAlign w:val="center"/>
          </w:tcPr>
          <w:p w14:paraId="3EF94B37" w14:textId="77777777" w:rsidR="008E5FBD" w:rsidRDefault="00000000">
            <w:pPr>
              <w:spacing w:after="0" w:line="240" w:lineRule="auto"/>
              <w:rPr>
                <w:rFonts w:hint="eastAsia"/>
              </w:rPr>
            </w:pPr>
            <w:r>
              <w:rPr>
                <w:sz w:val="15"/>
              </w:rPr>
              <w:t>Use to structure the benchmark’s evaluation dimensions and evidence standards.</w:t>
            </w:r>
          </w:p>
        </w:tc>
      </w:tr>
      <w:tr w:rsidR="008E5FBD" w14:paraId="2FC8174C" w14:textId="77777777">
        <w:trPr>
          <w:jc w:val="center"/>
        </w:trPr>
        <w:tc>
          <w:tcPr>
            <w:tcW w:w="2448" w:type="dxa"/>
            <w:shd w:val="clear" w:color="auto" w:fill="F4F7FA"/>
            <w:tcMar>
              <w:top w:w="70" w:type="dxa"/>
              <w:left w:w="90" w:type="dxa"/>
              <w:bottom w:w="70" w:type="dxa"/>
              <w:right w:w="90" w:type="dxa"/>
            </w:tcMar>
            <w:vAlign w:val="center"/>
          </w:tcPr>
          <w:p w14:paraId="043B4068" w14:textId="77777777" w:rsidR="008E5FBD" w:rsidRDefault="00000000">
            <w:pPr>
              <w:spacing w:after="0" w:line="240" w:lineRule="auto"/>
              <w:rPr>
                <w:rFonts w:hint="eastAsia"/>
              </w:rPr>
            </w:pPr>
            <w:r>
              <w:rPr>
                <w:sz w:val="15"/>
              </w:rPr>
              <w:t>Trustworthy LLM Agents survey (KDD 2025)</w:t>
            </w:r>
          </w:p>
        </w:tc>
        <w:tc>
          <w:tcPr>
            <w:tcW w:w="3672" w:type="dxa"/>
            <w:shd w:val="clear" w:color="auto" w:fill="F4F7FA"/>
            <w:tcMar>
              <w:top w:w="70" w:type="dxa"/>
              <w:left w:w="90" w:type="dxa"/>
              <w:bottom w:w="70" w:type="dxa"/>
              <w:right w:w="90" w:type="dxa"/>
            </w:tcMar>
            <w:vAlign w:val="center"/>
          </w:tcPr>
          <w:p w14:paraId="7022947E" w14:textId="77777777" w:rsidR="008E5FBD" w:rsidRDefault="00000000">
            <w:pPr>
              <w:spacing w:after="0" w:line="240" w:lineRule="auto"/>
              <w:rPr>
                <w:rFonts w:hint="eastAsia"/>
              </w:rPr>
            </w:pPr>
            <w:r>
              <w:rPr>
                <w:sz w:val="15"/>
              </w:rPr>
              <w:t>Threats, defenses, and intrinsic/extrinsic trustworthiness across agent modules and environments.</w:t>
            </w:r>
          </w:p>
        </w:tc>
        <w:tc>
          <w:tcPr>
            <w:tcW w:w="3744" w:type="dxa"/>
            <w:shd w:val="clear" w:color="auto" w:fill="F4F7FA"/>
            <w:tcMar>
              <w:top w:w="70" w:type="dxa"/>
              <w:left w:w="90" w:type="dxa"/>
              <w:bottom w:w="70" w:type="dxa"/>
              <w:right w:w="90" w:type="dxa"/>
            </w:tcMar>
            <w:vAlign w:val="center"/>
          </w:tcPr>
          <w:p w14:paraId="79A7A73F" w14:textId="77777777" w:rsidR="008E5FBD" w:rsidRDefault="00000000">
            <w:pPr>
              <w:spacing w:after="0" w:line="240" w:lineRule="auto"/>
              <w:rPr>
                <w:rFonts w:hint="eastAsia"/>
              </w:rPr>
            </w:pPr>
            <w:r>
              <w:rPr>
                <w:sz w:val="15"/>
              </w:rPr>
              <w:t>Use to place deceptive environmental influence within extrinsic trustworthiness.</w:t>
            </w:r>
          </w:p>
        </w:tc>
      </w:tr>
      <w:tr w:rsidR="008E5FBD" w14:paraId="3776F723" w14:textId="77777777">
        <w:trPr>
          <w:jc w:val="center"/>
        </w:trPr>
        <w:tc>
          <w:tcPr>
            <w:tcW w:w="2448" w:type="dxa"/>
            <w:tcMar>
              <w:top w:w="70" w:type="dxa"/>
              <w:left w:w="90" w:type="dxa"/>
              <w:bottom w:w="70" w:type="dxa"/>
              <w:right w:w="90" w:type="dxa"/>
            </w:tcMar>
            <w:vAlign w:val="center"/>
          </w:tcPr>
          <w:p w14:paraId="2A327861" w14:textId="77777777" w:rsidR="008E5FBD" w:rsidRDefault="00000000">
            <w:pPr>
              <w:spacing w:after="0" w:line="240" w:lineRule="auto"/>
              <w:rPr>
                <w:rFonts w:hint="eastAsia"/>
              </w:rPr>
            </w:pPr>
            <w:r>
              <w:rPr>
                <w:sz w:val="15"/>
              </w:rPr>
              <w:t>WebAgents survey (KDD 2025)</w:t>
            </w:r>
          </w:p>
        </w:tc>
        <w:tc>
          <w:tcPr>
            <w:tcW w:w="3672" w:type="dxa"/>
            <w:tcMar>
              <w:top w:w="70" w:type="dxa"/>
              <w:left w:w="90" w:type="dxa"/>
              <w:bottom w:w="70" w:type="dxa"/>
              <w:right w:w="90" w:type="dxa"/>
            </w:tcMar>
            <w:vAlign w:val="center"/>
          </w:tcPr>
          <w:p w14:paraId="6D40FCCC" w14:textId="77777777" w:rsidR="008E5FBD" w:rsidRDefault="00000000">
            <w:pPr>
              <w:spacing w:after="0" w:line="240" w:lineRule="auto"/>
              <w:rPr>
                <w:rFonts w:hint="eastAsia"/>
              </w:rPr>
            </w:pPr>
            <w:r>
              <w:rPr>
                <w:sz w:val="15"/>
              </w:rPr>
              <w:t xml:space="preserve">Architectures, training, and trustworthiness of web </w:t>
            </w:r>
            <w:r>
              <w:rPr>
                <w:sz w:val="15"/>
              </w:rPr>
              <w:lastRenderedPageBreak/>
              <w:t>agents.</w:t>
            </w:r>
          </w:p>
        </w:tc>
        <w:tc>
          <w:tcPr>
            <w:tcW w:w="3744" w:type="dxa"/>
            <w:tcMar>
              <w:top w:w="70" w:type="dxa"/>
              <w:left w:w="90" w:type="dxa"/>
              <w:bottom w:w="70" w:type="dxa"/>
              <w:right w:w="90" w:type="dxa"/>
            </w:tcMar>
            <w:vAlign w:val="center"/>
          </w:tcPr>
          <w:p w14:paraId="712F1CF6" w14:textId="77777777" w:rsidR="008E5FBD" w:rsidRDefault="00000000">
            <w:pPr>
              <w:spacing w:after="0" w:line="240" w:lineRule="auto"/>
              <w:rPr>
                <w:rFonts w:hint="eastAsia"/>
              </w:rPr>
            </w:pPr>
            <w:r>
              <w:rPr>
                <w:sz w:val="15"/>
              </w:rPr>
              <w:lastRenderedPageBreak/>
              <w:t xml:space="preserve">Use for interdisciplinary overview and to explain why </w:t>
            </w:r>
            <w:r>
              <w:rPr>
                <w:sz w:val="15"/>
              </w:rPr>
              <w:lastRenderedPageBreak/>
              <w:t>capability benchmarks need safety-path evaluation.</w:t>
            </w:r>
          </w:p>
        </w:tc>
      </w:tr>
    </w:tbl>
    <w:p w14:paraId="69F3D799" w14:textId="77777777" w:rsidR="008E5FBD" w:rsidRDefault="008E5FBD">
      <w:pPr>
        <w:spacing w:after="0"/>
        <w:rPr>
          <w:rFonts w:hint="eastAsia"/>
        </w:rPr>
      </w:pPr>
    </w:p>
    <w:p w14:paraId="4AA2F946" w14:textId="77777777" w:rsidR="008E5FBD" w:rsidRDefault="00000000">
      <w:pPr>
        <w:pStyle w:val="Heading2"/>
      </w:pPr>
      <w:r>
        <w:t>8.3 The Web Conference papers - web-native evaluation and realistic task design</w:t>
      </w:r>
    </w:p>
    <w:tbl>
      <w:tblPr>
        <w:tblStyle w:val="TableGrid"/>
        <w:tblW w:w="0" w:type="auto"/>
        <w:jc w:val="center"/>
        <w:tblLook w:val="04A0" w:firstRow="1" w:lastRow="0" w:firstColumn="1" w:lastColumn="0" w:noHBand="0" w:noVBand="1"/>
      </w:tblPr>
      <w:tblGrid>
        <w:gridCol w:w="2304"/>
        <w:gridCol w:w="3816"/>
        <w:gridCol w:w="3744"/>
      </w:tblGrid>
      <w:tr w:rsidR="008E5FBD" w14:paraId="2189346A" w14:textId="77777777">
        <w:trPr>
          <w:tblHeader/>
          <w:jc w:val="center"/>
        </w:trPr>
        <w:tc>
          <w:tcPr>
            <w:tcW w:w="2304" w:type="dxa"/>
            <w:shd w:val="clear" w:color="auto" w:fill="D9EAF7"/>
            <w:tcMar>
              <w:top w:w="70" w:type="dxa"/>
              <w:left w:w="90" w:type="dxa"/>
              <w:bottom w:w="70" w:type="dxa"/>
              <w:right w:w="90" w:type="dxa"/>
            </w:tcMar>
            <w:vAlign w:val="center"/>
          </w:tcPr>
          <w:p w14:paraId="6941D376" w14:textId="77777777" w:rsidR="008E5FBD" w:rsidRDefault="00000000">
            <w:pPr>
              <w:spacing w:after="0" w:line="240" w:lineRule="auto"/>
              <w:rPr>
                <w:rFonts w:hint="eastAsia"/>
              </w:rPr>
            </w:pPr>
            <w:r>
              <w:rPr>
                <w:b/>
                <w:color w:val="1F3758"/>
                <w:sz w:val="16"/>
              </w:rPr>
              <w:t>Paper</w:t>
            </w:r>
          </w:p>
        </w:tc>
        <w:tc>
          <w:tcPr>
            <w:tcW w:w="3816" w:type="dxa"/>
            <w:shd w:val="clear" w:color="auto" w:fill="D9EAF7"/>
            <w:tcMar>
              <w:top w:w="70" w:type="dxa"/>
              <w:left w:w="90" w:type="dxa"/>
              <w:bottom w:w="70" w:type="dxa"/>
              <w:right w:w="90" w:type="dxa"/>
            </w:tcMar>
            <w:vAlign w:val="center"/>
          </w:tcPr>
          <w:p w14:paraId="1D5A3853" w14:textId="77777777" w:rsidR="008E5FBD" w:rsidRDefault="00000000">
            <w:pPr>
              <w:spacing w:after="0" w:line="240" w:lineRule="auto"/>
              <w:rPr>
                <w:rFonts w:hint="eastAsia"/>
              </w:rPr>
            </w:pPr>
            <w:r>
              <w:rPr>
                <w:b/>
                <w:color w:val="1F3758"/>
                <w:sz w:val="16"/>
              </w:rPr>
              <w:t>What it contributes</w:t>
            </w:r>
          </w:p>
        </w:tc>
        <w:tc>
          <w:tcPr>
            <w:tcW w:w="3744" w:type="dxa"/>
            <w:shd w:val="clear" w:color="auto" w:fill="D9EAF7"/>
            <w:tcMar>
              <w:top w:w="70" w:type="dxa"/>
              <w:left w:w="90" w:type="dxa"/>
              <w:bottom w:w="70" w:type="dxa"/>
              <w:right w:w="90" w:type="dxa"/>
            </w:tcMar>
            <w:vAlign w:val="center"/>
          </w:tcPr>
          <w:p w14:paraId="292F958E" w14:textId="77777777" w:rsidR="008E5FBD" w:rsidRDefault="00000000">
            <w:pPr>
              <w:spacing w:after="0" w:line="240" w:lineRule="auto"/>
              <w:rPr>
                <w:rFonts w:hint="eastAsia"/>
              </w:rPr>
            </w:pPr>
            <w:r>
              <w:rPr>
                <w:b/>
                <w:color w:val="1F3758"/>
                <w:sz w:val="16"/>
              </w:rPr>
              <w:t>How our paper should use it</w:t>
            </w:r>
          </w:p>
        </w:tc>
      </w:tr>
      <w:tr w:rsidR="008E5FBD" w14:paraId="1FC012B0" w14:textId="77777777">
        <w:trPr>
          <w:jc w:val="center"/>
        </w:trPr>
        <w:tc>
          <w:tcPr>
            <w:tcW w:w="2304" w:type="dxa"/>
            <w:tcMar>
              <w:top w:w="70" w:type="dxa"/>
              <w:left w:w="90" w:type="dxa"/>
              <w:bottom w:w="70" w:type="dxa"/>
              <w:right w:w="90" w:type="dxa"/>
            </w:tcMar>
            <w:vAlign w:val="center"/>
          </w:tcPr>
          <w:p w14:paraId="27AC9975" w14:textId="77777777" w:rsidR="008E5FBD" w:rsidRDefault="00000000">
            <w:pPr>
              <w:spacing w:after="0" w:line="240" w:lineRule="auto"/>
              <w:rPr>
                <w:rFonts w:hint="eastAsia"/>
              </w:rPr>
            </w:pPr>
            <w:r>
              <w:rPr>
                <w:sz w:val="16"/>
              </w:rPr>
              <w:t>Hidden-in-Plain-Text (WWW 2026)</w:t>
            </w:r>
          </w:p>
        </w:tc>
        <w:tc>
          <w:tcPr>
            <w:tcW w:w="3816" w:type="dxa"/>
            <w:tcMar>
              <w:top w:w="70" w:type="dxa"/>
              <w:left w:w="90" w:type="dxa"/>
              <w:bottom w:w="70" w:type="dxa"/>
              <w:right w:w="90" w:type="dxa"/>
            </w:tcMar>
            <w:vAlign w:val="center"/>
          </w:tcPr>
          <w:p w14:paraId="2387D3E7" w14:textId="77777777" w:rsidR="008E5FBD" w:rsidRDefault="00000000">
            <w:pPr>
              <w:spacing w:after="0" w:line="240" w:lineRule="auto"/>
              <w:rPr>
                <w:rFonts w:hint="eastAsia"/>
              </w:rPr>
            </w:pPr>
            <w:r>
              <w:rPr>
                <w:sz w:val="16"/>
              </w:rPr>
              <w:t>Reproducible social-web indirect prompt-injection benchmark and end-to-end harness.</w:t>
            </w:r>
          </w:p>
        </w:tc>
        <w:tc>
          <w:tcPr>
            <w:tcW w:w="3744" w:type="dxa"/>
            <w:tcMar>
              <w:top w:w="70" w:type="dxa"/>
              <w:left w:w="90" w:type="dxa"/>
              <w:bottom w:w="70" w:type="dxa"/>
              <w:right w:w="90" w:type="dxa"/>
            </w:tcMar>
            <w:vAlign w:val="center"/>
          </w:tcPr>
          <w:p w14:paraId="2CD919D0" w14:textId="77777777" w:rsidR="008E5FBD" w:rsidRDefault="00000000">
            <w:pPr>
              <w:spacing w:after="0" w:line="240" w:lineRule="auto"/>
              <w:rPr>
                <w:rFonts w:hint="eastAsia"/>
              </w:rPr>
            </w:pPr>
            <w:r>
              <w:rPr>
                <w:sz w:val="16"/>
              </w:rPr>
              <w:t>Use as a web-native security benchmark comparison; distinguish RAG ingestion threats from interactive GUI paths.</w:t>
            </w:r>
          </w:p>
        </w:tc>
      </w:tr>
      <w:tr w:rsidR="008E5FBD" w14:paraId="5472A6DB" w14:textId="77777777">
        <w:trPr>
          <w:jc w:val="center"/>
        </w:trPr>
        <w:tc>
          <w:tcPr>
            <w:tcW w:w="2304" w:type="dxa"/>
            <w:shd w:val="clear" w:color="auto" w:fill="F4F7FA"/>
            <w:tcMar>
              <w:top w:w="70" w:type="dxa"/>
              <w:left w:w="90" w:type="dxa"/>
              <w:bottom w:w="70" w:type="dxa"/>
              <w:right w:w="90" w:type="dxa"/>
            </w:tcMar>
            <w:vAlign w:val="center"/>
          </w:tcPr>
          <w:p w14:paraId="2699A06A" w14:textId="77777777" w:rsidR="008E5FBD" w:rsidRDefault="00000000">
            <w:pPr>
              <w:spacing w:after="0" w:line="240" w:lineRule="auto"/>
              <w:rPr>
                <w:rFonts w:hint="eastAsia"/>
              </w:rPr>
            </w:pPr>
            <w:r>
              <w:rPr>
                <w:sz w:val="16"/>
              </w:rPr>
              <w:t>AgenticShop (WWW 2026)</w:t>
            </w:r>
          </w:p>
        </w:tc>
        <w:tc>
          <w:tcPr>
            <w:tcW w:w="3816" w:type="dxa"/>
            <w:shd w:val="clear" w:color="auto" w:fill="F4F7FA"/>
            <w:tcMar>
              <w:top w:w="70" w:type="dxa"/>
              <w:left w:w="90" w:type="dxa"/>
              <w:bottom w:w="70" w:type="dxa"/>
              <w:right w:w="90" w:type="dxa"/>
            </w:tcMar>
            <w:vAlign w:val="center"/>
          </w:tcPr>
          <w:p w14:paraId="6EABB801" w14:textId="77777777" w:rsidR="008E5FBD" w:rsidRDefault="00000000">
            <w:pPr>
              <w:spacing w:after="0" w:line="240" w:lineRule="auto"/>
              <w:rPr>
                <w:rFonts w:hint="eastAsia"/>
              </w:rPr>
            </w:pPr>
            <w:r>
              <w:rPr>
                <w:sz w:val="16"/>
              </w:rPr>
              <w:t>Open-web benchmark for personalized agentic product curation.</w:t>
            </w:r>
          </w:p>
        </w:tc>
        <w:tc>
          <w:tcPr>
            <w:tcW w:w="3744" w:type="dxa"/>
            <w:shd w:val="clear" w:color="auto" w:fill="F4F7FA"/>
            <w:tcMar>
              <w:top w:w="70" w:type="dxa"/>
              <w:left w:w="90" w:type="dxa"/>
              <w:bottom w:w="70" w:type="dxa"/>
              <w:right w:w="90" w:type="dxa"/>
            </w:tcMar>
            <w:vAlign w:val="center"/>
          </w:tcPr>
          <w:p w14:paraId="4CBEF2BA" w14:textId="77777777" w:rsidR="008E5FBD" w:rsidRDefault="00000000">
            <w:pPr>
              <w:spacing w:after="0" w:line="240" w:lineRule="auto"/>
              <w:rPr>
                <w:rFonts w:hint="eastAsia"/>
              </w:rPr>
            </w:pPr>
            <w:r>
              <w:rPr>
                <w:sz w:val="16"/>
              </w:rPr>
              <w:t>Use to motivate realistic shopping contexts and user-interest alignment; contrast capability/personalization with safe completion.</w:t>
            </w:r>
          </w:p>
        </w:tc>
      </w:tr>
      <w:tr w:rsidR="008E5FBD" w14:paraId="5C31A965" w14:textId="77777777">
        <w:trPr>
          <w:jc w:val="center"/>
        </w:trPr>
        <w:tc>
          <w:tcPr>
            <w:tcW w:w="2304" w:type="dxa"/>
            <w:tcMar>
              <w:top w:w="70" w:type="dxa"/>
              <w:left w:w="90" w:type="dxa"/>
              <w:bottom w:w="70" w:type="dxa"/>
              <w:right w:w="90" w:type="dxa"/>
            </w:tcMar>
            <w:vAlign w:val="center"/>
          </w:tcPr>
          <w:p w14:paraId="4D77FEDE" w14:textId="77777777" w:rsidR="008E5FBD" w:rsidRDefault="00000000">
            <w:pPr>
              <w:spacing w:after="0" w:line="240" w:lineRule="auto"/>
              <w:rPr>
                <w:rFonts w:hint="eastAsia"/>
              </w:rPr>
            </w:pPr>
            <w:r>
              <w:rPr>
                <w:sz w:val="16"/>
              </w:rPr>
              <w:t>ColorBench (WWW 2026)</w:t>
            </w:r>
          </w:p>
        </w:tc>
        <w:tc>
          <w:tcPr>
            <w:tcW w:w="3816" w:type="dxa"/>
            <w:tcMar>
              <w:top w:w="70" w:type="dxa"/>
              <w:left w:w="90" w:type="dxa"/>
              <w:bottom w:w="70" w:type="dxa"/>
              <w:right w:w="90" w:type="dxa"/>
            </w:tcMar>
            <w:vAlign w:val="center"/>
          </w:tcPr>
          <w:p w14:paraId="0F79664A" w14:textId="77777777" w:rsidR="008E5FBD" w:rsidRDefault="00000000">
            <w:pPr>
              <w:spacing w:after="0" w:line="240" w:lineRule="auto"/>
              <w:rPr>
                <w:rFonts w:hint="eastAsia"/>
              </w:rPr>
            </w:pPr>
            <w:r>
              <w:rPr>
                <w:sz w:val="16"/>
              </w:rPr>
              <w:t>Graph-structured benchmark for complex long-horizon mobile tasks with multiple valid paths.</w:t>
            </w:r>
          </w:p>
        </w:tc>
        <w:tc>
          <w:tcPr>
            <w:tcW w:w="3744" w:type="dxa"/>
            <w:tcMar>
              <w:top w:w="70" w:type="dxa"/>
              <w:left w:w="90" w:type="dxa"/>
              <w:bottom w:w="70" w:type="dxa"/>
              <w:right w:w="90" w:type="dxa"/>
            </w:tcMar>
            <w:vAlign w:val="center"/>
          </w:tcPr>
          <w:p w14:paraId="3F55DDFB" w14:textId="77777777" w:rsidR="008E5FBD" w:rsidRDefault="00000000">
            <w:pPr>
              <w:spacing w:after="0" w:line="240" w:lineRule="auto"/>
              <w:rPr>
                <w:rFonts w:hint="eastAsia"/>
              </w:rPr>
            </w:pPr>
            <w:r>
              <w:rPr>
                <w:sz w:val="16"/>
              </w:rPr>
              <w:t>Use for future long-horizon expansion and path-aware evaluation.</w:t>
            </w:r>
          </w:p>
        </w:tc>
      </w:tr>
    </w:tbl>
    <w:p w14:paraId="783C5EE8" w14:textId="77777777" w:rsidR="008E5FBD" w:rsidRDefault="008E5FBD">
      <w:pPr>
        <w:spacing w:after="0"/>
        <w:rPr>
          <w:rFonts w:hint="eastAsia"/>
        </w:rPr>
      </w:pPr>
    </w:p>
    <w:p w14:paraId="3F11D49B" w14:textId="77777777" w:rsidR="008E5FBD" w:rsidRDefault="00000000">
      <w:pPr>
        <w:pStyle w:val="Heading2"/>
      </w:pPr>
      <w:r>
        <w:t>8.4 Exact-topic and interdisciplinary literature</w:t>
      </w:r>
    </w:p>
    <w:tbl>
      <w:tblPr>
        <w:tblStyle w:val="TableGrid"/>
        <w:tblW w:w="0" w:type="auto"/>
        <w:jc w:val="center"/>
        <w:tblLook w:val="04A0" w:firstRow="1" w:lastRow="0" w:firstColumn="1" w:lastColumn="0" w:noHBand="0" w:noVBand="1"/>
      </w:tblPr>
      <w:tblGrid>
        <w:gridCol w:w="2232"/>
        <w:gridCol w:w="3888"/>
        <w:gridCol w:w="3744"/>
      </w:tblGrid>
      <w:tr w:rsidR="008E5FBD" w14:paraId="74A34A63" w14:textId="77777777">
        <w:trPr>
          <w:tblHeader/>
          <w:jc w:val="center"/>
        </w:trPr>
        <w:tc>
          <w:tcPr>
            <w:tcW w:w="2232" w:type="dxa"/>
            <w:shd w:val="clear" w:color="auto" w:fill="D9EAF7"/>
            <w:tcMar>
              <w:top w:w="70" w:type="dxa"/>
              <w:left w:w="90" w:type="dxa"/>
              <w:bottom w:w="70" w:type="dxa"/>
              <w:right w:w="90" w:type="dxa"/>
            </w:tcMar>
            <w:vAlign w:val="center"/>
          </w:tcPr>
          <w:p w14:paraId="2A160E8F" w14:textId="77777777" w:rsidR="008E5FBD" w:rsidRDefault="00000000">
            <w:pPr>
              <w:spacing w:after="0" w:line="240" w:lineRule="auto"/>
              <w:rPr>
                <w:rFonts w:hint="eastAsia"/>
              </w:rPr>
            </w:pPr>
            <w:r>
              <w:rPr>
                <w:b/>
                <w:color w:val="1F3758"/>
                <w:sz w:val="15"/>
              </w:rPr>
              <w:t>Literature</w:t>
            </w:r>
          </w:p>
        </w:tc>
        <w:tc>
          <w:tcPr>
            <w:tcW w:w="3888" w:type="dxa"/>
            <w:shd w:val="clear" w:color="auto" w:fill="D9EAF7"/>
            <w:tcMar>
              <w:top w:w="70" w:type="dxa"/>
              <w:left w:w="90" w:type="dxa"/>
              <w:bottom w:w="70" w:type="dxa"/>
              <w:right w:w="90" w:type="dxa"/>
            </w:tcMar>
            <w:vAlign w:val="center"/>
          </w:tcPr>
          <w:p w14:paraId="2B394C08" w14:textId="77777777" w:rsidR="008E5FBD" w:rsidRDefault="00000000">
            <w:pPr>
              <w:spacing w:after="0" w:line="240" w:lineRule="auto"/>
              <w:rPr>
                <w:rFonts w:hint="eastAsia"/>
              </w:rPr>
            </w:pPr>
            <w:r>
              <w:rPr>
                <w:b/>
                <w:color w:val="1F3758"/>
                <w:sz w:val="15"/>
              </w:rPr>
              <w:t>Contribution</w:t>
            </w:r>
          </w:p>
        </w:tc>
        <w:tc>
          <w:tcPr>
            <w:tcW w:w="3744" w:type="dxa"/>
            <w:shd w:val="clear" w:color="auto" w:fill="D9EAF7"/>
            <w:tcMar>
              <w:top w:w="70" w:type="dxa"/>
              <w:left w:w="90" w:type="dxa"/>
              <w:bottom w:w="70" w:type="dxa"/>
              <w:right w:w="90" w:type="dxa"/>
            </w:tcMar>
            <w:vAlign w:val="center"/>
          </w:tcPr>
          <w:p w14:paraId="50269EB4" w14:textId="77777777" w:rsidR="008E5FBD" w:rsidRDefault="00000000">
            <w:pPr>
              <w:spacing w:after="0" w:line="240" w:lineRule="auto"/>
              <w:rPr>
                <w:rFonts w:hint="eastAsia"/>
              </w:rPr>
            </w:pPr>
            <w:r>
              <w:rPr>
                <w:b/>
                <w:color w:val="1F3758"/>
                <w:sz w:val="15"/>
              </w:rPr>
              <w:t>Role in revision</w:t>
            </w:r>
          </w:p>
        </w:tc>
      </w:tr>
      <w:tr w:rsidR="008E5FBD" w14:paraId="2EA3D642" w14:textId="77777777">
        <w:trPr>
          <w:jc w:val="center"/>
        </w:trPr>
        <w:tc>
          <w:tcPr>
            <w:tcW w:w="2232" w:type="dxa"/>
            <w:tcMar>
              <w:top w:w="70" w:type="dxa"/>
              <w:left w:w="90" w:type="dxa"/>
              <w:bottom w:w="70" w:type="dxa"/>
              <w:right w:w="90" w:type="dxa"/>
            </w:tcMar>
            <w:vAlign w:val="center"/>
          </w:tcPr>
          <w:p w14:paraId="3769A07E" w14:textId="77777777" w:rsidR="008E5FBD" w:rsidRDefault="00000000">
            <w:pPr>
              <w:spacing w:after="0" w:line="240" w:lineRule="auto"/>
              <w:rPr>
                <w:rFonts w:hint="eastAsia"/>
              </w:rPr>
            </w:pPr>
            <w:r>
              <w:rPr>
                <w:sz w:val="15"/>
              </w:rPr>
              <w:t>ST-WebAgentBench</w:t>
            </w:r>
          </w:p>
        </w:tc>
        <w:tc>
          <w:tcPr>
            <w:tcW w:w="3888" w:type="dxa"/>
            <w:tcMar>
              <w:top w:w="70" w:type="dxa"/>
              <w:left w:w="90" w:type="dxa"/>
              <w:bottom w:w="70" w:type="dxa"/>
              <w:right w:w="90" w:type="dxa"/>
            </w:tcMar>
            <w:vAlign w:val="center"/>
          </w:tcPr>
          <w:p w14:paraId="6A3EC43C" w14:textId="77777777" w:rsidR="008E5FBD" w:rsidRDefault="00000000">
            <w:pPr>
              <w:spacing w:after="0" w:line="240" w:lineRule="auto"/>
              <w:rPr>
                <w:rFonts w:hint="eastAsia"/>
              </w:rPr>
            </w:pPr>
            <w:r>
              <w:rPr>
                <w:sz w:val="15"/>
              </w:rPr>
              <w:t>Completion Under Policy and Risk Ratio for web-agent safety.</w:t>
            </w:r>
          </w:p>
        </w:tc>
        <w:tc>
          <w:tcPr>
            <w:tcW w:w="3744" w:type="dxa"/>
            <w:tcMar>
              <w:top w:w="70" w:type="dxa"/>
              <w:left w:w="90" w:type="dxa"/>
              <w:bottom w:w="70" w:type="dxa"/>
              <w:right w:w="90" w:type="dxa"/>
            </w:tcMar>
            <w:vAlign w:val="center"/>
          </w:tcPr>
          <w:p w14:paraId="04FB1010" w14:textId="77777777" w:rsidR="008E5FBD" w:rsidRDefault="00000000">
            <w:pPr>
              <w:spacing w:after="0" w:line="240" w:lineRule="auto"/>
              <w:rPr>
                <w:rFonts w:hint="eastAsia"/>
              </w:rPr>
            </w:pPr>
            <w:r>
              <w:rPr>
                <w:sz w:val="15"/>
              </w:rPr>
              <w:t>Closest conceptual bridge from task success to policy-compliant completion.</w:t>
            </w:r>
          </w:p>
        </w:tc>
      </w:tr>
      <w:tr w:rsidR="008E5FBD" w14:paraId="51ACDA63" w14:textId="77777777">
        <w:trPr>
          <w:jc w:val="center"/>
        </w:trPr>
        <w:tc>
          <w:tcPr>
            <w:tcW w:w="2232" w:type="dxa"/>
            <w:shd w:val="clear" w:color="auto" w:fill="F4F7FA"/>
            <w:tcMar>
              <w:top w:w="70" w:type="dxa"/>
              <w:left w:w="90" w:type="dxa"/>
              <w:bottom w:w="70" w:type="dxa"/>
              <w:right w:w="90" w:type="dxa"/>
            </w:tcMar>
            <w:vAlign w:val="center"/>
          </w:tcPr>
          <w:p w14:paraId="5E5F6E67" w14:textId="77777777" w:rsidR="008E5FBD" w:rsidRDefault="00000000">
            <w:pPr>
              <w:spacing w:after="0" w:line="240" w:lineRule="auto"/>
              <w:rPr>
                <w:rFonts w:hint="eastAsia"/>
              </w:rPr>
            </w:pPr>
            <w:r>
              <w:rPr>
                <w:sz w:val="15"/>
              </w:rPr>
              <w:t>DECEPTICON</w:t>
            </w:r>
          </w:p>
        </w:tc>
        <w:tc>
          <w:tcPr>
            <w:tcW w:w="3888" w:type="dxa"/>
            <w:shd w:val="clear" w:color="auto" w:fill="F4F7FA"/>
            <w:tcMar>
              <w:top w:w="70" w:type="dxa"/>
              <w:left w:w="90" w:type="dxa"/>
              <w:bottom w:w="70" w:type="dxa"/>
              <w:right w:w="90" w:type="dxa"/>
            </w:tcMar>
            <w:vAlign w:val="center"/>
          </w:tcPr>
          <w:p w14:paraId="0E1B49C0" w14:textId="77777777" w:rsidR="008E5FBD" w:rsidRDefault="00000000">
            <w:pPr>
              <w:spacing w:after="0" w:line="240" w:lineRule="auto"/>
              <w:rPr>
                <w:rFonts w:hint="eastAsia"/>
              </w:rPr>
            </w:pPr>
            <w:r>
              <w:rPr>
                <w:sz w:val="15"/>
              </w:rPr>
              <w:t>Large-scale dark-pattern susceptibility benchmark for web agents.</w:t>
            </w:r>
          </w:p>
        </w:tc>
        <w:tc>
          <w:tcPr>
            <w:tcW w:w="3744" w:type="dxa"/>
            <w:shd w:val="clear" w:color="auto" w:fill="F4F7FA"/>
            <w:tcMar>
              <w:top w:w="70" w:type="dxa"/>
              <w:left w:w="90" w:type="dxa"/>
              <w:bottom w:w="70" w:type="dxa"/>
              <w:right w:w="90" w:type="dxa"/>
            </w:tcMar>
            <w:vAlign w:val="center"/>
          </w:tcPr>
          <w:p w14:paraId="47E9068B" w14:textId="77777777" w:rsidR="008E5FBD" w:rsidRDefault="00000000">
            <w:pPr>
              <w:spacing w:after="0" w:line="240" w:lineRule="auto"/>
              <w:rPr>
                <w:rFonts w:hint="eastAsia"/>
              </w:rPr>
            </w:pPr>
            <w:r>
              <w:rPr>
                <w:sz w:val="15"/>
              </w:rPr>
              <w:t>Use to establish the threat and differentiate intervention evaluation from susceptibility measurement.</w:t>
            </w:r>
          </w:p>
        </w:tc>
      </w:tr>
      <w:tr w:rsidR="008E5FBD" w14:paraId="7487CB42" w14:textId="77777777">
        <w:trPr>
          <w:jc w:val="center"/>
        </w:trPr>
        <w:tc>
          <w:tcPr>
            <w:tcW w:w="2232" w:type="dxa"/>
            <w:tcMar>
              <w:top w:w="70" w:type="dxa"/>
              <w:left w:w="90" w:type="dxa"/>
              <w:bottom w:w="70" w:type="dxa"/>
              <w:right w:w="90" w:type="dxa"/>
            </w:tcMar>
            <w:vAlign w:val="center"/>
          </w:tcPr>
          <w:p w14:paraId="6F42E446" w14:textId="77777777" w:rsidR="008E5FBD" w:rsidRDefault="00000000">
            <w:pPr>
              <w:spacing w:after="0" w:line="240" w:lineRule="auto"/>
              <w:rPr>
                <w:rFonts w:hint="eastAsia"/>
              </w:rPr>
            </w:pPr>
            <w:r>
              <w:rPr>
                <w:sz w:val="15"/>
              </w:rPr>
              <w:t>Dark Patterns Meet GUI Agents</w:t>
            </w:r>
          </w:p>
        </w:tc>
        <w:tc>
          <w:tcPr>
            <w:tcW w:w="3888" w:type="dxa"/>
            <w:tcMar>
              <w:top w:w="70" w:type="dxa"/>
              <w:left w:w="90" w:type="dxa"/>
              <w:bottom w:w="70" w:type="dxa"/>
              <w:right w:w="90" w:type="dxa"/>
            </w:tcMar>
            <w:vAlign w:val="center"/>
          </w:tcPr>
          <w:p w14:paraId="743C493D" w14:textId="77777777" w:rsidR="008E5FBD" w:rsidRDefault="00000000">
            <w:pPr>
              <w:spacing w:after="0" w:line="240" w:lineRule="auto"/>
              <w:rPr>
                <w:rFonts w:hint="eastAsia"/>
              </w:rPr>
            </w:pPr>
            <w:r>
              <w:rPr>
                <w:sz w:val="15"/>
              </w:rPr>
              <w:t>Agent, human, and human-AI responses to manipulative interfaces.</w:t>
            </w:r>
          </w:p>
        </w:tc>
        <w:tc>
          <w:tcPr>
            <w:tcW w:w="3744" w:type="dxa"/>
            <w:tcMar>
              <w:top w:w="70" w:type="dxa"/>
              <w:left w:w="90" w:type="dxa"/>
              <w:bottom w:w="70" w:type="dxa"/>
              <w:right w:w="90" w:type="dxa"/>
            </w:tcMar>
            <w:vAlign w:val="center"/>
          </w:tcPr>
          <w:p w14:paraId="47D29415" w14:textId="77777777" w:rsidR="008E5FBD" w:rsidRDefault="00000000">
            <w:pPr>
              <w:spacing w:after="0" w:line="240" w:lineRule="auto"/>
              <w:rPr>
                <w:rFonts w:hint="eastAsia"/>
              </w:rPr>
            </w:pPr>
            <w:r>
              <w:rPr>
                <w:sz w:val="15"/>
              </w:rPr>
              <w:t>Use to motivate human calibration and the limits/costs of oversight.</w:t>
            </w:r>
          </w:p>
        </w:tc>
      </w:tr>
      <w:tr w:rsidR="008E5FBD" w14:paraId="7F27AA0A" w14:textId="77777777">
        <w:trPr>
          <w:jc w:val="center"/>
        </w:trPr>
        <w:tc>
          <w:tcPr>
            <w:tcW w:w="2232" w:type="dxa"/>
            <w:shd w:val="clear" w:color="auto" w:fill="F4F7FA"/>
            <w:tcMar>
              <w:top w:w="70" w:type="dxa"/>
              <w:left w:w="90" w:type="dxa"/>
              <w:bottom w:w="70" w:type="dxa"/>
              <w:right w:w="90" w:type="dxa"/>
            </w:tcMar>
            <w:vAlign w:val="center"/>
          </w:tcPr>
          <w:p w14:paraId="188D96D2" w14:textId="77777777" w:rsidR="008E5FBD" w:rsidRDefault="00000000">
            <w:pPr>
              <w:spacing w:after="0" w:line="240" w:lineRule="auto"/>
              <w:rPr>
                <w:rFonts w:hint="eastAsia"/>
              </w:rPr>
            </w:pPr>
            <w:r>
              <w:rPr>
                <w:sz w:val="15"/>
              </w:rPr>
              <w:t>VPI-Bench</w:t>
            </w:r>
          </w:p>
        </w:tc>
        <w:tc>
          <w:tcPr>
            <w:tcW w:w="3888" w:type="dxa"/>
            <w:shd w:val="clear" w:color="auto" w:fill="F4F7FA"/>
            <w:tcMar>
              <w:top w:w="70" w:type="dxa"/>
              <w:left w:w="90" w:type="dxa"/>
              <w:bottom w:w="70" w:type="dxa"/>
              <w:right w:w="90" w:type="dxa"/>
            </w:tcMar>
            <w:vAlign w:val="center"/>
          </w:tcPr>
          <w:p w14:paraId="0ADFA2BA" w14:textId="77777777" w:rsidR="008E5FBD" w:rsidRDefault="00000000">
            <w:pPr>
              <w:spacing w:after="0" w:line="240" w:lineRule="auto"/>
              <w:rPr>
                <w:rFonts w:hint="eastAsia"/>
              </w:rPr>
            </w:pPr>
            <w:r>
              <w:rPr>
                <w:sz w:val="15"/>
              </w:rPr>
              <w:t>Visual prompt-injection attacks for computer-use and browser-use agents.</w:t>
            </w:r>
          </w:p>
        </w:tc>
        <w:tc>
          <w:tcPr>
            <w:tcW w:w="3744" w:type="dxa"/>
            <w:shd w:val="clear" w:color="auto" w:fill="F4F7FA"/>
            <w:tcMar>
              <w:top w:w="70" w:type="dxa"/>
              <w:left w:w="90" w:type="dxa"/>
              <w:bottom w:w="70" w:type="dxa"/>
              <w:right w:w="90" w:type="dxa"/>
            </w:tcMar>
            <w:vAlign w:val="center"/>
          </w:tcPr>
          <w:p w14:paraId="40726208" w14:textId="77777777" w:rsidR="008E5FBD" w:rsidRDefault="00000000">
            <w:pPr>
              <w:spacing w:after="0" w:line="240" w:lineRule="auto"/>
              <w:rPr>
                <w:rFonts w:hint="eastAsia"/>
              </w:rPr>
            </w:pPr>
            <w:r>
              <w:rPr>
                <w:sz w:val="15"/>
              </w:rPr>
              <w:t>Use for multimodal channel threats and limited prompt-defense evidence.</w:t>
            </w:r>
          </w:p>
        </w:tc>
      </w:tr>
      <w:tr w:rsidR="008E5FBD" w14:paraId="26CF4DDE" w14:textId="77777777">
        <w:trPr>
          <w:jc w:val="center"/>
        </w:trPr>
        <w:tc>
          <w:tcPr>
            <w:tcW w:w="2232" w:type="dxa"/>
            <w:tcMar>
              <w:top w:w="70" w:type="dxa"/>
              <w:left w:w="90" w:type="dxa"/>
              <w:bottom w:w="70" w:type="dxa"/>
              <w:right w:w="90" w:type="dxa"/>
            </w:tcMar>
            <w:vAlign w:val="center"/>
          </w:tcPr>
          <w:p w14:paraId="2FB3395F" w14:textId="77777777" w:rsidR="008E5FBD" w:rsidRDefault="00000000">
            <w:pPr>
              <w:spacing w:after="0" w:line="240" w:lineRule="auto"/>
              <w:rPr>
                <w:rFonts w:hint="eastAsia"/>
              </w:rPr>
            </w:pPr>
            <w:r>
              <w:rPr>
                <w:sz w:val="15"/>
              </w:rPr>
              <w:t>Fine-Print Injections</w:t>
            </w:r>
          </w:p>
        </w:tc>
        <w:tc>
          <w:tcPr>
            <w:tcW w:w="3888" w:type="dxa"/>
            <w:tcMar>
              <w:top w:w="70" w:type="dxa"/>
              <w:left w:w="90" w:type="dxa"/>
              <w:bottom w:w="70" w:type="dxa"/>
              <w:right w:w="90" w:type="dxa"/>
            </w:tcMar>
            <w:vAlign w:val="center"/>
          </w:tcPr>
          <w:p w14:paraId="09ACAF08" w14:textId="77777777" w:rsidR="008E5FBD" w:rsidRDefault="00000000">
            <w:pPr>
              <w:spacing w:after="0" w:line="240" w:lineRule="auto"/>
              <w:rPr>
                <w:rFonts w:hint="eastAsia"/>
              </w:rPr>
            </w:pPr>
            <w:r>
              <w:rPr>
                <w:sz w:val="15"/>
              </w:rPr>
              <w:t>Contextually embedded GUI threats, privacy risks, six agents, and human participants.</w:t>
            </w:r>
          </w:p>
        </w:tc>
        <w:tc>
          <w:tcPr>
            <w:tcW w:w="3744" w:type="dxa"/>
            <w:tcMar>
              <w:top w:w="70" w:type="dxa"/>
              <w:left w:w="90" w:type="dxa"/>
              <w:bottom w:w="70" w:type="dxa"/>
              <w:right w:w="90" w:type="dxa"/>
            </w:tcMar>
            <w:vAlign w:val="center"/>
          </w:tcPr>
          <w:p w14:paraId="40C37E41" w14:textId="77777777" w:rsidR="008E5FBD" w:rsidRDefault="00000000">
            <w:pPr>
              <w:spacing w:after="0" w:line="240" w:lineRule="auto"/>
              <w:rPr>
                <w:rFonts w:hint="eastAsia"/>
              </w:rPr>
            </w:pPr>
            <w:r>
              <w:rPr>
                <w:sz w:val="15"/>
              </w:rPr>
              <w:t>Use for privacy/contextual-integrity framing and why human oversight is not a trivial baseline.</w:t>
            </w:r>
          </w:p>
        </w:tc>
      </w:tr>
      <w:tr w:rsidR="008E5FBD" w14:paraId="240D2986" w14:textId="77777777">
        <w:trPr>
          <w:jc w:val="center"/>
        </w:trPr>
        <w:tc>
          <w:tcPr>
            <w:tcW w:w="2232" w:type="dxa"/>
            <w:shd w:val="clear" w:color="auto" w:fill="F4F7FA"/>
            <w:tcMar>
              <w:top w:w="70" w:type="dxa"/>
              <w:left w:w="90" w:type="dxa"/>
              <w:bottom w:w="70" w:type="dxa"/>
              <w:right w:w="90" w:type="dxa"/>
            </w:tcMar>
            <w:vAlign w:val="center"/>
          </w:tcPr>
          <w:p w14:paraId="79EB17B6" w14:textId="77777777" w:rsidR="008E5FBD" w:rsidRDefault="00000000">
            <w:pPr>
              <w:spacing w:after="0" w:line="240" w:lineRule="auto"/>
              <w:rPr>
                <w:rFonts w:hint="eastAsia"/>
              </w:rPr>
            </w:pPr>
            <w:r>
              <w:rPr>
                <w:sz w:val="15"/>
              </w:rPr>
              <w:t>TRAP</w:t>
            </w:r>
          </w:p>
        </w:tc>
        <w:tc>
          <w:tcPr>
            <w:tcW w:w="3888" w:type="dxa"/>
            <w:shd w:val="clear" w:color="auto" w:fill="F4F7FA"/>
            <w:tcMar>
              <w:top w:w="70" w:type="dxa"/>
              <w:left w:w="90" w:type="dxa"/>
              <w:bottom w:w="70" w:type="dxa"/>
              <w:right w:w="90" w:type="dxa"/>
            </w:tcMar>
            <w:vAlign w:val="center"/>
          </w:tcPr>
          <w:p w14:paraId="4AF987B2" w14:textId="77777777" w:rsidR="008E5FBD" w:rsidRDefault="00000000">
            <w:pPr>
              <w:spacing w:after="0" w:line="240" w:lineRule="auto"/>
              <w:rPr>
                <w:rFonts w:hint="eastAsia"/>
              </w:rPr>
            </w:pPr>
            <w:r>
              <w:rPr>
                <w:sz w:val="15"/>
              </w:rPr>
              <w:t>Task-redirection through persuasion techniques in realistic web interfaces.</w:t>
            </w:r>
          </w:p>
        </w:tc>
        <w:tc>
          <w:tcPr>
            <w:tcW w:w="3744" w:type="dxa"/>
            <w:shd w:val="clear" w:color="auto" w:fill="F4F7FA"/>
            <w:tcMar>
              <w:top w:w="70" w:type="dxa"/>
              <w:left w:w="90" w:type="dxa"/>
              <w:bottom w:w="70" w:type="dxa"/>
              <w:right w:w="90" w:type="dxa"/>
            </w:tcMar>
            <w:vAlign w:val="center"/>
          </w:tcPr>
          <w:p w14:paraId="61D784C3" w14:textId="77777777" w:rsidR="008E5FBD" w:rsidRDefault="00000000">
            <w:pPr>
              <w:spacing w:after="0" w:line="240" w:lineRule="auto"/>
              <w:rPr>
                <w:rFonts w:hint="eastAsia"/>
              </w:rPr>
            </w:pPr>
            <w:r>
              <w:rPr>
                <w:sz w:val="15"/>
              </w:rPr>
              <w:t>Use to separate persuasive injection from deceptive choice architecture.</w:t>
            </w:r>
          </w:p>
        </w:tc>
      </w:tr>
      <w:tr w:rsidR="008E5FBD" w14:paraId="538DF769" w14:textId="77777777">
        <w:trPr>
          <w:jc w:val="center"/>
        </w:trPr>
        <w:tc>
          <w:tcPr>
            <w:tcW w:w="2232" w:type="dxa"/>
            <w:tcMar>
              <w:top w:w="70" w:type="dxa"/>
              <w:left w:w="90" w:type="dxa"/>
              <w:bottom w:w="70" w:type="dxa"/>
              <w:right w:w="90" w:type="dxa"/>
            </w:tcMar>
            <w:vAlign w:val="center"/>
          </w:tcPr>
          <w:p w14:paraId="27FEB6BF" w14:textId="77777777" w:rsidR="008E5FBD" w:rsidRDefault="00000000">
            <w:pPr>
              <w:spacing w:after="0" w:line="240" w:lineRule="auto"/>
              <w:rPr>
                <w:rFonts w:hint="eastAsia"/>
              </w:rPr>
            </w:pPr>
            <w:r>
              <w:rPr>
                <w:sz w:val="15"/>
              </w:rPr>
              <w:t>Gray et al.; Mathur et al.</w:t>
            </w:r>
          </w:p>
        </w:tc>
        <w:tc>
          <w:tcPr>
            <w:tcW w:w="3888" w:type="dxa"/>
            <w:tcMar>
              <w:top w:w="70" w:type="dxa"/>
              <w:left w:w="90" w:type="dxa"/>
              <w:bottom w:w="70" w:type="dxa"/>
              <w:right w:w="90" w:type="dxa"/>
            </w:tcMar>
            <w:vAlign w:val="center"/>
          </w:tcPr>
          <w:p w14:paraId="71B598A6" w14:textId="77777777" w:rsidR="008E5FBD" w:rsidRDefault="00000000">
            <w:pPr>
              <w:spacing w:after="0" w:line="240" w:lineRule="auto"/>
              <w:rPr>
                <w:rFonts w:hint="eastAsia"/>
              </w:rPr>
            </w:pPr>
            <w:r>
              <w:rPr>
                <w:sz w:val="15"/>
              </w:rPr>
              <w:t>Foundational HCI taxonomies and normative analysis of dark patterns.</w:t>
            </w:r>
          </w:p>
        </w:tc>
        <w:tc>
          <w:tcPr>
            <w:tcW w:w="3744" w:type="dxa"/>
            <w:tcMar>
              <w:top w:w="70" w:type="dxa"/>
              <w:left w:w="90" w:type="dxa"/>
              <w:bottom w:w="70" w:type="dxa"/>
              <w:right w:w="90" w:type="dxa"/>
            </w:tcMar>
            <w:vAlign w:val="center"/>
          </w:tcPr>
          <w:p w14:paraId="5EADFB49" w14:textId="77777777" w:rsidR="008E5FBD" w:rsidRDefault="00000000">
            <w:pPr>
              <w:spacing w:after="0" w:line="240" w:lineRule="auto"/>
              <w:rPr>
                <w:rFonts w:hint="eastAsia"/>
              </w:rPr>
            </w:pPr>
            <w:r>
              <w:rPr>
                <w:sz w:val="15"/>
              </w:rPr>
              <w:t>Use to justify high-level families, task mapping, and interdisciplinary framing.</w:t>
            </w:r>
          </w:p>
        </w:tc>
      </w:tr>
      <w:tr w:rsidR="008E5FBD" w14:paraId="43BB0737" w14:textId="77777777">
        <w:trPr>
          <w:jc w:val="center"/>
        </w:trPr>
        <w:tc>
          <w:tcPr>
            <w:tcW w:w="2232" w:type="dxa"/>
            <w:shd w:val="clear" w:color="auto" w:fill="F4F7FA"/>
            <w:tcMar>
              <w:top w:w="70" w:type="dxa"/>
              <w:left w:w="90" w:type="dxa"/>
              <w:bottom w:w="70" w:type="dxa"/>
              <w:right w:w="90" w:type="dxa"/>
            </w:tcMar>
            <w:vAlign w:val="center"/>
          </w:tcPr>
          <w:p w14:paraId="08595376" w14:textId="77777777" w:rsidR="008E5FBD" w:rsidRDefault="00000000">
            <w:pPr>
              <w:spacing w:after="0" w:line="240" w:lineRule="auto"/>
              <w:rPr>
                <w:rFonts w:hint="eastAsia"/>
              </w:rPr>
            </w:pPr>
            <w:r>
              <w:rPr>
                <w:sz w:val="15"/>
              </w:rPr>
              <w:t>Nouwens et al.; Luguri &amp; Strahilevitz</w:t>
            </w:r>
          </w:p>
        </w:tc>
        <w:tc>
          <w:tcPr>
            <w:tcW w:w="3888" w:type="dxa"/>
            <w:shd w:val="clear" w:color="auto" w:fill="F4F7FA"/>
            <w:tcMar>
              <w:top w:w="70" w:type="dxa"/>
              <w:left w:w="90" w:type="dxa"/>
              <w:bottom w:w="70" w:type="dxa"/>
              <w:right w:w="90" w:type="dxa"/>
            </w:tcMar>
            <w:vAlign w:val="center"/>
          </w:tcPr>
          <w:p w14:paraId="65E380F3" w14:textId="77777777" w:rsidR="008E5FBD" w:rsidRDefault="00000000">
            <w:pPr>
              <w:spacing w:after="0" w:line="240" w:lineRule="auto"/>
              <w:rPr>
                <w:rFonts w:hint="eastAsia"/>
              </w:rPr>
            </w:pPr>
            <w:r>
              <w:rPr>
                <w:sz w:val="15"/>
              </w:rPr>
              <w:t>Empirical and legal evidence of effects on consent and consumer choice.</w:t>
            </w:r>
          </w:p>
        </w:tc>
        <w:tc>
          <w:tcPr>
            <w:tcW w:w="3744" w:type="dxa"/>
            <w:shd w:val="clear" w:color="auto" w:fill="F4F7FA"/>
            <w:tcMar>
              <w:top w:w="70" w:type="dxa"/>
              <w:left w:w="90" w:type="dxa"/>
              <w:bottom w:w="70" w:type="dxa"/>
              <w:right w:w="90" w:type="dxa"/>
            </w:tcMar>
            <w:vAlign w:val="center"/>
          </w:tcPr>
          <w:p w14:paraId="63D6D520" w14:textId="77777777" w:rsidR="008E5FBD" w:rsidRDefault="00000000">
            <w:pPr>
              <w:spacing w:after="0" w:line="240" w:lineRule="auto"/>
              <w:rPr>
                <w:rFonts w:hint="eastAsia"/>
              </w:rPr>
            </w:pPr>
            <w:r>
              <w:rPr>
                <w:sz w:val="15"/>
              </w:rPr>
              <w:t>Use to ground financial, privacy, consent, and autonomy harms.</w:t>
            </w:r>
          </w:p>
        </w:tc>
      </w:tr>
    </w:tbl>
    <w:p w14:paraId="7910939B" w14:textId="77777777" w:rsidR="008E5FBD" w:rsidRDefault="008E5FBD">
      <w:pPr>
        <w:spacing w:after="0"/>
        <w:rPr>
          <w:rFonts w:hint="eastAsia"/>
        </w:rPr>
      </w:pPr>
    </w:p>
    <w:p w14:paraId="0BFB9E38" w14:textId="77777777" w:rsidR="008E5FBD" w:rsidRDefault="00000000">
      <w:pPr>
        <w:pStyle w:val="Heading2"/>
      </w:pPr>
      <w:r>
        <w:t>8.5 Literature extraction assignment for Ke</w:t>
      </w:r>
    </w:p>
    <w:p w14:paraId="4EF17607" w14:textId="77777777" w:rsidR="008E5FBD" w:rsidRDefault="00000000">
      <w:pPr>
        <w:rPr>
          <w:rFonts w:hint="eastAsia"/>
        </w:rPr>
      </w:pPr>
      <w:r>
        <w:t>For every cited benchmark or study, Ke should add one row to a shared matrix with the following fields: threat source, user intent, environment, number of tasks, models evaluated, outcome definition, intervention type, scorer, human baseline, social-harm category, artifact availability, and one-sentence distinction from our work.</w:t>
      </w:r>
    </w:p>
    <w:p w14:paraId="2049C06A" w14:textId="77777777" w:rsidR="008E5FBD" w:rsidRDefault="00000000">
      <w:pPr>
        <w:pStyle w:val="Heading1"/>
      </w:pPr>
      <w:r>
        <w:t>9. Verified Formal References</w:t>
      </w:r>
    </w:p>
    <w:p w14:paraId="48675C21" w14:textId="77777777" w:rsidR="008E5FBD" w:rsidRDefault="00000000">
      <w:pPr>
        <w:pStyle w:val="Reference"/>
        <w:rPr>
          <w:rFonts w:hint="eastAsia"/>
        </w:rPr>
      </w:pPr>
      <w:r>
        <w:t xml:space="preserve">[1] Trustworthy AI for Good @ NeurIPS 2026. “Call for Papers and Submission Guidelines.” 2026. </w:t>
      </w:r>
      <w:hyperlink r:id="rId9">
        <w:r>
          <w:rPr>
            <w:color w:val="0563C1"/>
            <w:u w:val="single"/>
          </w:rPr>
          <w:t>Source</w:t>
        </w:r>
      </w:hyperlink>
    </w:p>
    <w:p w14:paraId="40462B9D" w14:textId="77777777" w:rsidR="008E5FBD" w:rsidRDefault="00000000">
      <w:pPr>
        <w:pStyle w:val="Reference"/>
        <w:rPr>
          <w:rFonts w:hint="eastAsia"/>
        </w:rPr>
      </w:pPr>
      <w:r>
        <w:t xml:space="preserve">[2] Edoardo Debenedetti, Jie Zhang, Mislav Balunovic, Luca Beurer-Kellner, Marc Fischer, and Florian Tramèr. 2024. “AgentDojo: A Dynamic Environment to Evaluate Prompt Injection Attacks and Defenses for LLM Agents.” Advances in Neural Information Processing Systems 37, Datasets and Benchmarks Track. </w:t>
      </w:r>
      <w:hyperlink r:id="rId10">
        <w:r>
          <w:rPr>
            <w:color w:val="0563C1"/>
            <w:u w:val="single"/>
          </w:rPr>
          <w:t>Source</w:t>
        </w:r>
      </w:hyperlink>
    </w:p>
    <w:p w14:paraId="5F0406C4" w14:textId="77777777" w:rsidR="008E5FBD" w:rsidRDefault="00000000">
      <w:pPr>
        <w:pStyle w:val="Reference"/>
        <w:rPr>
          <w:rFonts w:hint="eastAsia"/>
        </w:rPr>
      </w:pPr>
      <w:r>
        <w:t xml:space="preserve">[3] Ivan Evtimov, Arman Zharmagambetov, Aaron Grattafiori, Chuan Guo, and Kamalika Chaudhuri. 2025. “WASP: Benchmarking Web Agent Security Against Prompt Injection Attacks.” Advances in Neural Information Processing Systems 38, Datasets and Benchmarks Track. </w:t>
      </w:r>
      <w:hyperlink r:id="rId11">
        <w:r>
          <w:rPr>
            <w:color w:val="0563C1"/>
            <w:u w:val="single"/>
          </w:rPr>
          <w:t>Source</w:t>
        </w:r>
      </w:hyperlink>
    </w:p>
    <w:p w14:paraId="38847A26" w14:textId="77777777" w:rsidR="008E5FBD" w:rsidRDefault="00000000">
      <w:pPr>
        <w:pStyle w:val="Reference"/>
        <w:rPr>
          <w:rFonts w:hint="eastAsia"/>
        </w:rPr>
      </w:pPr>
      <w:r>
        <w:t xml:space="preserve">[4] Thomas Kuntz, Agatha Duzan, Hao Zhao, Francesco Croce, Zico Kolter, Nicolas Flammarion, and Maksym Andriushchenko. 2025. “OS-Harm: A Benchmark for Measuring Safety of Computer Use Agents.” Advances in Neural Information Processing Systems 38, Datasets and Benchmarks Track. </w:t>
      </w:r>
      <w:hyperlink r:id="rId12">
        <w:r>
          <w:rPr>
            <w:color w:val="0563C1"/>
            <w:u w:val="single"/>
          </w:rPr>
          <w:t>Source</w:t>
        </w:r>
      </w:hyperlink>
    </w:p>
    <w:p w14:paraId="4D4EE1B0" w14:textId="77777777" w:rsidR="008E5FBD" w:rsidRDefault="00000000">
      <w:pPr>
        <w:pStyle w:val="Reference"/>
        <w:rPr>
          <w:rFonts w:hint="eastAsia"/>
        </w:rPr>
      </w:pPr>
      <w:r>
        <w:t xml:space="preserve">[5] Jingyi Yang, Shuai Shao, Dongrui Liu, and Jing Shao. 2025. “RiOSWorld: Benchmarking the Risk of Multimodal Computer-Use Agents.” Advances in Neural Information Processing Systems 38. </w:t>
      </w:r>
      <w:hyperlink r:id="rId13">
        <w:r>
          <w:rPr>
            <w:color w:val="0563C1"/>
            <w:u w:val="single"/>
          </w:rPr>
          <w:t>Source</w:t>
        </w:r>
      </w:hyperlink>
    </w:p>
    <w:p w14:paraId="66350DA1" w14:textId="77777777" w:rsidR="008E5FBD" w:rsidRDefault="00000000">
      <w:pPr>
        <w:pStyle w:val="Reference"/>
        <w:rPr>
          <w:rFonts w:hint="eastAsia"/>
        </w:rPr>
      </w:pPr>
      <w:r>
        <w:lastRenderedPageBreak/>
        <w:t xml:space="preserve">[6] Chengquan Guo et al. 2024. “RedCode: Risky Code Execution and Generation Benchmark for Code Agents.” Advances in Neural Information Processing Systems 37, Datasets and Benchmarks Track. </w:t>
      </w:r>
      <w:hyperlink r:id="rId14">
        <w:r>
          <w:rPr>
            <w:color w:val="0563C1"/>
            <w:u w:val="single"/>
          </w:rPr>
          <w:t>Source</w:t>
        </w:r>
      </w:hyperlink>
    </w:p>
    <w:p w14:paraId="1C58BA86" w14:textId="77777777" w:rsidR="008E5FBD" w:rsidRDefault="00000000">
      <w:pPr>
        <w:pStyle w:val="Reference"/>
        <w:rPr>
          <w:rFonts w:hint="eastAsia"/>
        </w:rPr>
      </w:pPr>
      <w:r>
        <w:t xml:space="preserve">[7] Mingzhe Xing, Rongkai Zhang, Hui Xue, Qi Chen, Fan Yang, and Zhen Xiao. 2024. “Understanding the Weakness of Large Language Model Agents within a Complex Android Environment.” In Proceedings of the 30th ACM SIGKDD Conference on Knowledge Discovery and Data Mining, 6061-6072. https://doi.org/10.1145/3637528.3671650. </w:t>
      </w:r>
      <w:hyperlink r:id="rId15">
        <w:r>
          <w:rPr>
            <w:color w:val="0563C1"/>
            <w:u w:val="single"/>
          </w:rPr>
          <w:t>Source</w:t>
        </w:r>
      </w:hyperlink>
    </w:p>
    <w:p w14:paraId="12F862C6" w14:textId="77777777" w:rsidR="008E5FBD" w:rsidRDefault="00000000">
      <w:pPr>
        <w:pStyle w:val="Reference"/>
        <w:rPr>
          <w:rFonts w:hint="eastAsia"/>
        </w:rPr>
      </w:pPr>
      <w:r>
        <w:t xml:space="preserve">[8] Jingwei Yi, Yueqi Xie, Bin Zhu, Emre Kiciman, Guangzhong Sun, Xing Xie, and Fangzhao Wu. 2025. “Benchmarking and Defending Against Indirect Prompt Injection Attacks on Large Language Models.” In Proceedings of the 31st ACM SIGKDD Conference on Knowledge Discovery and Data Mining V.1, 1809-1820. https://doi.org/10.1145/3690624.3709179. </w:t>
      </w:r>
      <w:hyperlink r:id="rId16">
        <w:r>
          <w:rPr>
            <w:color w:val="0563C1"/>
            <w:u w:val="single"/>
          </w:rPr>
          <w:t>Source</w:t>
        </w:r>
      </w:hyperlink>
    </w:p>
    <w:p w14:paraId="5DF21354" w14:textId="77777777" w:rsidR="008E5FBD" w:rsidRDefault="00000000">
      <w:pPr>
        <w:pStyle w:val="Reference"/>
        <w:rPr>
          <w:rFonts w:hint="eastAsia"/>
        </w:rPr>
      </w:pPr>
      <w:r>
        <w:t xml:space="preserve">[9] Mahmoud Mohammadi, Yipeng Li, Jane Lo, and Wendy Yip. 2025. “Evaluation and Benchmarking of LLM Agents: A Survey.” In Proceedings of the 31st ACM SIGKDD Conference on Knowledge Discovery and Data Mining V.2. https://doi.org/10.1145/3711896.3736570. </w:t>
      </w:r>
      <w:hyperlink r:id="rId17">
        <w:r>
          <w:rPr>
            <w:color w:val="0563C1"/>
            <w:u w:val="single"/>
          </w:rPr>
          <w:t>Source</w:t>
        </w:r>
      </w:hyperlink>
    </w:p>
    <w:p w14:paraId="2ADC6FB5" w14:textId="77777777" w:rsidR="008E5FBD" w:rsidRDefault="00000000">
      <w:pPr>
        <w:pStyle w:val="Reference"/>
        <w:rPr>
          <w:rFonts w:hint="eastAsia"/>
        </w:rPr>
      </w:pPr>
      <w:r>
        <w:t xml:space="preserve">[10] Miao Yu et al. 2025. “A Survey on Trustworthy LLM Agents: Threats and Countermeasures.” In Proceedings of the 31st ACM SIGKDD Conference on Knowledge Discovery and Data Mining V.2. https://doi.org/10.1145/3711896.3736561. </w:t>
      </w:r>
      <w:hyperlink r:id="rId18">
        <w:r>
          <w:rPr>
            <w:color w:val="0563C1"/>
            <w:u w:val="single"/>
          </w:rPr>
          <w:t>Source</w:t>
        </w:r>
      </w:hyperlink>
    </w:p>
    <w:p w14:paraId="65B645B3" w14:textId="77777777" w:rsidR="008E5FBD" w:rsidRDefault="00000000">
      <w:pPr>
        <w:pStyle w:val="Reference"/>
        <w:rPr>
          <w:rFonts w:hint="eastAsia"/>
        </w:rPr>
      </w:pPr>
      <w:r>
        <w:t xml:space="preserve">[11] Liangbo Ning et al. 2025. “A Survey of WebAgents: Towards Next-Generation AI Agents for Web Automation with Large Foundation Models.” In Proceedings of the 31st ACM SIGKDD Conference on Knowledge Discovery and Data Mining V.2. https://doi.org/10.1145/3711896.3736555. </w:t>
      </w:r>
      <w:hyperlink r:id="rId19">
        <w:r>
          <w:rPr>
            <w:color w:val="0563C1"/>
            <w:u w:val="single"/>
          </w:rPr>
          <w:t>Source</w:t>
        </w:r>
      </w:hyperlink>
    </w:p>
    <w:p w14:paraId="1C9CC0CB" w14:textId="77777777" w:rsidR="008E5FBD" w:rsidRDefault="00000000">
      <w:pPr>
        <w:pStyle w:val="Reference"/>
        <w:rPr>
          <w:rFonts w:hint="eastAsia"/>
        </w:rPr>
      </w:pPr>
      <w:r>
        <w:t xml:space="preserve">[12] Haoze Guo and Ziqi Wei. 2026. “Hidden-in-Plain-Text: A Benchmark for Social-Web Indirect Prompt Injection in RAG.” In Proceedings of the ACM Web Conference 2026. https://doi.org/10.1145/3774904.3792853. </w:t>
      </w:r>
      <w:hyperlink r:id="rId20">
        <w:r>
          <w:rPr>
            <w:color w:val="0563C1"/>
            <w:u w:val="single"/>
          </w:rPr>
          <w:t>Source</w:t>
        </w:r>
      </w:hyperlink>
    </w:p>
    <w:p w14:paraId="449CDA47" w14:textId="77777777" w:rsidR="008E5FBD" w:rsidRDefault="00000000">
      <w:pPr>
        <w:pStyle w:val="Reference"/>
        <w:rPr>
          <w:rFonts w:hint="eastAsia"/>
        </w:rPr>
      </w:pPr>
      <w:r>
        <w:t xml:space="preserve">[13] Sunghwan Kim, Ryang Heo, Yongsik Seo, Jinyoung Yeo, and Dongha Lee. 2026. “AgenticShop: Benchmarking Agentic Product Curation for Personalized Web Shopping.” In Proceedings of the ACM Web Conference 2026, 2489-2500. https://doi.org/10.1145/3774904.3792724. </w:t>
      </w:r>
      <w:hyperlink r:id="rId21">
        <w:r>
          <w:rPr>
            <w:color w:val="0563C1"/>
            <w:u w:val="single"/>
          </w:rPr>
          <w:t>Source</w:t>
        </w:r>
      </w:hyperlink>
    </w:p>
    <w:p w14:paraId="506EA7EA" w14:textId="77777777" w:rsidR="008E5FBD" w:rsidRDefault="00000000">
      <w:pPr>
        <w:pStyle w:val="Reference"/>
        <w:rPr>
          <w:rFonts w:hint="eastAsia"/>
        </w:rPr>
      </w:pPr>
      <w:r>
        <w:t xml:space="preserve">[14] Yuanyi Song et al. 2026. “ColorBench: Benchmarking Mobile Agents with Graph-Structured Framework for Complex Long-Horizon Tasks.” In Proceedings of the ACM Web Conference 2026, 7024-7035. https://doi.org/10.1145/3774904.3792215. </w:t>
      </w:r>
      <w:hyperlink r:id="rId22">
        <w:r>
          <w:rPr>
            <w:color w:val="0563C1"/>
            <w:u w:val="single"/>
          </w:rPr>
          <w:t>Source</w:t>
        </w:r>
      </w:hyperlink>
    </w:p>
    <w:p w14:paraId="402C98D8" w14:textId="77777777" w:rsidR="008E5FBD" w:rsidRDefault="00000000">
      <w:pPr>
        <w:pStyle w:val="Reference"/>
        <w:rPr>
          <w:rFonts w:hint="eastAsia"/>
        </w:rPr>
      </w:pPr>
      <w:r>
        <w:t xml:space="preserve">[15] Ido Levy, Ben Wiesel, Sami Marreed, Alon Oved, Avi Yaeli, and Segev Shlomov. 2024. “ST-WebAgentBench: A Benchmark for Evaluating Safety and Trustworthiness in Web Agents.” arXiv:2410.06703. </w:t>
      </w:r>
      <w:hyperlink r:id="rId23">
        <w:r>
          <w:rPr>
            <w:color w:val="0563C1"/>
            <w:u w:val="single"/>
          </w:rPr>
          <w:t>Source</w:t>
        </w:r>
      </w:hyperlink>
    </w:p>
    <w:p w14:paraId="09F07256" w14:textId="77777777" w:rsidR="008E5FBD" w:rsidRDefault="00000000">
      <w:pPr>
        <w:pStyle w:val="Reference"/>
        <w:rPr>
          <w:rFonts w:hint="eastAsia"/>
        </w:rPr>
      </w:pPr>
      <w:r>
        <w:t xml:space="preserve">[16] Phil Cuvin, Hao Zhu, and Diyi Yang. 2025. “DECEPTICON: How Dark Patterns Manipulate Web Agents.” arXiv:2512.22894. </w:t>
      </w:r>
      <w:hyperlink r:id="rId24">
        <w:r>
          <w:rPr>
            <w:color w:val="0563C1"/>
            <w:u w:val="single"/>
          </w:rPr>
          <w:t>Source</w:t>
        </w:r>
      </w:hyperlink>
    </w:p>
    <w:p w14:paraId="685EF4E1" w14:textId="77777777" w:rsidR="008E5FBD" w:rsidRDefault="00000000">
      <w:pPr>
        <w:pStyle w:val="Reference"/>
        <w:rPr>
          <w:rFonts w:hint="eastAsia"/>
        </w:rPr>
      </w:pPr>
      <w:r>
        <w:t xml:space="preserve">[17] Jingyu Tang et al. 2025. “Dark Patterns Meet GUI Agents: LLM Agent Susceptibility to Manipulative Interfaces and the Role of Human Oversight.” arXiv:2509.10723. </w:t>
      </w:r>
      <w:hyperlink r:id="rId25">
        <w:r>
          <w:rPr>
            <w:color w:val="0563C1"/>
            <w:u w:val="single"/>
          </w:rPr>
          <w:t>Source</w:t>
        </w:r>
      </w:hyperlink>
    </w:p>
    <w:p w14:paraId="1DE538F4" w14:textId="77777777" w:rsidR="008E5FBD" w:rsidRDefault="00000000">
      <w:pPr>
        <w:pStyle w:val="Reference"/>
        <w:rPr>
          <w:rFonts w:hint="eastAsia"/>
        </w:rPr>
      </w:pPr>
      <w:r>
        <w:t xml:space="preserve">[18] Tri Cao et al. 2025. “VPI-Bench: Visual Prompt Injection Attacks for Computer-Use Agents.” arXiv:2506.02456. </w:t>
      </w:r>
      <w:hyperlink r:id="rId26">
        <w:r>
          <w:rPr>
            <w:color w:val="0563C1"/>
            <w:u w:val="single"/>
          </w:rPr>
          <w:t>Source</w:t>
        </w:r>
      </w:hyperlink>
    </w:p>
    <w:p w14:paraId="7DC69A9D" w14:textId="77777777" w:rsidR="008E5FBD" w:rsidRDefault="00000000">
      <w:pPr>
        <w:pStyle w:val="Reference"/>
        <w:rPr>
          <w:rFonts w:hint="eastAsia"/>
        </w:rPr>
      </w:pPr>
      <w:r>
        <w:t xml:space="preserve">[19] Chaoran Chen et al. 2025. “The Obvious Invisible Threat: LLM-Powered GUI Agents’ Vulnerability to Fine-Print Injections.” arXiv:2504.11281. </w:t>
      </w:r>
      <w:hyperlink r:id="rId27">
        <w:r>
          <w:rPr>
            <w:color w:val="0563C1"/>
            <w:u w:val="single"/>
          </w:rPr>
          <w:t>Source</w:t>
        </w:r>
      </w:hyperlink>
    </w:p>
    <w:p w14:paraId="47267F28" w14:textId="77777777" w:rsidR="008E5FBD" w:rsidRDefault="00000000">
      <w:pPr>
        <w:pStyle w:val="Reference"/>
        <w:rPr>
          <w:rFonts w:hint="eastAsia"/>
        </w:rPr>
      </w:pPr>
      <w:r>
        <w:t xml:space="preserve">[20] Karolina Korgul et al. 2025. “It’s a TRAP! Task-Redirecting Agent Persuasion Benchmark for Web Agents.” arXiv:2512.23128. </w:t>
      </w:r>
      <w:hyperlink r:id="rId28">
        <w:r>
          <w:rPr>
            <w:color w:val="0563C1"/>
            <w:u w:val="single"/>
          </w:rPr>
          <w:t>Source</w:t>
        </w:r>
      </w:hyperlink>
    </w:p>
    <w:p w14:paraId="2AE9009E" w14:textId="77777777" w:rsidR="008E5FBD" w:rsidRDefault="00000000">
      <w:pPr>
        <w:pStyle w:val="Reference"/>
        <w:rPr>
          <w:rFonts w:hint="eastAsia"/>
        </w:rPr>
      </w:pPr>
      <w:r>
        <w:t xml:space="preserve">[21] Colin M. Gray, Yubo Kou, Bryan Battles, Joseph Hoggatt, and Austin L. Toombs. 2018. “The Dark (Patterns) Side of UX Design.” In Proceedings of the 2018 CHI Conference on Human Factors in Computing Systems. https://doi.org/10.1145/3173574.3174108. </w:t>
      </w:r>
      <w:hyperlink r:id="rId29">
        <w:r>
          <w:rPr>
            <w:color w:val="0563C1"/>
            <w:u w:val="single"/>
          </w:rPr>
          <w:t>Source</w:t>
        </w:r>
      </w:hyperlink>
    </w:p>
    <w:p w14:paraId="47C97421" w14:textId="77777777" w:rsidR="008E5FBD" w:rsidRDefault="00000000">
      <w:pPr>
        <w:pStyle w:val="Reference"/>
        <w:rPr>
          <w:rFonts w:hint="eastAsia"/>
        </w:rPr>
      </w:pPr>
      <w:r>
        <w:t xml:space="preserve">[22] Arunesh Mathur, Jonathan Mayer, and Mihir Kshirsagar. 2021. “What Makes a Dark Pattern... Dark? Design Attributes, Normative Considerations, and Measurement Methods.” In Proceedings of the 2021 CHI Conference on Human Factors in Computing Systems. https://doi.org/10.1145/3411764.3445610. </w:t>
      </w:r>
      <w:hyperlink r:id="rId30">
        <w:r>
          <w:rPr>
            <w:color w:val="0563C1"/>
            <w:u w:val="single"/>
          </w:rPr>
          <w:t>Source</w:t>
        </w:r>
      </w:hyperlink>
    </w:p>
    <w:p w14:paraId="167901D0" w14:textId="77777777" w:rsidR="008E5FBD" w:rsidRDefault="00000000">
      <w:pPr>
        <w:pStyle w:val="Reference"/>
        <w:rPr>
          <w:rFonts w:hint="eastAsia"/>
        </w:rPr>
      </w:pPr>
      <w:r>
        <w:t xml:space="preserve">[23] Midas Nouwens, Ilaria Liccardi, Michael Veale, David Karger, and Lalana Kagal. 2020. “Dark Patterns after the GDPR: Scraping Consent Pop-ups and Demonstrating their Influence.” In Proceedings of the 2020 CHI Conference on Human Factors in Computing Systems. https://doi.org/10.1145/3313831.3376321. </w:t>
      </w:r>
      <w:hyperlink r:id="rId31">
        <w:r>
          <w:rPr>
            <w:color w:val="0563C1"/>
            <w:u w:val="single"/>
          </w:rPr>
          <w:t>Source</w:t>
        </w:r>
      </w:hyperlink>
    </w:p>
    <w:p w14:paraId="3B474AA6" w14:textId="77777777" w:rsidR="008E5FBD" w:rsidRDefault="00000000">
      <w:pPr>
        <w:pStyle w:val="Reference"/>
        <w:rPr>
          <w:rFonts w:hint="eastAsia"/>
        </w:rPr>
      </w:pPr>
      <w:r>
        <w:t xml:space="preserve">[24] Jamie Luguri and Lior Jacob Strahilevitz. 2021. “Shining a Light on Dark Patterns.” Journal of Legal Analysis 13(1): 43-109. https://doi.org/10.1093/jla/laaa006. </w:t>
      </w:r>
      <w:hyperlink r:id="rId32">
        <w:r>
          <w:rPr>
            <w:color w:val="0563C1"/>
            <w:u w:val="single"/>
          </w:rPr>
          <w:t>Source</w:t>
        </w:r>
      </w:hyperlink>
    </w:p>
    <w:p w14:paraId="3907A416" w14:textId="77777777" w:rsidR="008E5FBD" w:rsidRDefault="00000000">
      <w:pPr>
        <w:pStyle w:val="Reference"/>
        <w:rPr>
          <w:rFonts w:hint="eastAsia"/>
        </w:rPr>
      </w:pPr>
      <w:r>
        <w:t xml:space="preserve">[25] Eric Wallace, Kai Xiao, Reimar Leike, Lilian Weng, Johannes Heidecke, and Alex Beutel. 2024. “The Instruction Hierarchy: Training LLMs to Prioritize Privileged Instructions.” arXiv:2404.13208. </w:t>
      </w:r>
      <w:hyperlink r:id="rId33">
        <w:r>
          <w:rPr>
            <w:color w:val="0563C1"/>
            <w:u w:val="single"/>
          </w:rPr>
          <w:t>Source</w:t>
        </w:r>
      </w:hyperlink>
    </w:p>
    <w:p w14:paraId="752EBB67" w14:textId="77777777" w:rsidR="008E5FBD" w:rsidRDefault="00000000">
      <w:pPr>
        <w:pStyle w:val="Heading1"/>
      </w:pPr>
      <w:r>
        <w:t>10. Final Quality-Control Gate for Sunshine</w:t>
      </w:r>
    </w:p>
    <w:tbl>
      <w:tblPr>
        <w:tblStyle w:val="TableGrid"/>
        <w:tblW w:w="0" w:type="auto"/>
        <w:jc w:val="center"/>
        <w:tblLook w:val="04A0" w:firstRow="1" w:lastRow="0" w:firstColumn="1" w:lastColumn="0" w:noHBand="0" w:noVBand="1"/>
      </w:tblPr>
      <w:tblGrid>
        <w:gridCol w:w="1944"/>
        <w:gridCol w:w="7920"/>
      </w:tblGrid>
      <w:tr w:rsidR="008E5FBD" w14:paraId="0D19B8E4" w14:textId="77777777">
        <w:trPr>
          <w:tblHeader/>
          <w:jc w:val="center"/>
        </w:trPr>
        <w:tc>
          <w:tcPr>
            <w:tcW w:w="1944" w:type="dxa"/>
            <w:shd w:val="clear" w:color="auto" w:fill="D9EAF7"/>
            <w:tcMar>
              <w:top w:w="70" w:type="dxa"/>
              <w:left w:w="90" w:type="dxa"/>
              <w:bottom w:w="70" w:type="dxa"/>
              <w:right w:w="90" w:type="dxa"/>
            </w:tcMar>
            <w:vAlign w:val="center"/>
          </w:tcPr>
          <w:p w14:paraId="1CD84F56" w14:textId="77777777" w:rsidR="008E5FBD" w:rsidRDefault="00000000">
            <w:pPr>
              <w:spacing w:after="0" w:line="240" w:lineRule="auto"/>
              <w:rPr>
                <w:rFonts w:hint="eastAsia"/>
              </w:rPr>
            </w:pPr>
            <w:r>
              <w:rPr>
                <w:b/>
                <w:color w:val="1F3758"/>
                <w:sz w:val="16"/>
              </w:rPr>
              <w:t>Gate</w:t>
            </w:r>
          </w:p>
        </w:tc>
        <w:tc>
          <w:tcPr>
            <w:tcW w:w="7920" w:type="dxa"/>
            <w:shd w:val="clear" w:color="auto" w:fill="D9EAF7"/>
            <w:tcMar>
              <w:top w:w="70" w:type="dxa"/>
              <w:left w:w="90" w:type="dxa"/>
              <w:bottom w:w="70" w:type="dxa"/>
              <w:right w:w="90" w:type="dxa"/>
            </w:tcMar>
            <w:vAlign w:val="center"/>
          </w:tcPr>
          <w:p w14:paraId="316865E4" w14:textId="77777777" w:rsidR="008E5FBD" w:rsidRDefault="00000000">
            <w:pPr>
              <w:spacing w:after="0" w:line="240" w:lineRule="auto"/>
              <w:rPr>
                <w:rFonts w:hint="eastAsia"/>
              </w:rPr>
            </w:pPr>
            <w:r>
              <w:rPr>
                <w:b/>
                <w:color w:val="1F3758"/>
                <w:sz w:val="16"/>
              </w:rPr>
              <w:t>Pass condition</w:t>
            </w:r>
          </w:p>
        </w:tc>
      </w:tr>
      <w:tr w:rsidR="008E5FBD" w14:paraId="7B5DD8A8" w14:textId="77777777">
        <w:trPr>
          <w:jc w:val="center"/>
        </w:trPr>
        <w:tc>
          <w:tcPr>
            <w:tcW w:w="1944" w:type="dxa"/>
            <w:tcMar>
              <w:top w:w="70" w:type="dxa"/>
              <w:left w:w="90" w:type="dxa"/>
              <w:bottom w:w="70" w:type="dxa"/>
              <w:right w:w="90" w:type="dxa"/>
            </w:tcMar>
            <w:vAlign w:val="center"/>
          </w:tcPr>
          <w:p w14:paraId="2ED6CD3C" w14:textId="77777777" w:rsidR="008E5FBD" w:rsidRDefault="00000000">
            <w:pPr>
              <w:spacing w:after="0" w:line="240" w:lineRule="auto"/>
              <w:rPr>
                <w:rFonts w:hint="eastAsia"/>
              </w:rPr>
            </w:pPr>
            <w:r>
              <w:rPr>
                <w:sz w:val="16"/>
              </w:rPr>
              <w:t>Scientific scope</w:t>
            </w:r>
          </w:p>
        </w:tc>
        <w:tc>
          <w:tcPr>
            <w:tcW w:w="7920" w:type="dxa"/>
            <w:tcMar>
              <w:top w:w="70" w:type="dxa"/>
              <w:left w:w="90" w:type="dxa"/>
              <w:bottom w:w="70" w:type="dxa"/>
              <w:right w:w="90" w:type="dxa"/>
            </w:tcMar>
            <w:vAlign w:val="center"/>
          </w:tcPr>
          <w:p w14:paraId="018C3870" w14:textId="77777777" w:rsidR="008E5FBD" w:rsidRDefault="00000000">
            <w:pPr>
              <w:spacing w:after="0" w:line="240" w:lineRule="auto"/>
              <w:rPr>
                <w:rFonts w:hint="eastAsia"/>
              </w:rPr>
            </w:pPr>
            <w:r>
              <w:rPr>
                <w:sz w:val="16"/>
              </w:rPr>
              <w:t>Every general statement is supported by evidence or clearly labeled as a hypothesis/future study.</w:t>
            </w:r>
          </w:p>
        </w:tc>
      </w:tr>
      <w:tr w:rsidR="008E5FBD" w14:paraId="2AFEA8AC" w14:textId="77777777">
        <w:trPr>
          <w:jc w:val="center"/>
        </w:trPr>
        <w:tc>
          <w:tcPr>
            <w:tcW w:w="1944" w:type="dxa"/>
            <w:shd w:val="clear" w:color="auto" w:fill="F4F7FA"/>
            <w:tcMar>
              <w:top w:w="70" w:type="dxa"/>
              <w:left w:w="90" w:type="dxa"/>
              <w:bottom w:w="70" w:type="dxa"/>
              <w:right w:w="90" w:type="dxa"/>
            </w:tcMar>
            <w:vAlign w:val="center"/>
          </w:tcPr>
          <w:p w14:paraId="5A4D992C" w14:textId="77777777" w:rsidR="008E5FBD" w:rsidRDefault="00000000">
            <w:pPr>
              <w:spacing w:after="0" w:line="240" w:lineRule="auto"/>
              <w:rPr>
                <w:rFonts w:hint="eastAsia"/>
              </w:rPr>
            </w:pPr>
            <w:r>
              <w:rPr>
                <w:sz w:val="16"/>
              </w:rPr>
              <w:t>Workshop fit</w:t>
            </w:r>
          </w:p>
        </w:tc>
        <w:tc>
          <w:tcPr>
            <w:tcW w:w="7920" w:type="dxa"/>
            <w:shd w:val="clear" w:color="auto" w:fill="F4F7FA"/>
            <w:tcMar>
              <w:top w:w="70" w:type="dxa"/>
              <w:left w:w="90" w:type="dxa"/>
              <w:bottom w:w="70" w:type="dxa"/>
              <w:right w:w="90" w:type="dxa"/>
            </w:tcMar>
            <w:vAlign w:val="center"/>
          </w:tcPr>
          <w:p w14:paraId="6DFA00D4" w14:textId="77777777" w:rsidR="008E5FBD" w:rsidRDefault="00000000">
            <w:pPr>
              <w:spacing w:after="0" w:line="240" w:lineRule="auto"/>
              <w:rPr>
                <w:rFonts w:hint="eastAsia"/>
              </w:rPr>
            </w:pPr>
            <w:r>
              <w:rPr>
                <w:sz w:val="16"/>
              </w:rPr>
              <w:t>Abstract and introduction identify beneficiaries, protected interests, and unintended harms.</w:t>
            </w:r>
          </w:p>
        </w:tc>
      </w:tr>
      <w:tr w:rsidR="008E5FBD" w14:paraId="7BCF7870" w14:textId="77777777">
        <w:trPr>
          <w:jc w:val="center"/>
        </w:trPr>
        <w:tc>
          <w:tcPr>
            <w:tcW w:w="1944" w:type="dxa"/>
            <w:tcMar>
              <w:top w:w="70" w:type="dxa"/>
              <w:left w:w="90" w:type="dxa"/>
              <w:bottom w:w="70" w:type="dxa"/>
              <w:right w:w="90" w:type="dxa"/>
            </w:tcMar>
            <w:vAlign w:val="center"/>
          </w:tcPr>
          <w:p w14:paraId="0699984B" w14:textId="77777777" w:rsidR="008E5FBD" w:rsidRDefault="00000000">
            <w:pPr>
              <w:spacing w:after="0" w:line="240" w:lineRule="auto"/>
              <w:rPr>
                <w:rFonts w:hint="eastAsia"/>
              </w:rPr>
            </w:pPr>
            <w:r>
              <w:rPr>
                <w:sz w:val="16"/>
              </w:rPr>
              <w:t>Empirical integrity</w:t>
            </w:r>
          </w:p>
        </w:tc>
        <w:tc>
          <w:tcPr>
            <w:tcW w:w="7920" w:type="dxa"/>
            <w:tcMar>
              <w:top w:w="70" w:type="dxa"/>
              <w:left w:w="90" w:type="dxa"/>
              <w:bottom w:w="70" w:type="dxa"/>
              <w:right w:w="90" w:type="dxa"/>
            </w:tcMar>
            <w:vAlign w:val="center"/>
          </w:tcPr>
          <w:p w14:paraId="4D742580" w14:textId="77777777" w:rsidR="008E5FBD" w:rsidRDefault="00000000">
            <w:pPr>
              <w:spacing w:after="0" w:line="240" w:lineRule="auto"/>
              <w:rPr>
                <w:rFonts w:hint="eastAsia"/>
              </w:rPr>
            </w:pPr>
            <w:r>
              <w:rPr>
                <w:sz w:val="16"/>
              </w:rPr>
              <w:t>Counts, denominators, intervals, invalid runs, and reruns are fully documented.</w:t>
            </w:r>
          </w:p>
        </w:tc>
      </w:tr>
      <w:tr w:rsidR="008E5FBD" w14:paraId="4727CFDE" w14:textId="77777777">
        <w:trPr>
          <w:jc w:val="center"/>
        </w:trPr>
        <w:tc>
          <w:tcPr>
            <w:tcW w:w="1944" w:type="dxa"/>
            <w:shd w:val="clear" w:color="auto" w:fill="F4F7FA"/>
            <w:tcMar>
              <w:top w:w="70" w:type="dxa"/>
              <w:left w:w="90" w:type="dxa"/>
              <w:bottom w:w="70" w:type="dxa"/>
              <w:right w:w="90" w:type="dxa"/>
            </w:tcMar>
            <w:vAlign w:val="center"/>
          </w:tcPr>
          <w:p w14:paraId="614C51D4" w14:textId="77777777" w:rsidR="008E5FBD" w:rsidRDefault="00000000">
            <w:pPr>
              <w:spacing w:after="0" w:line="240" w:lineRule="auto"/>
              <w:rPr>
                <w:rFonts w:hint="eastAsia"/>
              </w:rPr>
            </w:pPr>
            <w:r>
              <w:rPr>
                <w:sz w:val="16"/>
              </w:rPr>
              <w:t>Cross-agent study</w:t>
            </w:r>
          </w:p>
        </w:tc>
        <w:tc>
          <w:tcPr>
            <w:tcW w:w="7920" w:type="dxa"/>
            <w:shd w:val="clear" w:color="auto" w:fill="F4F7FA"/>
            <w:tcMar>
              <w:top w:w="70" w:type="dxa"/>
              <w:left w:w="90" w:type="dxa"/>
              <w:bottom w:w="70" w:type="dxa"/>
              <w:right w:w="90" w:type="dxa"/>
            </w:tcMar>
            <w:vAlign w:val="center"/>
          </w:tcPr>
          <w:p w14:paraId="47EC167F" w14:textId="77777777" w:rsidR="008E5FBD" w:rsidRDefault="00000000">
            <w:pPr>
              <w:spacing w:after="0" w:line="240" w:lineRule="auto"/>
              <w:rPr>
                <w:rFonts w:hint="eastAsia"/>
              </w:rPr>
            </w:pPr>
            <w:r>
              <w:rPr>
                <w:sz w:val="16"/>
              </w:rPr>
              <w:t>Same benchmark and scorer; any scaffold changes are disclosed.</w:t>
            </w:r>
          </w:p>
        </w:tc>
      </w:tr>
      <w:tr w:rsidR="008E5FBD" w14:paraId="6EE68FE3" w14:textId="77777777">
        <w:trPr>
          <w:jc w:val="center"/>
        </w:trPr>
        <w:tc>
          <w:tcPr>
            <w:tcW w:w="1944" w:type="dxa"/>
            <w:tcMar>
              <w:top w:w="70" w:type="dxa"/>
              <w:left w:w="90" w:type="dxa"/>
              <w:bottom w:w="70" w:type="dxa"/>
              <w:right w:w="90" w:type="dxa"/>
            </w:tcMar>
            <w:vAlign w:val="center"/>
          </w:tcPr>
          <w:p w14:paraId="5D5E474C" w14:textId="77777777" w:rsidR="008E5FBD" w:rsidRDefault="00000000">
            <w:pPr>
              <w:spacing w:after="0" w:line="240" w:lineRule="auto"/>
              <w:rPr>
                <w:rFonts w:hint="eastAsia"/>
              </w:rPr>
            </w:pPr>
            <w:r>
              <w:rPr>
                <w:sz w:val="16"/>
              </w:rPr>
              <w:t>Supplement</w:t>
            </w:r>
          </w:p>
        </w:tc>
        <w:tc>
          <w:tcPr>
            <w:tcW w:w="7920" w:type="dxa"/>
            <w:tcMar>
              <w:top w:w="70" w:type="dxa"/>
              <w:left w:w="90" w:type="dxa"/>
              <w:bottom w:w="70" w:type="dxa"/>
              <w:right w:w="90" w:type="dxa"/>
            </w:tcMar>
            <w:vAlign w:val="center"/>
          </w:tcPr>
          <w:p w14:paraId="04E20BAD" w14:textId="77777777" w:rsidR="008E5FBD" w:rsidRDefault="00000000">
            <w:pPr>
              <w:spacing w:after="0" w:line="240" w:lineRule="auto"/>
              <w:rPr>
                <w:rFonts w:hint="eastAsia"/>
              </w:rPr>
            </w:pPr>
            <w:r>
              <w:rPr>
                <w:sz w:val="16"/>
              </w:rPr>
              <w:t>Only completed E results are reported; exploratory status is explicit.</w:t>
            </w:r>
          </w:p>
        </w:tc>
      </w:tr>
      <w:tr w:rsidR="008E5FBD" w14:paraId="3B27A674" w14:textId="77777777">
        <w:trPr>
          <w:jc w:val="center"/>
        </w:trPr>
        <w:tc>
          <w:tcPr>
            <w:tcW w:w="1944" w:type="dxa"/>
            <w:shd w:val="clear" w:color="auto" w:fill="F4F7FA"/>
            <w:tcMar>
              <w:top w:w="70" w:type="dxa"/>
              <w:left w:w="90" w:type="dxa"/>
              <w:bottom w:w="70" w:type="dxa"/>
              <w:right w:w="90" w:type="dxa"/>
            </w:tcMar>
            <w:vAlign w:val="center"/>
          </w:tcPr>
          <w:p w14:paraId="1E2ADF78" w14:textId="77777777" w:rsidR="008E5FBD" w:rsidRDefault="00000000">
            <w:pPr>
              <w:spacing w:after="0" w:line="240" w:lineRule="auto"/>
              <w:rPr>
                <w:rFonts w:hint="eastAsia"/>
              </w:rPr>
            </w:pPr>
            <w:r>
              <w:rPr>
                <w:sz w:val="16"/>
              </w:rPr>
              <w:t>Anonymity</w:t>
            </w:r>
          </w:p>
        </w:tc>
        <w:tc>
          <w:tcPr>
            <w:tcW w:w="7920" w:type="dxa"/>
            <w:shd w:val="clear" w:color="auto" w:fill="F4F7FA"/>
            <w:tcMar>
              <w:top w:w="70" w:type="dxa"/>
              <w:left w:w="90" w:type="dxa"/>
              <w:bottom w:w="70" w:type="dxa"/>
              <w:right w:w="90" w:type="dxa"/>
            </w:tcMar>
            <w:vAlign w:val="center"/>
          </w:tcPr>
          <w:p w14:paraId="6DCBB690" w14:textId="77777777" w:rsidR="008E5FBD" w:rsidRDefault="00000000">
            <w:pPr>
              <w:spacing w:after="0" w:line="240" w:lineRule="auto"/>
              <w:rPr>
                <w:rFonts w:hint="eastAsia"/>
              </w:rPr>
            </w:pPr>
            <w:r>
              <w:rPr>
                <w:sz w:val="16"/>
              </w:rPr>
              <w:t>Paper, repository, logs, metadata, screenshots, and links do not reveal author identity.</w:t>
            </w:r>
          </w:p>
        </w:tc>
      </w:tr>
      <w:tr w:rsidR="008E5FBD" w14:paraId="41386788" w14:textId="77777777">
        <w:trPr>
          <w:jc w:val="center"/>
        </w:trPr>
        <w:tc>
          <w:tcPr>
            <w:tcW w:w="1944" w:type="dxa"/>
            <w:tcMar>
              <w:top w:w="70" w:type="dxa"/>
              <w:left w:w="90" w:type="dxa"/>
              <w:bottom w:w="70" w:type="dxa"/>
              <w:right w:w="90" w:type="dxa"/>
            </w:tcMar>
            <w:vAlign w:val="center"/>
          </w:tcPr>
          <w:p w14:paraId="7B297871" w14:textId="77777777" w:rsidR="008E5FBD" w:rsidRDefault="00000000">
            <w:pPr>
              <w:spacing w:after="0" w:line="240" w:lineRule="auto"/>
              <w:rPr>
                <w:rFonts w:hint="eastAsia"/>
              </w:rPr>
            </w:pPr>
            <w:r>
              <w:rPr>
                <w:sz w:val="16"/>
              </w:rPr>
              <w:t>Artifact</w:t>
            </w:r>
          </w:p>
        </w:tc>
        <w:tc>
          <w:tcPr>
            <w:tcW w:w="7920" w:type="dxa"/>
            <w:tcMar>
              <w:top w:w="70" w:type="dxa"/>
              <w:left w:w="90" w:type="dxa"/>
              <w:bottom w:w="70" w:type="dxa"/>
              <w:right w:w="90" w:type="dxa"/>
            </w:tcMar>
            <w:vAlign w:val="center"/>
          </w:tcPr>
          <w:p w14:paraId="00FE921F" w14:textId="77777777" w:rsidR="008E5FBD" w:rsidRDefault="00000000">
            <w:pPr>
              <w:spacing w:after="0" w:line="240" w:lineRule="auto"/>
              <w:rPr>
                <w:rFonts w:hint="eastAsia"/>
              </w:rPr>
            </w:pPr>
            <w:r>
              <w:rPr>
                <w:sz w:val="16"/>
              </w:rPr>
              <w:t>All links work when logged out; reproduction commands work in a clean environment.</w:t>
            </w:r>
          </w:p>
        </w:tc>
      </w:tr>
      <w:tr w:rsidR="008E5FBD" w14:paraId="3BFDAA7B" w14:textId="77777777">
        <w:trPr>
          <w:jc w:val="center"/>
        </w:trPr>
        <w:tc>
          <w:tcPr>
            <w:tcW w:w="1944" w:type="dxa"/>
            <w:shd w:val="clear" w:color="auto" w:fill="F4F7FA"/>
            <w:tcMar>
              <w:top w:w="70" w:type="dxa"/>
              <w:left w:w="90" w:type="dxa"/>
              <w:bottom w:w="70" w:type="dxa"/>
              <w:right w:w="90" w:type="dxa"/>
            </w:tcMar>
            <w:vAlign w:val="center"/>
          </w:tcPr>
          <w:p w14:paraId="2BE8B60F" w14:textId="77777777" w:rsidR="008E5FBD" w:rsidRDefault="00000000">
            <w:pPr>
              <w:spacing w:after="0" w:line="240" w:lineRule="auto"/>
              <w:rPr>
                <w:rFonts w:hint="eastAsia"/>
              </w:rPr>
            </w:pPr>
            <w:r>
              <w:rPr>
                <w:sz w:val="16"/>
              </w:rPr>
              <w:t>References</w:t>
            </w:r>
          </w:p>
        </w:tc>
        <w:tc>
          <w:tcPr>
            <w:tcW w:w="7920" w:type="dxa"/>
            <w:shd w:val="clear" w:color="auto" w:fill="F4F7FA"/>
            <w:tcMar>
              <w:top w:w="70" w:type="dxa"/>
              <w:left w:w="90" w:type="dxa"/>
              <w:bottom w:w="70" w:type="dxa"/>
              <w:right w:w="90" w:type="dxa"/>
            </w:tcMar>
            <w:vAlign w:val="center"/>
          </w:tcPr>
          <w:p w14:paraId="199D20BD" w14:textId="77777777" w:rsidR="008E5FBD" w:rsidRDefault="00000000">
            <w:pPr>
              <w:spacing w:after="0" w:line="240" w:lineRule="auto"/>
              <w:rPr>
                <w:rFonts w:hint="eastAsia"/>
              </w:rPr>
            </w:pPr>
            <w:r>
              <w:rPr>
                <w:sz w:val="16"/>
              </w:rPr>
              <w:t>Formal venue citations are used where available; arXiv items are labeled as preprints.</w:t>
            </w:r>
          </w:p>
        </w:tc>
      </w:tr>
      <w:tr w:rsidR="008E5FBD" w14:paraId="7E0FFE0A" w14:textId="77777777">
        <w:trPr>
          <w:jc w:val="center"/>
        </w:trPr>
        <w:tc>
          <w:tcPr>
            <w:tcW w:w="1944" w:type="dxa"/>
            <w:tcMar>
              <w:top w:w="70" w:type="dxa"/>
              <w:left w:w="90" w:type="dxa"/>
              <w:bottom w:w="70" w:type="dxa"/>
              <w:right w:w="90" w:type="dxa"/>
            </w:tcMar>
            <w:vAlign w:val="center"/>
          </w:tcPr>
          <w:p w14:paraId="0D8216E4" w14:textId="77777777" w:rsidR="008E5FBD" w:rsidRDefault="00000000">
            <w:pPr>
              <w:spacing w:after="0" w:line="240" w:lineRule="auto"/>
              <w:rPr>
                <w:rFonts w:hint="eastAsia"/>
              </w:rPr>
            </w:pPr>
            <w:r>
              <w:rPr>
                <w:sz w:val="16"/>
              </w:rPr>
              <w:t>Page limit</w:t>
            </w:r>
          </w:p>
        </w:tc>
        <w:tc>
          <w:tcPr>
            <w:tcW w:w="7920" w:type="dxa"/>
            <w:tcMar>
              <w:top w:w="70" w:type="dxa"/>
              <w:left w:w="90" w:type="dxa"/>
              <w:bottom w:w="70" w:type="dxa"/>
              <w:right w:w="90" w:type="dxa"/>
            </w:tcMar>
            <w:vAlign w:val="center"/>
          </w:tcPr>
          <w:p w14:paraId="52B4D303" w14:textId="77777777" w:rsidR="008E5FBD" w:rsidRDefault="00000000">
            <w:pPr>
              <w:spacing w:after="0" w:line="240" w:lineRule="auto"/>
              <w:rPr>
                <w:rFonts w:hint="eastAsia"/>
              </w:rPr>
            </w:pPr>
            <w:r>
              <w:rPr>
                <w:sz w:val="16"/>
              </w:rPr>
              <w:t>Main text is 2-8 pages excluding references and appendices.</w:t>
            </w:r>
          </w:p>
        </w:tc>
      </w:tr>
      <w:tr w:rsidR="008E5FBD" w14:paraId="357A1A7E" w14:textId="77777777">
        <w:trPr>
          <w:jc w:val="center"/>
        </w:trPr>
        <w:tc>
          <w:tcPr>
            <w:tcW w:w="1944" w:type="dxa"/>
            <w:shd w:val="clear" w:color="auto" w:fill="F4F7FA"/>
            <w:tcMar>
              <w:top w:w="70" w:type="dxa"/>
              <w:left w:w="90" w:type="dxa"/>
              <w:bottom w:w="70" w:type="dxa"/>
              <w:right w:w="90" w:type="dxa"/>
            </w:tcMar>
            <w:vAlign w:val="center"/>
          </w:tcPr>
          <w:p w14:paraId="4691D1AC" w14:textId="77777777" w:rsidR="008E5FBD" w:rsidRDefault="00000000">
            <w:pPr>
              <w:spacing w:after="0" w:line="240" w:lineRule="auto"/>
              <w:rPr>
                <w:rFonts w:hint="eastAsia"/>
              </w:rPr>
            </w:pPr>
            <w:r>
              <w:rPr>
                <w:sz w:val="16"/>
              </w:rPr>
              <w:lastRenderedPageBreak/>
              <w:t>Submission</w:t>
            </w:r>
          </w:p>
        </w:tc>
        <w:tc>
          <w:tcPr>
            <w:tcW w:w="7920" w:type="dxa"/>
            <w:shd w:val="clear" w:color="auto" w:fill="F4F7FA"/>
            <w:tcMar>
              <w:top w:w="70" w:type="dxa"/>
              <w:left w:w="90" w:type="dxa"/>
              <w:bottom w:w="70" w:type="dxa"/>
              <w:right w:w="90" w:type="dxa"/>
            </w:tcMar>
            <w:vAlign w:val="center"/>
          </w:tcPr>
          <w:p w14:paraId="6325A00E" w14:textId="77777777" w:rsidR="008E5FBD" w:rsidRDefault="00000000">
            <w:pPr>
              <w:spacing w:after="0" w:line="240" w:lineRule="auto"/>
              <w:rPr>
                <w:rFonts w:hint="eastAsia"/>
              </w:rPr>
            </w:pPr>
            <w:r>
              <w:rPr>
                <w:sz w:val="16"/>
              </w:rPr>
              <w:t>Correct General Track, final PDF, supplement, and artifact uploaded before August 29 AoE.</w:t>
            </w:r>
          </w:p>
        </w:tc>
      </w:tr>
    </w:tbl>
    <w:p w14:paraId="285732B6" w14:textId="77777777" w:rsidR="008E5FBD" w:rsidRDefault="008E5FBD">
      <w:pPr>
        <w:spacing w:after="0"/>
        <w:rPr>
          <w:rFonts w:hint="eastAsia"/>
        </w:rPr>
      </w:pPr>
    </w:p>
    <w:p w14:paraId="344128EA" w14:textId="77777777" w:rsidR="008E5FBD" w:rsidRDefault="00000000">
      <w:pPr>
        <w:pStyle w:val="Heading1"/>
      </w:pPr>
      <w:r>
        <w:t>Appendix A. Required File Naming</w:t>
      </w:r>
    </w:p>
    <w:p w14:paraId="42CB66B5" w14:textId="77777777" w:rsidR="008E5FBD" w:rsidRDefault="00000000">
      <w:pPr>
        <w:pStyle w:val="ListBullet"/>
        <w:spacing w:after="40"/>
        <w:rPr>
          <w:rFonts w:hint="eastAsia"/>
        </w:rPr>
      </w:pPr>
      <w:r>
        <w:t>paper_v1_AC_2026-08-09.pdf</w:t>
      </w:r>
    </w:p>
    <w:p w14:paraId="10301575" w14:textId="77777777" w:rsidR="008E5FBD" w:rsidRDefault="00000000">
      <w:pPr>
        <w:pStyle w:val="ListBullet"/>
        <w:spacing w:after="40"/>
        <w:rPr>
          <w:rFonts w:hint="eastAsia"/>
        </w:rPr>
      </w:pPr>
      <w:r>
        <w:t>paper_v2_D_2026-08-16.pdf</w:t>
      </w:r>
    </w:p>
    <w:p w14:paraId="1FB3EBF8" w14:textId="77777777" w:rsidR="008E5FBD" w:rsidRDefault="00000000">
      <w:pPr>
        <w:pStyle w:val="ListBullet"/>
        <w:rPr>
          <w:rFonts w:hint="eastAsia"/>
        </w:rPr>
      </w:pPr>
      <w:r>
        <w:t>paper_v3_E_2026-08-24.pdf (optional)</w:t>
      </w:r>
    </w:p>
    <w:p w14:paraId="547040FD" w14:textId="77777777" w:rsidR="008E5FBD" w:rsidRDefault="00000000">
      <w:pPr>
        <w:pStyle w:val="ListBullet"/>
        <w:rPr>
          <w:rFonts w:hint="eastAsia"/>
        </w:rPr>
      </w:pPr>
      <w:r>
        <w:t>supplement_v3_2026-08-24.pdf (optional)</w:t>
      </w:r>
    </w:p>
    <w:p w14:paraId="717A1714" w14:textId="77777777" w:rsidR="008E5FBD" w:rsidRDefault="008E5FBD">
      <w:pPr>
        <w:rPr>
          <w:rFonts w:hint="eastAsia"/>
        </w:rPr>
      </w:pPr>
    </w:p>
    <w:p w14:paraId="73D44D0E" w14:textId="77777777" w:rsidR="008E5FBD" w:rsidRDefault="008E5FBD">
      <w:pPr>
        <w:rPr>
          <w:rFonts w:hint="eastAsia"/>
        </w:rPr>
      </w:pPr>
    </w:p>
    <w:p w14:paraId="329CF66B" w14:textId="77777777" w:rsidR="008E5FBD" w:rsidRDefault="00000000">
      <w:pPr>
        <w:pStyle w:val="ListBullet"/>
        <w:spacing w:after="40"/>
        <w:rPr>
          <w:rFonts w:hint="eastAsia"/>
        </w:rPr>
      </w:pPr>
      <w:r>
        <w:t>supplement_v1_2026-08-09.pdf</w:t>
      </w:r>
    </w:p>
    <w:p w14:paraId="4AA622BD" w14:textId="77777777" w:rsidR="008E5FBD" w:rsidRDefault="00000000">
      <w:pPr>
        <w:pStyle w:val="ListBullet"/>
        <w:spacing w:after="40"/>
        <w:rPr>
          <w:rFonts w:hint="eastAsia"/>
        </w:rPr>
      </w:pPr>
      <w:r>
        <w:t>supplement_v2_2026-08-16.pdf</w:t>
      </w:r>
    </w:p>
    <w:p w14:paraId="628F8B85" w14:textId="77777777" w:rsidR="008E5FBD" w:rsidRDefault="00000000">
      <w:pPr>
        <w:pStyle w:val="ListBullet"/>
        <w:spacing w:after="40"/>
        <w:rPr>
          <w:rFonts w:hint="eastAsia"/>
        </w:rPr>
      </w:pPr>
      <w:r>
        <w:t>reviewer_revision_matrix.xlsx or .csv</w:t>
      </w:r>
    </w:p>
    <w:p w14:paraId="37E84582" w14:textId="77777777" w:rsidR="008E5FBD" w:rsidRDefault="00000000">
      <w:pPr>
        <w:pStyle w:val="ListBullet"/>
        <w:spacing w:after="40"/>
        <w:rPr>
          <w:rFonts w:hint="eastAsia"/>
        </w:rPr>
      </w:pPr>
      <w:r>
        <w:t>literature_extraction_matrix.xlsx or .csv</w:t>
      </w:r>
    </w:p>
    <w:p w14:paraId="64BF5E0C" w14:textId="77777777" w:rsidR="008E5FBD" w:rsidRDefault="00000000">
      <w:pPr>
        <w:pStyle w:val="ListBullet"/>
        <w:spacing w:after="40"/>
        <w:rPr>
          <w:rFonts w:hint="eastAsia"/>
        </w:rPr>
      </w:pPr>
      <w:r>
        <w:t>run_manifest_v2.csv</w:t>
      </w:r>
    </w:p>
    <w:p w14:paraId="1C87D9B0" w14:textId="77777777" w:rsidR="008E5FBD" w:rsidRDefault="00000000">
      <w:pPr>
        <w:pStyle w:val="ListBullet"/>
        <w:spacing w:after="40"/>
        <w:rPr>
          <w:rFonts w:hint="eastAsia"/>
        </w:rPr>
      </w:pPr>
      <w:r>
        <w:t>failure_audit_v2.md</w:t>
      </w:r>
    </w:p>
    <w:p w14:paraId="22B6FAEC" w14:textId="77777777" w:rsidR="008E5FBD" w:rsidRDefault="00000000">
      <w:pPr>
        <w:pStyle w:val="ListBullet"/>
        <w:spacing w:after="40"/>
        <w:rPr>
          <w:rFonts w:hint="eastAsia"/>
        </w:rPr>
      </w:pPr>
      <w:r>
        <w:t>artifact_verification_log.md</w:t>
      </w:r>
    </w:p>
    <w:p w14:paraId="60C4FC3C" w14:textId="77777777" w:rsidR="008E5FBD" w:rsidRDefault="00000000">
      <w:pPr>
        <w:pStyle w:val="Heading1"/>
      </w:pPr>
      <w:r>
        <w:t>Appendix B. Reviewer Concern to Revision Mapping</w:t>
      </w:r>
    </w:p>
    <w:tbl>
      <w:tblPr>
        <w:tblStyle w:val="TableGrid"/>
        <w:tblW w:w="0" w:type="auto"/>
        <w:jc w:val="center"/>
        <w:tblLook w:val="04A0" w:firstRow="1" w:lastRow="0" w:firstColumn="1" w:lastColumn="0" w:noHBand="0" w:noVBand="1"/>
      </w:tblPr>
      <w:tblGrid>
        <w:gridCol w:w="3240"/>
        <w:gridCol w:w="6624"/>
      </w:tblGrid>
      <w:tr w:rsidR="008E5FBD" w14:paraId="269A7F62" w14:textId="77777777">
        <w:trPr>
          <w:tblHeader/>
          <w:jc w:val="center"/>
        </w:trPr>
        <w:tc>
          <w:tcPr>
            <w:tcW w:w="3240" w:type="dxa"/>
            <w:shd w:val="clear" w:color="auto" w:fill="D9EAF7"/>
            <w:tcMar>
              <w:top w:w="70" w:type="dxa"/>
              <w:left w:w="90" w:type="dxa"/>
              <w:bottom w:w="70" w:type="dxa"/>
              <w:right w:w="90" w:type="dxa"/>
            </w:tcMar>
            <w:vAlign w:val="center"/>
          </w:tcPr>
          <w:p w14:paraId="000D7519" w14:textId="77777777" w:rsidR="008E5FBD" w:rsidRDefault="00000000">
            <w:pPr>
              <w:spacing w:after="0" w:line="240" w:lineRule="auto"/>
              <w:rPr>
                <w:rFonts w:hint="eastAsia"/>
              </w:rPr>
            </w:pPr>
            <w:r>
              <w:rPr>
                <w:b/>
                <w:color w:val="1F3758"/>
                <w:sz w:val="16"/>
              </w:rPr>
              <w:t>Review concern</w:t>
            </w:r>
          </w:p>
        </w:tc>
        <w:tc>
          <w:tcPr>
            <w:tcW w:w="6624" w:type="dxa"/>
            <w:shd w:val="clear" w:color="auto" w:fill="D9EAF7"/>
            <w:tcMar>
              <w:top w:w="70" w:type="dxa"/>
              <w:left w:w="90" w:type="dxa"/>
              <w:bottom w:w="70" w:type="dxa"/>
              <w:right w:w="90" w:type="dxa"/>
            </w:tcMar>
            <w:vAlign w:val="center"/>
          </w:tcPr>
          <w:p w14:paraId="1F51F7C2" w14:textId="77777777" w:rsidR="008E5FBD" w:rsidRDefault="00000000">
            <w:pPr>
              <w:spacing w:after="0" w:line="240" w:lineRule="auto"/>
              <w:rPr>
                <w:rFonts w:hint="eastAsia"/>
              </w:rPr>
            </w:pPr>
            <w:r>
              <w:rPr>
                <w:b/>
                <w:color w:val="1F3758"/>
                <w:sz w:val="16"/>
              </w:rPr>
              <w:t>Revision response</w:t>
            </w:r>
          </w:p>
        </w:tc>
      </w:tr>
      <w:tr w:rsidR="008E5FBD" w14:paraId="25D91436" w14:textId="77777777">
        <w:trPr>
          <w:jc w:val="center"/>
        </w:trPr>
        <w:tc>
          <w:tcPr>
            <w:tcW w:w="3240" w:type="dxa"/>
            <w:tcMar>
              <w:top w:w="70" w:type="dxa"/>
              <w:left w:w="90" w:type="dxa"/>
              <w:bottom w:w="70" w:type="dxa"/>
              <w:right w:w="90" w:type="dxa"/>
            </w:tcMar>
            <w:vAlign w:val="center"/>
          </w:tcPr>
          <w:p w14:paraId="101592AB" w14:textId="77777777" w:rsidR="008E5FBD" w:rsidRDefault="00000000">
            <w:pPr>
              <w:spacing w:after="0" w:line="240" w:lineRule="auto"/>
              <w:rPr>
                <w:rFonts w:hint="eastAsia"/>
              </w:rPr>
            </w:pPr>
            <w:r>
              <w:rPr>
                <w:sz w:val="16"/>
              </w:rPr>
              <w:t>All reviewers: single-agent evaluation</w:t>
            </w:r>
          </w:p>
        </w:tc>
        <w:tc>
          <w:tcPr>
            <w:tcW w:w="6624" w:type="dxa"/>
            <w:tcMar>
              <w:top w:w="70" w:type="dxa"/>
              <w:left w:w="90" w:type="dxa"/>
              <w:bottom w:w="70" w:type="dxa"/>
              <w:right w:w="90" w:type="dxa"/>
            </w:tcMar>
            <w:vAlign w:val="center"/>
          </w:tcPr>
          <w:p w14:paraId="26A86936" w14:textId="77777777" w:rsidR="008E5FBD" w:rsidRDefault="00000000">
            <w:pPr>
              <w:spacing w:after="0" w:line="240" w:lineRule="auto"/>
              <w:rPr>
                <w:rFonts w:hint="eastAsia"/>
              </w:rPr>
            </w:pPr>
            <w:r>
              <w:rPr>
                <w:sz w:val="16"/>
              </w:rPr>
              <w:t>D cross-agent replication by August 16; narrower claims in A-C.</w:t>
            </w:r>
          </w:p>
        </w:tc>
      </w:tr>
      <w:tr w:rsidR="008E5FBD" w14:paraId="4873ADCD" w14:textId="77777777">
        <w:trPr>
          <w:jc w:val="center"/>
        </w:trPr>
        <w:tc>
          <w:tcPr>
            <w:tcW w:w="3240" w:type="dxa"/>
            <w:shd w:val="clear" w:color="auto" w:fill="F4F7FA"/>
            <w:tcMar>
              <w:top w:w="70" w:type="dxa"/>
              <w:left w:w="90" w:type="dxa"/>
              <w:bottom w:w="70" w:type="dxa"/>
              <w:right w:w="90" w:type="dxa"/>
            </w:tcMar>
            <w:vAlign w:val="center"/>
          </w:tcPr>
          <w:p w14:paraId="13E91C0F" w14:textId="77777777" w:rsidR="008E5FBD" w:rsidRDefault="00000000">
            <w:pPr>
              <w:spacing w:after="0" w:line="240" w:lineRule="auto"/>
              <w:rPr>
                <w:rFonts w:hint="eastAsia"/>
              </w:rPr>
            </w:pPr>
            <w:r>
              <w:rPr>
                <w:sz w:val="16"/>
              </w:rPr>
              <w:t>8SaC and gfWn: warning wording conflict</w:t>
            </w:r>
          </w:p>
        </w:tc>
        <w:tc>
          <w:tcPr>
            <w:tcW w:w="6624" w:type="dxa"/>
            <w:shd w:val="clear" w:color="auto" w:fill="F4F7FA"/>
            <w:tcMar>
              <w:top w:w="70" w:type="dxa"/>
              <w:left w:w="90" w:type="dxa"/>
              <w:bottom w:w="70" w:type="dxa"/>
              <w:right w:w="90" w:type="dxa"/>
            </w:tcMar>
            <w:vAlign w:val="center"/>
          </w:tcPr>
          <w:p w14:paraId="70E62704" w14:textId="77777777" w:rsidR="008E5FBD" w:rsidRDefault="00000000">
            <w:pPr>
              <w:spacing w:after="0" w:line="240" w:lineRule="auto"/>
              <w:rPr>
                <w:rFonts w:hint="eastAsia"/>
              </w:rPr>
            </w:pPr>
            <w:r>
              <w:rPr>
                <w:sz w:val="16"/>
              </w:rPr>
              <w:t>Concrete channel x wording experiment in research agenda; optional E ablation.</w:t>
            </w:r>
          </w:p>
        </w:tc>
      </w:tr>
      <w:tr w:rsidR="008E5FBD" w14:paraId="3A9FC50A" w14:textId="77777777">
        <w:trPr>
          <w:jc w:val="center"/>
        </w:trPr>
        <w:tc>
          <w:tcPr>
            <w:tcW w:w="3240" w:type="dxa"/>
            <w:tcMar>
              <w:top w:w="70" w:type="dxa"/>
              <w:left w:w="90" w:type="dxa"/>
              <w:bottom w:w="70" w:type="dxa"/>
              <w:right w:w="90" w:type="dxa"/>
            </w:tcMar>
            <w:vAlign w:val="center"/>
          </w:tcPr>
          <w:p w14:paraId="18DF7A26" w14:textId="77777777" w:rsidR="008E5FBD" w:rsidRDefault="00000000">
            <w:pPr>
              <w:spacing w:after="0" w:line="240" w:lineRule="auto"/>
              <w:rPr>
                <w:rFonts w:hint="eastAsia"/>
              </w:rPr>
            </w:pPr>
            <w:r>
              <w:rPr>
                <w:sz w:val="16"/>
              </w:rPr>
              <w:t>8SaC and i8qE: scale and coverage</w:t>
            </w:r>
          </w:p>
        </w:tc>
        <w:tc>
          <w:tcPr>
            <w:tcW w:w="6624" w:type="dxa"/>
            <w:tcMar>
              <w:top w:w="70" w:type="dxa"/>
              <w:left w:w="90" w:type="dxa"/>
              <w:bottom w:w="70" w:type="dxa"/>
              <w:right w:w="90" w:type="dxa"/>
            </w:tcMar>
            <w:vAlign w:val="center"/>
          </w:tcPr>
          <w:p w14:paraId="505DD421" w14:textId="77777777" w:rsidR="008E5FBD" w:rsidRDefault="00000000">
            <w:pPr>
              <w:spacing w:after="0" w:line="240" w:lineRule="auto"/>
              <w:rPr>
                <w:rFonts w:hint="eastAsia"/>
              </w:rPr>
            </w:pPr>
            <w:r>
              <w:rPr>
                <w:sz w:val="16"/>
              </w:rPr>
              <w:t>Pilot framing, formal task-construction protocol, expansion roadmap, no taxonomy-completeness claim.</w:t>
            </w:r>
          </w:p>
        </w:tc>
      </w:tr>
      <w:tr w:rsidR="008E5FBD" w14:paraId="3678CD8B" w14:textId="77777777">
        <w:trPr>
          <w:jc w:val="center"/>
        </w:trPr>
        <w:tc>
          <w:tcPr>
            <w:tcW w:w="3240" w:type="dxa"/>
            <w:shd w:val="clear" w:color="auto" w:fill="F4F7FA"/>
            <w:tcMar>
              <w:top w:w="70" w:type="dxa"/>
              <w:left w:w="90" w:type="dxa"/>
              <w:bottom w:w="70" w:type="dxa"/>
              <w:right w:w="90" w:type="dxa"/>
            </w:tcMar>
            <w:vAlign w:val="center"/>
          </w:tcPr>
          <w:p w14:paraId="1E56DC50" w14:textId="77777777" w:rsidR="008E5FBD" w:rsidRDefault="00000000">
            <w:pPr>
              <w:spacing w:after="0" w:line="240" w:lineRule="auto"/>
              <w:rPr>
                <w:rFonts w:hint="eastAsia"/>
              </w:rPr>
            </w:pPr>
            <w:r>
              <w:rPr>
                <w:sz w:val="16"/>
              </w:rPr>
              <w:t>gfWn: oracle warning trigger</w:t>
            </w:r>
          </w:p>
        </w:tc>
        <w:tc>
          <w:tcPr>
            <w:tcW w:w="6624" w:type="dxa"/>
            <w:shd w:val="clear" w:color="auto" w:fill="F4F7FA"/>
            <w:tcMar>
              <w:top w:w="70" w:type="dxa"/>
              <w:left w:w="90" w:type="dxa"/>
              <w:bottom w:w="70" w:type="dxa"/>
              <w:right w:w="90" w:type="dxa"/>
            </w:tcMar>
            <w:vAlign w:val="center"/>
          </w:tcPr>
          <w:p w14:paraId="054EAE13" w14:textId="77777777" w:rsidR="008E5FBD" w:rsidRDefault="00000000">
            <w:pPr>
              <w:spacing w:after="0" w:line="240" w:lineRule="auto"/>
              <w:rPr>
                <w:rFonts w:hint="eastAsia"/>
              </w:rPr>
            </w:pPr>
            <w:r>
              <w:rPr>
                <w:sz w:val="16"/>
              </w:rPr>
              <w:t>Three-layer architecture; current study explicitly labeled oracle-trigger response evaluation.</w:t>
            </w:r>
          </w:p>
        </w:tc>
      </w:tr>
      <w:tr w:rsidR="008E5FBD" w14:paraId="6BC27DB4" w14:textId="77777777">
        <w:trPr>
          <w:jc w:val="center"/>
        </w:trPr>
        <w:tc>
          <w:tcPr>
            <w:tcW w:w="3240" w:type="dxa"/>
            <w:tcMar>
              <w:top w:w="70" w:type="dxa"/>
              <w:left w:w="90" w:type="dxa"/>
              <w:bottom w:w="70" w:type="dxa"/>
              <w:right w:w="90" w:type="dxa"/>
            </w:tcMar>
            <w:vAlign w:val="center"/>
          </w:tcPr>
          <w:p w14:paraId="537221A4" w14:textId="77777777" w:rsidR="008E5FBD" w:rsidRDefault="00000000">
            <w:pPr>
              <w:spacing w:after="0" w:line="240" w:lineRule="auto"/>
              <w:rPr>
                <w:rFonts w:hint="eastAsia"/>
              </w:rPr>
            </w:pPr>
            <w:r>
              <w:rPr>
                <w:sz w:val="16"/>
              </w:rPr>
              <w:t>gfWn: human baseline</w:t>
            </w:r>
          </w:p>
        </w:tc>
        <w:tc>
          <w:tcPr>
            <w:tcW w:w="6624" w:type="dxa"/>
            <w:tcMar>
              <w:top w:w="70" w:type="dxa"/>
              <w:left w:w="90" w:type="dxa"/>
              <w:bottom w:w="70" w:type="dxa"/>
              <w:right w:w="90" w:type="dxa"/>
            </w:tcMar>
            <w:vAlign w:val="center"/>
          </w:tcPr>
          <w:p w14:paraId="5C8169BE" w14:textId="77777777" w:rsidR="008E5FBD" w:rsidRDefault="00000000">
            <w:pPr>
              <w:spacing w:after="0" w:line="240" w:lineRule="auto"/>
              <w:rPr>
                <w:rFonts w:hint="eastAsia"/>
              </w:rPr>
            </w:pPr>
            <w:r>
              <w:rPr>
                <w:sz w:val="16"/>
              </w:rPr>
              <w:t>No human-comparison claim; separately designed future human study.</w:t>
            </w:r>
          </w:p>
        </w:tc>
      </w:tr>
      <w:tr w:rsidR="008E5FBD" w14:paraId="0705AABC" w14:textId="77777777">
        <w:trPr>
          <w:jc w:val="center"/>
        </w:trPr>
        <w:tc>
          <w:tcPr>
            <w:tcW w:w="3240" w:type="dxa"/>
            <w:shd w:val="clear" w:color="auto" w:fill="F4F7FA"/>
            <w:tcMar>
              <w:top w:w="70" w:type="dxa"/>
              <w:left w:w="90" w:type="dxa"/>
              <w:bottom w:w="70" w:type="dxa"/>
              <w:right w:w="90" w:type="dxa"/>
            </w:tcMar>
            <w:vAlign w:val="center"/>
          </w:tcPr>
          <w:p w14:paraId="1F5D60DF" w14:textId="77777777" w:rsidR="008E5FBD" w:rsidRDefault="00000000">
            <w:pPr>
              <w:spacing w:after="0" w:line="240" w:lineRule="auto"/>
              <w:rPr>
                <w:rFonts w:hint="eastAsia"/>
              </w:rPr>
            </w:pPr>
            <w:r>
              <w:rPr>
                <w:sz w:val="16"/>
              </w:rPr>
              <w:t>gfWn: repository 404</w:t>
            </w:r>
          </w:p>
        </w:tc>
        <w:tc>
          <w:tcPr>
            <w:tcW w:w="6624" w:type="dxa"/>
            <w:shd w:val="clear" w:color="auto" w:fill="F4F7FA"/>
            <w:tcMar>
              <w:top w:w="70" w:type="dxa"/>
              <w:left w:w="90" w:type="dxa"/>
              <w:bottom w:w="70" w:type="dxa"/>
              <w:right w:w="90" w:type="dxa"/>
            </w:tcMar>
            <w:vAlign w:val="center"/>
          </w:tcPr>
          <w:p w14:paraId="5C5A15DD" w14:textId="77777777" w:rsidR="008E5FBD" w:rsidRDefault="00000000">
            <w:pPr>
              <w:spacing w:after="0" w:line="240" w:lineRule="auto"/>
              <w:rPr>
                <w:rFonts w:hint="eastAsia"/>
              </w:rPr>
            </w:pPr>
            <w:r>
              <w:rPr>
                <w:sz w:val="16"/>
              </w:rPr>
              <w:t>Anonymous artifact verification and clean-environment reproduction by August 9.</w:t>
            </w:r>
          </w:p>
        </w:tc>
      </w:tr>
      <w:tr w:rsidR="008E5FBD" w14:paraId="1557D8E1" w14:textId="77777777">
        <w:trPr>
          <w:jc w:val="center"/>
        </w:trPr>
        <w:tc>
          <w:tcPr>
            <w:tcW w:w="3240" w:type="dxa"/>
            <w:tcMar>
              <w:top w:w="70" w:type="dxa"/>
              <w:left w:w="90" w:type="dxa"/>
              <w:bottom w:w="70" w:type="dxa"/>
              <w:right w:w="90" w:type="dxa"/>
            </w:tcMar>
            <w:vAlign w:val="center"/>
          </w:tcPr>
          <w:p w14:paraId="7F73B3E7" w14:textId="77777777" w:rsidR="008E5FBD" w:rsidRDefault="00000000">
            <w:pPr>
              <w:spacing w:after="0" w:line="240" w:lineRule="auto"/>
              <w:rPr>
                <w:rFonts w:hint="eastAsia"/>
              </w:rPr>
            </w:pPr>
            <w:r>
              <w:rPr>
                <w:sz w:val="16"/>
              </w:rPr>
              <w:t>i8qE: related work</w:t>
            </w:r>
          </w:p>
        </w:tc>
        <w:tc>
          <w:tcPr>
            <w:tcW w:w="6624" w:type="dxa"/>
            <w:tcMar>
              <w:top w:w="70" w:type="dxa"/>
              <w:left w:w="90" w:type="dxa"/>
              <w:bottom w:w="70" w:type="dxa"/>
              <w:right w:w="90" w:type="dxa"/>
            </w:tcMar>
            <w:vAlign w:val="center"/>
          </w:tcPr>
          <w:p w14:paraId="14C99B4F" w14:textId="77777777" w:rsidR="008E5FBD" w:rsidRDefault="00000000">
            <w:pPr>
              <w:spacing w:after="0" w:line="240" w:lineRule="auto"/>
              <w:rPr>
                <w:rFonts w:hint="eastAsia"/>
              </w:rPr>
            </w:pPr>
            <w:r>
              <w:rPr>
                <w:sz w:val="16"/>
              </w:rPr>
              <w:t>Verified NeurIPS, KDD, Web Conference, exact-topic, HCI, and legal literature.</w:t>
            </w:r>
          </w:p>
        </w:tc>
      </w:tr>
      <w:tr w:rsidR="008E5FBD" w14:paraId="717560AA" w14:textId="77777777">
        <w:trPr>
          <w:jc w:val="center"/>
        </w:trPr>
        <w:tc>
          <w:tcPr>
            <w:tcW w:w="3240" w:type="dxa"/>
            <w:shd w:val="clear" w:color="auto" w:fill="F4F7FA"/>
            <w:tcMar>
              <w:top w:w="70" w:type="dxa"/>
              <w:left w:w="90" w:type="dxa"/>
              <w:bottom w:w="70" w:type="dxa"/>
              <w:right w:w="90" w:type="dxa"/>
            </w:tcMar>
            <w:vAlign w:val="center"/>
          </w:tcPr>
          <w:p w14:paraId="6627E589" w14:textId="77777777" w:rsidR="008E5FBD" w:rsidRDefault="00000000">
            <w:pPr>
              <w:spacing w:after="0" w:line="240" w:lineRule="auto"/>
              <w:rPr>
                <w:rFonts w:hint="eastAsia"/>
              </w:rPr>
            </w:pPr>
            <w:r>
              <w:rPr>
                <w:sz w:val="16"/>
              </w:rPr>
              <w:t>i8qE: cherry-picking concern</w:t>
            </w:r>
          </w:p>
        </w:tc>
        <w:tc>
          <w:tcPr>
            <w:tcW w:w="6624" w:type="dxa"/>
            <w:shd w:val="clear" w:color="auto" w:fill="F4F7FA"/>
            <w:tcMar>
              <w:top w:w="70" w:type="dxa"/>
              <w:left w:w="90" w:type="dxa"/>
              <w:bottom w:w="70" w:type="dxa"/>
              <w:right w:w="90" w:type="dxa"/>
            </w:tcMar>
            <w:vAlign w:val="center"/>
          </w:tcPr>
          <w:p w14:paraId="239DA2A5" w14:textId="77777777" w:rsidR="008E5FBD" w:rsidRDefault="00000000">
            <w:pPr>
              <w:spacing w:after="0" w:line="240" w:lineRule="auto"/>
              <w:rPr>
                <w:rFonts w:hint="eastAsia"/>
              </w:rPr>
            </w:pPr>
            <w:r>
              <w:rPr>
                <w:sz w:val="16"/>
              </w:rPr>
              <w:t>Task tuple, inclusion criteria, harm annotations, and provenance documentation.</w:t>
            </w:r>
          </w:p>
        </w:tc>
      </w:tr>
    </w:tbl>
    <w:p w14:paraId="3F0A59F6" w14:textId="77777777" w:rsidR="008E5FBD" w:rsidRDefault="008E5FBD">
      <w:pPr>
        <w:spacing w:after="0"/>
        <w:rPr>
          <w:rFonts w:hint="eastAsia"/>
        </w:rPr>
      </w:pPr>
    </w:p>
    <w:sectPr w:rsidR="008E5FBD" w:rsidSect="00034616">
      <w:headerReference w:type="default" r:id="rId34"/>
      <w:footerReference w:type="default" r:id="rId35"/>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EAC0E8" w14:textId="77777777" w:rsidR="00820D71" w:rsidRDefault="00820D71">
      <w:pPr>
        <w:spacing w:after="0" w:line="240" w:lineRule="auto"/>
        <w:rPr>
          <w:rFonts w:hint="eastAsia"/>
        </w:rPr>
      </w:pPr>
      <w:r>
        <w:separator/>
      </w:r>
    </w:p>
  </w:endnote>
  <w:endnote w:type="continuationSeparator" w:id="0">
    <w:p w14:paraId="5B41CFAF" w14:textId="77777777" w:rsidR="00820D71" w:rsidRDefault="00820D7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13E7D3" w14:textId="77777777" w:rsidR="008E5FBD" w:rsidRDefault="00000000">
    <w:pPr>
      <w:pStyle w:val="Footer"/>
      <w:jc w:val="right"/>
      <w:rPr>
        <w:rFonts w:hint="eastAsia"/>
      </w:rPr>
    </w:pPr>
    <w:r>
      <w:rPr>
        <w:sz w:val="16"/>
      </w:rPr>
      <w:t xml:space="preserve">Page </w:t>
    </w:r>
    <w:r>
      <w:rPr>
        <w:sz w:val="16"/>
      </w:rPr>
      <w:fldChar w:fldCharType="begin"/>
    </w:r>
    <w:r>
      <w:rPr>
        <w:sz w:val="16"/>
      </w:rPr>
      <w:instrText xml:space="preserve"> PAGE </w:instrText>
    </w:r>
    <w:r w:rsidR="00AC0536">
      <w:rPr>
        <w:sz w:val="16"/>
      </w:rPr>
      <w:fldChar w:fldCharType="separate"/>
    </w:r>
    <w:r w:rsidR="00AC0536">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A1E37C" w14:textId="77777777" w:rsidR="00820D71" w:rsidRDefault="00820D71">
      <w:pPr>
        <w:spacing w:after="0" w:line="240" w:lineRule="auto"/>
        <w:rPr>
          <w:rFonts w:hint="eastAsia"/>
        </w:rPr>
      </w:pPr>
      <w:r>
        <w:separator/>
      </w:r>
    </w:p>
  </w:footnote>
  <w:footnote w:type="continuationSeparator" w:id="0">
    <w:p w14:paraId="52297E66" w14:textId="77777777" w:rsidR="00820D71" w:rsidRDefault="00820D7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327F35" w14:textId="77777777" w:rsidR="008E5FBD" w:rsidRDefault="00000000">
    <w:pPr>
      <w:pStyle w:val="Header"/>
      <w:jc w:val="center"/>
      <w:rPr>
        <w:rFonts w:hint="eastAsia"/>
      </w:rPr>
    </w:pPr>
    <w:r>
      <w:rPr>
        <w:color w:val="555555"/>
        <w:sz w:val="15"/>
      </w:rPr>
      <w:t>INTERNAL REVISION GUIDE | TRUSTWORTHY COMPLETION FOR WEB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6925745">
    <w:abstractNumId w:val="8"/>
  </w:num>
  <w:num w:numId="2" w16cid:durableId="1725910320">
    <w:abstractNumId w:val="6"/>
  </w:num>
  <w:num w:numId="3" w16cid:durableId="1919710958">
    <w:abstractNumId w:val="5"/>
  </w:num>
  <w:num w:numId="4" w16cid:durableId="2122719515">
    <w:abstractNumId w:val="4"/>
  </w:num>
  <w:num w:numId="5" w16cid:durableId="1005747589">
    <w:abstractNumId w:val="7"/>
  </w:num>
  <w:num w:numId="6" w16cid:durableId="216473666">
    <w:abstractNumId w:val="3"/>
  </w:num>
  <w:num w:numId="7" w16cid:durableId="838424902">
    <w:abstractNumId w:val="2"/>
  </w:num>
  <w:num w:numId="8" w16cid:durableId="676924596">
    <w:abstractNumId w:val="1"/>
  </w:num>
  <w:num w:numId="9" w16cid:durableId="4774566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D3D"/>
    <w:rsid w:val="0015074B"/>
    <w:rsid w:val="0029639D"/>
    <w:rsid w:val="00326F90"/>
    <w:rsid w:val="0053777C"/>
    <w:rsid w:val="00820D71"/>
    <w:rsid w:val="008E5FBD"/>
    <w:rsid w:val="00AA1D8D"/>
    <w:rsid w:val="00AC053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3A1E5"/>
  <w14:defaultImageDpi w14:val="300"/>
  <w15:docId w15:val="{285DF3AD-F77B-6948-8E93-BBEFF0FE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3758"/>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5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after="120" w:line="259" w:lineRule="auto"/>
      <w:ind w:left="259" w:right="259"/>
    </w:pPr>
    <w:rPr>
      <w:rFonts w:ascii="Aptos" w:hAnsi="Aptos"/>
      <w:color w:val="202020"/>
    </w:rPr>
  </w:style>
  <w:style w:type="paragraph" w:customStyle="1" w:styleId="SmallNote">
    <w:name w:val="Small Note"/>
    <w:pPr>
      <w:spacing w:after="60"/>
    </w:pPr>
    <w:rPr>
      <w:rFonts w:ascii="Aptos" w:hAnsi="Aptos"/>
      <w:color w:val="555555"/>
      <w:sz w:val="16"/>
    </w:rPr>
  </w:style>
  <w:style w:type="paragraph" w:customStyle="1" w:styleId="Reference">
    <w:name w:val="Reference"/>
    <w:pPr>
      <w:spacing w:after="60" w:line="240" w:lineRule="auto"/>
      <w:ind w:left="360" w:hanging="360"/>
    </w:pPr>
    <w:rPr>
      <w:rFonts w:ascii="Aptos" w:hAnsi="Apto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ceedings.neurips.cc/paper_files/paper/2025/hash/0c79d6ed1788653643a1ac67b6ea32a7-Abstract-Conference.html" TargetMode="External"/><Relationship Id="rId18" Type="http://schemas.openxmlformats.org/officeDocument/2006/relationships/hyperlink" Target="https://doi.org/10.1145/3711896.3736561" TargetMode="External"/><Relationship Id="rId26" Type="http://schemas.openxmlformats.org/officeDocument/2006/relationships/hyperlink" Target="https://arxiv.org/abs/2506.02456" TargetMode="External"/><Relationship Id="rId21" Type="http://schemas.openxmlformats.org/officeDocument/2006/relationships/hyperlink" Target="https://doi.org/10.1145/3774904.3792724"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proceedings.neurips.cc/paper_files/paper/2025/hash/4009bff0cd87ba2203c8e3a2f082aaec-Abstract-Datasets_and_Benchmarks_Track.html" TargetMode="External"/><Relationship Id="rId17" Type="http://schemas.openxmlformats.org/officeDocument/2006/relationships/hyperlink" Target="https://doi.org/10.1145/3711896.3736570" TargetMode="External"/><Relationship Id="rId25" Type="http://schemas.openxmlformats.org/officeDocument/2006/relationships/hyperlink" Target="https://arxiv.org/abs/2509.10723" TargetMode="External"/><Relationship Id="rId33" Type="http://schemas.openxmlformats.org/officeDocument/2006/relationships/hyperlink" Target="https://arxiv.org/abs/2404.13208" TargetMode="External"/><Relationship Id="rId2" Type="http://schemas.openxmlformats.org/officeDocument/2006/relationships/numbering" Target="numbering.xml"/><Relationship Id="rId16" Type="http://schemas.openxmlformats.org/officeDocument/2006/relationships/hyperlink" Target="https://doi.org/10.1145/3690624.3709179" TargetMode="External"/><Relationship Id="rId20" Type="http://schemas.openxmlformats.org/officeDocument/2006/relationships/hyperlink" Target="https://doi.org/10.1145/3774904.3792853" TargetMode="External"/><Relationship Id="rId29" Type="http://schemas.openxmlformats.org/officeDocument/2006/relationships/hyperlink" Target="https://doi.org/10.1145/3173574.31741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ceedings.neurips.cc/paper_files/paper/2025/hash/1c9818387f5dd0a0bc151214660f059d-Abstract-Datasets_and_Benchmarks_Track.html" TargetMode="External"/><Relationship Id="rId24" Type="http://schemas.openxmlformats.org/officeDocument/2006/relationships/hyperlink" Target="https://arxiv.org/abs/2512.22894" TargetMode="External"/><Relationship Id="rId32" Type="http://schemas.openxmlformats.org/officeDocument/2006/relationships/hyperlink" Target="https://doi.org/10.1093/jla/laaa006"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5/3637528.3671650" TargetMode="External"/><Relationship Id="rId23" Type="http://schemas.openxmlformats.org/officeDocument/2006/relationships/hyperlink" Target="https://arxiv.org/abs/2410.06703" TargetMode="External"/><Relationship Id="rId28" Type="http://schemas.openxmlformats.org/officeDocument/2006/relationships/hyperlink" Target="https://arxiv.org/abs/2512.23128" TargetMode="External"/><Relationship Id="rId36" Type="http://schemas.openxmlformats.org/officeDocument/2006/relationships/fontTable" Target="fontTable.xml"/><Relationship Id="rId10" Type="http://schemas.openxmlformats.org/officeDocument/2006/relationships/hyperlink" Target="https://proceedings.neurips.cc/paper_files/paper/2024/hash/97091a5177d8dc64b1da8bf3e1f6fb54-Abstract-Datasets_and_Benchmarks_Track.html" TargetMode="External"/><Relationship Id="rId19" Type="http://schemas.openxmlformats.org/officeDocument/2006/relationships/hyperlink" Target="https://doi.org/10.1145/3711896.3736555" TargetMode="External"/><Relationship Id="rId31" Type="http://schemas.openxmlformats.org/officeDocument/2006/relationships/hyperlink" Target="https://doi.org/10.1145/3313831.3376321" TargetMode="External"/><Relationship Id="rId4" Type="http://schemas.openxmlformats.org/officeDocument/2006/relationships/settings" Target="settings.xml"/><Relationship Id="rId9" Type="http://schemas.openxmlformats.org/officeDocument/2006/relationships/hyperlink" Target="https://trustworthy-ai-for-good.github.io/" TargetMode="External"/><Relationship Id="rId14" Type="http://schemas.openxmlformats.org/officeDocument/2006/relationships/hyperlink" Target="https://proceedings.neurips.cc/paper_files/paper/2024/file/bfd082c452dffb450d5a5202b0419205-Paper-Datasets_and_Benchmarks_Track.pdf" TargetMode="External"/><Relationship Id="rId22" Type="http://schemas.openxmlformats.org/officeDocument/2006/relationships/hyperlink" Target="https://doi.org/10.1145/3774904.3792215" TargetMode="External"/><Relationship Id="rId27" Type="http://schemas.openxmlformats.org/officeDocument/2006/relationships/hyperlink" Target="https://arxiv.org/abs/2504.11281" TargetMode="External"/><Relationship Id="rId30" Type="http://schemas.openxmlformats.org/officeDocument/2006/relationships/hyperlink" Target="https://doi.org/10.1145/3411764.3445610" TargetMode="External"/><Relationship Id="rId35" Type="http://schemas.openxmlformats.org/officeDocument/2006/relationships/footer" Target="footer1.xml"/><Relationship Id="rId8" Type="http://schemas.openxmlformats.org/officeDocument/2006/relationships/hyperlink" Target="https://trustworthy-ai-for-good.github.io/"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5694</Words>
  <Characters>32459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Trustworthy Completion for Web Agents - Updated Workshop Revision Guide</vt:lpstr>
    </vt:vector>
  </TitlesOfParts>
  <Manager/>
  <Company/>
  <LinksUpToDate>false</LinksUpToDate>
  <CharactersWithSpaces>38077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Trustworthy Completion for Web Agents - Updated Workshop Revision Guide</dc:title>
  <dc:subject>Updated NeurIPS 2026 Trustworthy AI for Good workshop revision plan</dc:subject>
  <dc:creator>Sunshine</dc:creator>
  <cp:keywords>web agents, trustworthy completion, execution-time safeguards, benchmark, revision plan</cp:keywords>
  <dc:description>generated by python-docx</dc:description>
  <cp:lastModifiedBy>Ke Ning</cp:lastModifiedBy>
  <cp:revision>3</cp:revision>
  <dcterms:created xsi:type="dcterms:W3CDTF">2013-12-23T23:15:00Z</dcterms:created>
  <dcterms:modified xsi:type="dcterms:W3CDTF">2026-08-01T07:29:00Z</dcterms:modified>
  <cp:category/>
</cp:coreProperties>
</file>