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b/>
          <w:bCs/>
          <w:color w:val="888780"/>
          <w:sz w:val="28"/>
          <w:szCs w:val="28"/>
        </w:rPr>
        <w:t xml:space="preserve">OPERATIONS RESEARCH PORTFOLIO</w:t>
      </w:r>
    </w:p>
    <w:p>
      <w:pPr>
        <w:spacing w:after="240" w:before="0"/>
      </w:pPr>
      <w:r>
        <w:rPr>
          <w:rFonts w:ascii="Arial" w:cs="Arial" w:eastAsia="Arial" w:hAnsi="Arial"/>
          <w:b/>
          <w:bCs/>
          <w:color w:val="534AB7"/>
          <w:sz w:val="52"/>
          <w:szCs w:val="52"/>
        </w:rPr>
        <w:t xml:space="preserve">PROJECT 1</w:t>
      </w:r>
    </w:p>
    <w:p>
      <w:pPr>
        <w:spacing w:after="80"/>
      </w:pPr>
      <w:r>
        <w:rPr>
          <w:rFonts w:ascii="Arial" w:cs="Arial" w:eastAsia="Arial" w:hAnsi="Arial"/>
          <w:b/>
          <w:bCs/>
          <w:color w:val="444441"/>
          <w:sz w:val="40"/>
          <w:szCs w:val="40"/>
        </w:rPr>
        <w:t xml:space="preserve">Digital Twin–Driven Multi-Agent Online Optimization</w:t>
      </w:r>
    </w:p>
    <w:p>
      <w:pPr>
        <w:spacing w:after="80"/>
      </w:pPr>
      <w:r>
        <w:rPr>
          <w:rFonts w:ascii="Arial" w:cs="Arial" w:eastAsia="Arial" w:hAnsi="Arial"/>
          <w:b/>
          <w:bCs/>
          <w:color w:val="444441"/>
          <w:sz w:val="40"/>
          <w:szCs w:val="40"/>
        </w:rPr>
        <w:t xml:space="preserve">for Reconfigurable Human-Robot Manufacturing Systems</w:t>
      </w:r>
    </w:p>
    <w:p>
      <w:pPr>
        <w:spacing w:after="80"/>
      </w:pPr>
      <w:r>
        <w:t xml:space="preserve"/>
      </w:r>
    </w:p>
    <w:p>
      <w:pPr>
        <w:spacing w:after="60"/>
      </w:pPr>
      <w:r>
        <w:rPr>
          <w:rFonts w:ascii="Arial" w:cs="Arial" w:eastAsia="Arial" w:hAnsi="Arial"/>
          <w:b/>
          <w:bCs/>
          <w:color w:val="5F5E5A"/>
          <w:sz w:val="22"/>
          <w:szCs w:val="22"/>
        </w:rPr>
        <w:t xml:space="preserve">Key techniques:</w:t>
      </w:r>
    </w:p>
    <w:p>
      <w:pPr>
        <w:spacing w:after="120"/>
      </w:pPr>
      <w:r>
        <w:rPr>
          <w:rFonts w:ascii="Arial" w:cs="Arial" w:eastAsia="Arial" w:hAnsi="Arial"/>
          <w:color w:val="5F5E5A"/>
          <w:sz w:val="22"/>
          <w:szCs w:val="22"/>
        </w:rPr>
        <w:t xml:space="preserve">MILP  •  SimPy Discrete-Event Simulation  •  Multi-Agent Q-Learning  •  Digital Twin  •  Ergonomic Optimization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FA9EC" w:sz="1"/>
              <w:left w:val="single" w:color="AFA9EC" w:sz="1"/>
              <w:bottom w:val="single" w:color="AFA9EC" w:sz="1"/>
              <w:right w:val="single" w:color="AFA9EC" w:sz="1"/>
            </w:tcBorders>
            <w:shd w:fill="EEEDFE" w:val="clear"/>
            <w:tcMar>
              <w:top w:type="dxa" w:w="100"/>
              <w:left w:type="dxa" w:w="100"/>
              <w:bottom w:type="dxa" w:w="100"/>
              <w:right w:type="dxa" w:w="100"/>
            </w:tcMar>
            <w:vAlign w:val="center"/>
          </w:tcPr>
          <w:p>
            <w:pPr>
              <w:jc w:val="center"/>
            </w:pPr>
            <w:r>
              <w:rPr>
                <w:rFonts w:ascii="Arial" w:cs="Arial" w:eastAsia="Arial" w:hAnsi="Arial"/>
                <w:b/>
                <w:bCs/>
                <w:color w:val="534AB7"/>
                <w:sz w:val="36"/>
                <w:szCs w:val="36"/>
              </w:rPr>
              <w:t xml:space="preserve">-65%</w:t>
            </w:r>
          </w:p>
          <w:p>
            <w:pPr>
              <w:jc w:val="center"/>
            </w:pPr>
            <w:r>
              <w:rPr>
                <w:rFonts w:ascii="Arial" w:cs="Arial" w:eastAsia="Arial" w:hAnsi="Arial"/>
                <w:color w:val="5F5E5A"/>
                <w:sz w:val="18"/>
                <w:szCs w:val="18"/>
              </w:rPr>
              <w:t xml:space="preserve">Peak fatigue reduction</w:t>
            </w:r>
          </w:p>
          <w:p>
            <w:pPr>
              <w:jc w:val="center"/>
            </w:pPr>
            <w:r>
              <w:rPr>
                <w:rFonts w:ascii="Arial" w:cs="Arial" w:eastAsia="Arial" w:hAnsi="Arial"/>
                <w:b/>
                <w:bCs/>
                <w:color w:val="0F6E56"/>
                <w:sz w:val="18"/>
                <w:szCs w:val="18"/>
              </w:rPr>
              <w:t xml:space="preserve">0.66 → 0.23</w:t>
            </w:r>
          </w:p>
        </w:tc>
        <w:tc>
          <w:tcPr>
            <w:tcW w:type="dxa" w:w="2340"/>
            <w:tcBorders>
              <w:top w:val="single" w:color="AFA9EC" w:sz="1"/>
              <w:left w:val="single" w:color="AFA9EC" w:sz="1"/>
              <w:bottom w:val="single" w:color="AFA9EC" w:sz="1"/>
              <w:right w:val="single" w:color="AFA9EC" w:sz="1"/>
            </w:tcBorders>
            <w:shd w:fill="EEEDFE" w:val="clear"/>
            <w:tcMar>
              <w:top w:type="dxa" w:w="100"/>
              <w:left w:type="dxa" w:w="100"/>
              <w:bottom w:type="dxa" w:w="100"/>
              <w:right w:type="dxa" w:w="100"/>
            </w:tcMar>
            <w:vAlign w:val="center"/>
          </w:tcPr>
          <w:p>
            <w:pPr>
              <w:jc w:val="center"/>
            </w:pPr>
            <w:r>
              <w:rPr>
                <w:rFonts w:ascii="Arial" w:cs="Arial" w:eastAsia="Arial" w:hAnsi="Arial"/>
                <w:b/>
                <w:bCs/>
                <w:color w:val="534AB7"/>
                <w:sz w:val="36"/>
                <w:szCs w:val="36"/>
              </w:rPr>
              <w:t xml:space="preserve">408</w:t>
            </w:r>
          </w:p>
          <w:p>
            <w:pPr>
              <w:jc w:val="center"/>
            </w:pPr>
            <w:r>
              <w:rPr>
                <w:rFonts w:ascii="Arial" w:cs="Arial" w:eastAsia="Arial" w:hAnsi="Arial"/>
                <w:color w:val="5F5E5A"/>
                <w:sz w:val="18"/>
                <w:szCs w:val="18"/>
              </w:rPr>
              <w:t xml:space="preserve">Jobs/shift (parity)</w:t>
            </w:r>
          </w:p>
          <w:p>
            <w:pPr>
              <w:jc w:val="center"/>
            </w:pPr>
            <w:r>
              <w:rPr>
                <w:rFonts w:ascii="Arial" w:cs="Arial" w:eastAsia="Arial" w:hAnsi="Arial"/>
                <w:b/>
                <w:bCs/>
                <w:color w:val="0F6E56"/>
                <w:sz w:val="18"/>
                <w:szCs w:val="18"/>
              </w:rPr>
              <w:t xml:space="preserve">Both policies</w:t>
            </w:r>
          </w:p>
        </w:tc>
        <w:tc>
          <w:tcPr>
            <w:tcW w:type="dxa" w:w="2340"/>
            <w:tcBorders>
              <w:top w:val="single" w:color="AFA9EC" w:sz="1"/>
              <w:left w:val="single" w:color="AFA9EC" w:sz="1"/>
              <w:bottom w:val="single" w:color="AFA9EC" w:sz="1"/>
              <w:right w:val="single" w:color="AFA9EC" w:sz="1"/>
            </w:tcBorders>
            <w:shd w:fill="EEEDFE" w:val="clear"/>
            <w:tcMar>
              <w:top w:type="dxa" w:w="100"/>
              <w:left w:type="dxa" w:w="100"/>
              <w:bottom w:type="dxa" w:w="100"/>
              <w:right w:type="dxa" w:w="100"/>
            </w:tcMar>
            <w:vAlign w:val="center"/>
          </w:tcPr>
          <w:p>
            <w:pPr>
              <w:jc w:val="center"/>
            </w:pPr>
            <w:r>
              <w:rPr>
                <w:rFonts w:ascii="Arial" w:cs="Arial" w:eastAsia="Arial" w:hAnsi="Arial"/>
                <w:b/>
                <w:bCs/>
                <w:color w:val="534AB7"/>
                <w:sz w:val="36"/>
                <w:szCs w:val="36"/>
              </w:rPr>
              <w:t xml:space="preserve">-14%</w:t>
            </w:r>
          </w:p>
          <w:p>
            <w:pPr>
              <w:jc w:val="center"/>
            </w:pPr>
            <w:r>
              <w:rPr>
                <w:rFonts w:ascii="Arial" w:cs="Arial" w:eastAsia="Arial" w:hAnsi="Arial"/>
                <w:color w:val="5F5E5A"/>
                <w:sz w:val="18"/>
                <w:szCs w:val="18"/>
              </w:rPr>
              <w:t xml:space="preserve">WIP reduction</w:t>
            </w:r>
          </w:p>
          <w:p>
            <w:pPr>
              <w:jc w:val="center"/>
            </w:pPr>
            <w:r>
              <w:rPr>
                <w:rFonts w:ascii="Arial" w:cs="Arial" w:eastAsia="Arial" w:hAnsi="Arial"/>
                <w:b/>
                <w:bCs/>
                <w:color w:val="0F6E56"/>
                <w:sz w:val="18"/>
                <w:szCs w:val="18"/>
              </w:rPr>
              <w:t xml:space="preserve">2.3 → 2.0</w:t>
            </w:r>
          </w:p>
        </w:tc>
        <w:tc>
          <w:tcPr>
            <w:tcW w:type="dxa" w:w="2340"/>
            <w:tcBorders>
              <w:top w:val="single" w:color="AFA9EC" w:sz="1"/>
              <w:left w:val="single" w:color="AFA9EC" w:sz="1"/>
              <w:bottom w:val="single" w:color="AFA9EC" w:sz="1"/>
              <w:right w:val="single" w:color="AFA9EC" w:sz="1"/>
            </w:tcBorders>
            <w:shd w:fill="EEEDFE" w:val="clear"/>
            <w:tcMar>
              <w:top w:type="dxa" w:w="100"/>
              <w:left w:type="dxa" w:w="100"/>
              <w:bottom w:type="dxa" w:w="100"/>
              <w:right w:type="dxa" w:w="100"/>
            </w:tcMar>
            <w:vAlign w:val="center"/>
          </w:tcPr>
          <w:p>
            <w:pPr>
              <w:jc w:val="center"/>
            </w:pPr>
            <w:r>
              <w:rPr>
                <w:rFonts w:ascii="Arial" w:cs="Arial" w:eastAsia="Arial" w:hAnsi="Arial"/>
                <w:b/>
                <w:bCs/>
                <w:color w:val="534AB7"/>
                <w:sz w:val="36"/>
                <w:szCs w:val="36"/>
              </w:rPr>
              <w:t xml:space="preserve">&lt;2 s</w:t>
            </w:r>
          </w:p>
          <w:p>
            <w:pPr>
              <w:jc w:val="center"/>
            </w:pPr>
            <w:r>
              <w:rPr>
                <w:rFonts w:ascii="Arial" w:cs="Arial" w:eastAsia="Arial" w:hAnsi="Arial"/>
                <w:color w:val="5F5E5A"/>
                <w:sz w:val="18"/>
                <w:szCs w:val="18"/>
              </w:rPr>
              <w:t xml:space="preserve">MILP solve per tick</w:t>
            </w:r>
          </w:p>
          <w:p>
            <w:pPr>
              <w:jc w:val="center"/>
            </w:pPr>
            <w:r>
              <w:rPr>
                <w:rFonts w:ascii="Arial" w:cs="Arial" w:eastAsia="Arial" w:hAnsi="Arial"/>
                <w:b/>
                <w:bCs/>
                <w:color w:val="0F6E56"/>
                <w:sz w:val="18"/>
                <w:szCs w:val="18"/>
              </w:rPr>
              <w:t xml:space="preserve">Warm-started</w:t>
            </w:r>
          </w:p>
        </w:tc>
      </w:tr>
    </w:tbl>
    <w:p>
      <w:pPr>
        <w:spacing w:after="80"/>
      </w:pPr>
      <w:r>
        <w:t xml:space="preserve"/>
      </w:r>
    </w:p>
    <w:p>
      <w:r>
        <w:br w:type="page"/>
      </w:r>
    </w:p>
    <w:p>
      <w:pPr>
        <w:pStyle w:val="Heading1"/>
      </w:pPr>
      <w:r>
        <w:rPr>
          <w:rFonts w:ascii="Arial" w:cs="Arial" w:eastAsia="Arial" w:hAnsi="Arial"/>
          <w:b/>
          <w:bCs/>
          <w:color w:val="534AB7"/>
          <w:sz w:val="32"/>
          <w:szCs w:val="32"/>
        </w:rPr>
        <w:t xml:space="preserve">1. Problem Statement</w:t>
      </w:r>
    </w:p>
    <w:p>
      <w:pPr>
        <w:pStyle w:val="Heading2"/>
        <w:pBdr>
          <w:bottom w:val="single" w:color="D3D1C7" w:sz="4" w:space="2"/>
        </w:pBdr>
        <w:spacing w:after="120" w:before="280"/>
      </w:pPr>
      <w:r>
        <w:rPr>
          <w:rFonts w:ascii="Arial" w:cs="Arial" w:eastAsia="Arial" w:hAnsi="Arial"/>
          <w:b/>
          <w:bCs/>
          <w:color w:val="444441"/>
          <w:sz w:val="26"/>
          <w:szCs w:val="26"/>
        </w:rPr>
        <w:t xml:space="preserve">1.1  Business Context</w:t>
      </w:r>
    </w:p>
    <w:p>
      <w:pPr>
        <w:spacing w:after="120"/>
      </w:pPr>
      <w:r>
        <w:rPr>
          <w:rFonts w:ascii="Arial" w:cs="Arial" w:eastAsia="Arial" w:hAnsi="Arial"/>
          <w:color w:val="444441"/>
          <w:sz w:val="22"/>
          <w:szCs w:val="22"/>
        </w:rPr>
        <w:t xml:space="preserve">A smart reconfigurable manufacturing system (RMS) operates 6 workstations that can switch between three product families (A, B, C) on demand. Human operators, industrial robots, and human-robot collaborative pairs share tasks across the line. The plant runs a single 8-hour shift producing approximately 400 jobs per day.</w:t>
      </w:r>
    </w:p>
    <w:p>
      <w:pPr>
        <w:spacing w:after="80"/>
      </w:pPr>
      <w:r>
        <w:t xml:space="preserve"/>
      </w:r>
    </w:p>
    <w:p>
      <w:pPr>
        <w:spacing w:after="120"/>
      </w:pPr>
      <w:r>
        <w:rPr>
          <w:rFonts w:ascii="Arial" w:cs="Arial" w:eastAsia="Arial" w:hAnsi="Arial"/>
          <w:color w:val="444441"/>
          <w:sz w:val="22"/>
          <w:szCs w:val="22"/>
        </w:rPr>
        <w:t xml:space="preserve">Static schedules generated before shift start become stale within minutes. As task times vary (log-normal noise σ = 0.10), robots get retasked for breakdowns, and operator fatigue accumulates, the original schedule diverges from reality and throughput drops. More critically, ignoring ergonomic fatigue leads to musculoskeletal injury risk that conventional schedulers never model.</w:t>
      </w:r>
    </w:p>
    <w:p>
      <w:pPr>
        <w:spacing w:after="80"/>
      </w:pPr>
      <w:r>
        <w:t xml:space="preserve"/>
      </w:r>
    </w:p>
    <w:p>
      <w:pPr>
        <w:pStyle w:val="Heading2"/>
        <w:pBdr>
          <w:bottom w:val="single" w:color="D3D1C7" w:sz="4" w:space="2"/>
        </w:pBdr>
        <w:spacing w:after="120" w:before="280"/>
      </w:pPr>
      <w:r>
        <w:rPr>
          <w:rFonts w:ascii="Arial" w:cs="Arial" w:eastAsia="Arial" w:hAnsi="Arial"/>
          <w:b/>
          <w:bCs/>
          <w:color w:val="444441"/>
          <w:sz w:val="26"/>
          <w:szCs w:val="26"/>
        </w:rPr>
        <w:t xml:space="preserve">1.2  Three Core Questions Answered Every 60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80"/>
        <w:gridCol w:w="2880"/>
        <w:gridCol w:w="3240"/>
      </w:tblGrid>
      <w:tr>
        <w:trPr>
          <w:tblHeader/>
        </w:trPr>
        <w:tc>
          <w:tcPr>
            <w:tcW w:type="dxa" w:w="3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8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Variables</w:t>
            </w:r>
          </w:p>
        </w:tc>
        <w:tc>
          <w:tcPr>
            <w:tcW w:type="dxa" w:w="324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Q1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Which station processes the next job?</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Station assignment x[j,s]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Family compatibility, capacity</w:t>
            </w:r>
          </w:p>
        </w:tc>
      </w:tr>
      <w:tr>
        <w:tc>
          <w:tcPr>
            <w:tcW w:type="dxa" w:w="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Q2</w:t>
            </w:r>
          </w:p>
        </w:tc>
        <w:tc>
          <w:tcPr>
            <w:tcW w:type="dxa" w:w="28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Human, robot, or collaborative mode?</w:t>
            </w:r>
          </w:p>
        </w:tc>
        <w:tc>
          <w:tcPr>
            <w:tcW w:type="dxa" w:w="28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Mode m ∈ {H, R, C}</w:t>
            </w:r>
          </w:p>
        </w:tc>
        <w:tc>
          <w:tcPr>
            <w:tcW w:type="dxa" w:w="32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Precision requirements, fatigue cap</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Q3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Trigger station reconfiguration now?</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Binary r[s]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8-min lockout, cost threshold</w:t>
            </w:r>
          </w:p>
        </w:tc>
      </w:tr>
    </w:tbl>
    <w:p>
      <w:pPr>
        <w:spacing w:after="80"/>
      </w:pPr>
      <w:r>
        <w:t xml:space="preserve"/>
      </w:r>
    </w:p>
    <w:p>
      <w:pPr>
        <w:pStyle w:val="Heading2"/>
        <w:pBdr>
          <w:bottom w:val="single" w:color="D3D1C7" w:sz="4" w:space="2"/>
        </w:pBdr>
        <w:spacing w:after="120" w:before="280"/>
      </w:pPr>
      <w:r>
        <w:rPr>
          <w:rFonts w:ascii="Arial" w:cs="Arial" w:eastAsia="Arial" w:hAnsi="Arial"/>
          <w:b/>
          <w:bCs/>
          <w:color w:val="444441"/>
          <w:sz w:val="26"/>
          <w:szCs w:val="26"/>
        </w:rPr>
        <w:t xml:space="preserve">1.3  Why Existing Approaches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63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Root Cause of Failure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Static offline scheduling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Generated pre-shift; no fatigue model; stale within minutes under task-time noise</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Shortest-queue / FIFO dispatch</w:t>
            </w:r>
          </w:p>
        </w:tc>
        <w:tc>
          <w:tcPr>
            <w:tcW w:type="dxa" w:w="6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Myopic; no energy, ergonomic, or priority trade-off; frequent mode thrashing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Periodic MILP (no warm start)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8-12s solve time too slow for 60s control cycle; ignores prior solution</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Pure MARL (no hard constraints)</w:t>
            </w:r>
          </w:p>
        </w:tc>
        <w:tc>
          <w:tcPr>
            <w:tcW w:type="dxa" w:w="6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Cannot guarantee fatigue safety cap; agents over-exploit humans for throughput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Manual supervisor override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Reactive not proactive; no systematic mode switching; operator-dependent</w:t>
            </w:r>
          </w:p>
        </w:tc>
      </w:tr>
    </w:tbl>
    <w:p>
      <w:pPr>
        <w:spacing w:after="80"/>
      </w:pPr>
      <w:r>
        <w:t xml:space="preserve"/>
      </w:r>
    </w:p>
    <w:p>
      <w:pPr>
        <w:pStyle w:val="Heading2"/>
        <w:pBdr>
          <w:bottom w:val="single" w:color="D3D1C7" w:sz="4" w:space="2"/>
        </w:pBdr>
        <w:spacing w:after="120" w:before="280"/>
      </w:pPr>
      <w:r>
        <w:rPr>
          <w:rFonts w:ascii="Arial" w:cs="Arial" w:eastAsia="Arial" w:hAnsi="Arial"/>
          <w:b/>
          <w:bCs/>
          <w:color w:val="444441"/>
          <w:sz w:val="26"/>
          <w:szCs w:val="26"/>
        </w:rPr>
        <w:t xml:space="preserve">1.4  System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7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Workstations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S1–S6, mixed family capability</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Robots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4</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Retaskable across stations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Human operators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Op-1, Op-2, Op-3</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Product families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A / B / C</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40% / 35% / 25% mix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Arrival rate (λ)</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0.85 jobs/min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Saturated load; ~408 jobs/shift</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Shift horizon</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480 minutes</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Single 8-hour shift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Control cycle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60 seconds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Re-optimization interval</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Fatigue decay (ρ)</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0.92 per tick</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8% recovery per minute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Fatigue safety cap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0.85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Hard constraint (soft penalty)</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MILP solve budget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&lt;5 seconds</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Warm-start achieves &lt;2s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Task-time noise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σ = 0.10 log-normal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Realistic manufacturing variability</w:t>
            </w:r>
          </w:p>
        </w:tc>
      </w:tr>
    </w:tbl>
    <w:p>
      <w:pPr>
        <w:spacing w:after="80"/>
      </w:pPr>
      <w:r>
        <w:t xml:space="preserve"/>
      </w:r>
    </w:p>
    <w:p>
      <w:r>
        <w:br w:type="page"/>
      </w:r>
    </w:p>
    <w:p>
      <w:pPr>
        <w:pStyle w:val="Heading1"/>
      </w:pPr>
      <w:r>
        <w:rPr>
          <w:rFonts w:ascii="Arial" w:cs="Arial" w:eastAsia="Arial" w:hAnsi="Arial"/>
          <w:b/>
          <w:bCs/>
          <w:color w:val="534AB7"/>
          <w:sz w:val="32"/>
          <w:szCs w:val="32"/>
        </w:rPr>
        <w:t xml:space="preserve">2. Data Generation &amp; Scenario</w:t>
      </w:r>
    </w:p>
    <w:p>
      <w:pPr>
        <w:pStyle w:val="Heading2"/>
        <w:pBdr>
          <w:bottom w:val="single" w:color="D3D1C7" w:sz="4" w:space="2"/>
        </w:pBdr>
        <w:spacing w:after="120" w:before="280"/>
      </w:pPr>
      <w:r>
        <w:rPr>
          <w:rFonts w:ascii="Arial" w:cs="Arial" w:eastAsia="Arial" w:hAnsi="Arial"/>
          <w:b/>
          <w:bCs/>
          <w:color w:val="444441"/>
          <w:sz w:val="26"/>
          <w:szCs w:val="26"/>
        </w:rPr>
        <w:t xml:space="preserve">2.1  Synthetic Data Rationale</w:t>
      </w:r>
    </w:p>
    <w:p>
      <w:pPr>
        <w:spacing w:after="120"/>
      </w:pPr>
      <w:r>
        <w:rPr>
          <w:rFonts w:ascii="Arial" w:cs="Arial" w:eastAsia="Arial" w:hAnsi="Arial"/>
          <w:color w:val="444441"/>
          <w:sz w:val="22"/>
          <w:szCs w:val="22"/>
        </w:rPr>
        <w:t xml:space="preserve">All data is synthetically generated using calibrated distributions drawn from published manufacturing benchmarks (Tao et al. 2018; ISO 11228 fatigue load tables; Bischoff &amp; Mönch 2022). Synthetic generation allows exact reproducibility, controlled sensitivity analysis, and privacy compliance while reflecting real operational distributions.</w:t>
      </w:r>
    </w:p>
    <w:p>
      <w:pPr>
        <w:spacing w:after="80"/>
      </w:pPr>
      <w:r>
        <w:t xml:space="preserve"/>
      </w:r>
    </w:p>
    <w:p>
      <w:pPr>
        <w:pStyle w:val="Heading2"/>
        <w:pBdr>
          <w:bottom w:val="single" w:color="D3D1C7" w:sz="4" w:space="2"/>
        </w:pBdr>
        <w:spacing w:after="120" w:before="280"/>
      </w:pPr>
      <w:r>
        <w:rPr>
          <w:rFonts w:ascii="Arial" w:cs="Arial" w:eastAsia="Arial" w:hAnsi="Arial"/>
          <w:b/>
          <w:bCs/>
          <w:color w:val="444441"/>
          <w:sz w:val="26"/>
          <w:szCs w:val="26"/>
        </w:rPr>
        <w:t xml:space="preserve">2.2  Job Arrival Distribution</w:t>
      </w:r>
    </w:p>
    <w:p>
      <w:pPr>
        <w:spacing w:after="120"/>
      </w:pPr>
      <w:r>
        <w:rPr>
          <w:rFonts w:ascii="Arial" w:cs="Arial" w:eastAsia="Arial" w:hAnsi="Arial"/>
          <w:color w:val="444441"/>
          <w:sz w:val="22"/>
          <w:szCs w:val="22"/>
        </w:rPr>
        <w:t xml:space="preserve">Jobs arrive following a Poisson process with rate λ = 0.85 jobs/minute over the 480-minute shift, producing approximately 408 jobs (stochastic). Arrival rate is set to saturate the line — the regime where scheduling intelligence provides maximum value.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200"/>
        <w:gridCol w:w="2400"/>
        <w:gridCol w:w="2660"/>
      </w:tblGrid>
      <w:tr>
        <w:trPr>
          <w:tblHeader/>
        </w:trPr>
        <w:tc>
          <w:tcPr>
            <w:tcW w:type="dxa" w:w="9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Family</w:t>
            </w:r>
          </w:p>
        </w:tc>
        <w:tc>
          <w:tcPr>
            <w:tcW w:type="dxa" w:w="1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Arrival Share</w:t>
            </w:r>
          </w:p>
        </w:tc>
        <w:tc>
          <w:tcPr>
            <w:tcW w:type="dxa" w:w="2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Precision-Only Jobs</w:t>
            </w:r>
          </w:p>
        </w:tc>
        <w:tc>
          <w:tcPr>
            <w:tcW w:type="dxa" w:w="24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Avg Base Process Time</w:t>
            </w:r>
          </w:p>
        </w:tc>
        <w:tc>
          <w:tcPr>
            <w:tcW w:type="dxa" w:w="26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Priority Mix</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40%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15% of A jobs (human-only)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3.2 min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60% normal / 25% urgent / 15% critical</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B</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35%</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0%</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3.5 min</w:t>
            </w:r>
          </w:p>
        </w:tc>
        <w:tc>
          <w:tcPr>
            <w:tcW w:type="dxa" w:w="26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70% normal / 20% urgent / 10% critical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3.8 min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65% normal / 25% urgent / 10% critical</w:t>
            </w:r>
          </w:p>
        </w:tc>
      </w:tr>
    </w:tbl>
    <w:p>
      <w:pPr>
        <w:spacing w:after="80"/>
      </w:pPr>
      <w:r>
        <w:t xml:space="preserve"/>
      </w:r>
    </w:p>
    <w:p>
      <w:pPr>
        <w:pStyle w:val="Heading2"/>
        <w:pBdr>
          <w:bottom w:val="single" w:color="D3D1C7" w:sz="4" w:space="2"/>
        </w:pBdr>
        <w:spacing w:after="120" w:before="280"/>
      </w:pPr>
      <w:r>
        <w:rPr>
          <w:rFonts w:ascii="Arial" w:cs="Arial" w:eastAsia="Arial" w:hAnsi="Arial"/>
          <w:b/>
          <w:bCs/>
          <w:color w:val="444441"/>
          <w:sz w:val="26"/>
          <w:szCs w:val="26"/>
        </w:rPr>
        <w:t xml:space="preserve">2.3  Station Capability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200"/>
        <w:gridCol w:w="1200"/>
        <w:gridCol w:w="2400"/>
        <w:gridCol w:w="2460"/>
      </w:tblGrid>
      <w:tr>
        <w:trPr>
          <w:tblHeader/>
        </w:trPr>
        <w:tc>
          <w:tcPr>
            <w:tcW w:type="dxa" w:w="9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Station</w:t>
            </w:r>
          </w:p>
        </w:tc>
        <w:tc>
          <w:tcPr>
            <w:tcW w:type="dxa" w:w="1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Family A</w:t>
            </w:r>
          </w:p>
        </w:tc>
        <w:tc>
          <w:tcPr>
            <w:tcW w:type="dxa" w:w="1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Family B</w:t>
            </w:r>
          </w:p>
        </w:tc>
        <w:tc>
          <w:tcPr>
            <w:tcW w:type="dxa" w:w="1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Family C</w:t>
            </w:r>
          </w:p>
        </w:tc>
        <w:tc>
          <w:tcPr>
            <w:tcW w:type="dxa" w:w="24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Mean Proc. Time (min)</w:t>
            </w:r>
          </w:p>
        </w:tc>
        <w:tc>
          <w:tcPr>
            <w:tcW w:type="dxa" w:w="24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Reconfig Cost ($)</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S1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3.2</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25</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S2</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Yes</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No</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Yes</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3.8</w:t>
            </w:r>
          </w:p>
        </w:tc>
        <w:tc>
          <w:tcPr>
            <w:tcW w:type="dxa" w:w="24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25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S3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3.5</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25</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S4</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Yes</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Yes</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Yes</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4.1</w:t>
            </w:r>
          </w:p>
        </w:tc>
        <w:tc>
          <w:tcPr>
            <w:tcW w:type="dxa" w:w="24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25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S5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2.9</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25</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S6</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No</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Yes</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Yes</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3.7</w:t>
            </w:r>
          </w:p>
        </w:tc>
        <w:tc>
          <w:tcPr>
            <w:tcW w:type="dxa" w:w="24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25</w:t>
            </w:r>
          </w:p>
        </w:tc>
      </w:tr>
    </w:tbl>
    <w:p>
      <w:pPr>
        <w:spacing w:after="80"/>
      </w:pPr>
      <w:r>
        <w:t xml:space="preserve"/>
      </w:r>
    </w:p>
    <w:p>
      <w:pPr>
        <w:pStyle w:val="Heading2"/>
        <w:pBdr>
          <w:bottom w:val="single" w:color="D3D1C7" w:sz="4" w:space="2"/>
        </w:pBdr>
        <w:spacing w:after="120" w:before="280"/>
      </w:pPr>
      <w:r>
        <w:rPr>
          <w:rFonts w:ascii="Arial" w:cs="Arial" w:eastAsia="Arial" w:hAnsi="Arial"/>
          <w:b/>
          <w:bCs/>
          <w:color w:val="444441"/>
          <w:sz w:val="26"/>
          <w:szCs w:val="26"/>
        </w:rPr>
        <w:t xml:space="preserve">2.4  Processing Mode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1500"/>
        <w:gridCol w:w="1660"/>
      </w:tblGrid>
      <w:tr>
        <w:trPr>
          <w:tblHeader/>
        </w:trPr>
        <w:tc>
          <w:tcPr>
            <w:tcW w:type="dxa" w:w="14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1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Time Multiplier</w:t>
            </w:r>
          </w:p>
        </w:tc>
        <w:tc>
          <w:tcPr>
            <w:tcW w:type="dxa" w:w="1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Energy Draw (kW)</w:t>
            </w:r>
          </w:p>
        </w:tc>
        <w:tc>
          <w:tcPr>
            <w:tcW w:type="dxa" w:w="1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Fatigue Load/Task</w:t>
            </w:r>
          </w:p>
        </w:tc>
        <w:tc>
          <w:tcPr>
            <w:tcW w:type="dxa" w:w="15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Precision Jobs?</w:t>
            </w:r>
          </w:p>
        </w:tc>
        <w:tc>
          <w:tcPr>
            <w:tcW w:type="dxa" w:w="16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Typical Use Case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Human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×1.10 (slowest)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0.06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Yes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Precision tasks; low-utilization periods</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Robot only</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×0.90 (fast)</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1.8</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0.00</w:t>
            </w:r>
          </w:p>
        </w:tc>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No</w:t>
            </w:r>
          </w:p>
        </w:tc>
        <w:tc>
          <w:tcPr>
            <w:tcW w:type="dxa" w:w="16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Standard tasks when operator fatigue is 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Collaborative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×0.80 (fastest)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0.03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Yes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Balanced speed/ergonomic option; default preference</w:t>
            </w:r>
          </w:p>
        </w:tc>
      </w:tr>
    </w:tbl>
    <w:p>
      <w:pPr>
        <w:spacing w:after="80"/>
      </w:pPr>
      <w:r>
        <w:t xml:space="preserve"/>
      </w:r>
    </w:p>
    <w:p>
      <w:pPr>
        <w:pStyle w:val="Heading2"/>
        <w:pBdr>
          <w:bottom w:val="single" w:color="D3D1C7" w:sz="4" w:space="2"/>
        </w:pBdr>
        <w:spacing w:after="120" w:before="280"/>
      </w:pPr>
      <w:r>
        <w:rPr>
          <w:rFonts w:ascii="Arial" w:cs="Arial" w:eastAsia="Arial" w:hAnsi="Arial"/>
          <w:b/>
          <w:bCs/>
          <w:color w:val="444441"/>
          <w:sz w:val="26"/>
          <w:szCs w:val="26"/>
        </w:rPr>
        <w:t xml:space="preserve">2.5  Operator Fatigue Model</w:t>
      </w:r>
    </w:p>
    <w:p>
      <w:pPr>
        <w:spacing w:after="120"/>
      </w:pPr>
      <w:r>
        <w:rPr>
          <w:rFonts w:ascii="Arial" w:cs="Arial" w:eastAsia="Arial" w:hAnsi="Arial"/>
          <w:color w:val="444441"/>
          <w:sz w:val="22"/>
          <w:szCs w:val="22"/>
        </w:rPr>
        <w:t xml:space="preserve">Operator fatigue follows a first-order leaky integrator (discrete-time low-pass filter), calibrated against ISO 11228-3 cumulative load standards:</w:t>
      </w:r>
    </w:p>
    <w:p>
      <w:pPr>
        <w:spacing w:after="80"/>
      </w:pPr>
      <w:r>
        <w:t xml:space="preserve"/>
      </w:r>
    </w:p>
    <w:p>
      <w:pPr>
        <w:shd w:fill="EEEDFE" w:val="clear"/>
        <w:spacing w:after="120" w:before="120"/>
        <w:ind w:left="360" w:right="360"/>
      </w:pPr>
      <w:r>
        <w:rPr>
          <w:rFonts w:ascii="Arial" w:cs="Arial" w:eastAsia="Arial" w:hAnsi="Arial"/>
          <w:color w:val="534AB7"/>
          <w:sz w:val="22"/>
          <w:szCs w:val="22"/>
        </w:rPr>
        <w:t xml:space="preserve">f[h, t]  =  ρ · f[h, t−1]  +  load(mode, t)</w:t>
      </w:r>
    </w:p>
    <w:p>
      <w:pPr>
        <w:spacing w:after="80"/>
      </w:pPr>
      <w:r>
        <w:t xml:space="preserve"/>
      </w:r>
    </w:p>
    <w:p>
      <w:pPr>
        <w:spacing w:after="120"/>
      </w:pPr>
      <w:r>
        <w:rPr>
          <w:rFonts w:ascii="Arial" w:cs="Arial" w:eastAsia="Arial" w:hAnsi="Arial"/>
          <w:color w:val="444441"/>
          <w:sz w:val="22"/>
          <w:szCs w:val="22"/>
        </w:rPr>
        <w:t xml:space="preserve">where:</w:t>
      </w:r>
    </w:p>
    <w:p>
      <w:pPr>
        <w:pStyle w:val="ListParagraph"/>
        <w:numPr>
          <w:ilvl w:val="0"/>
          <w:numId w:val="2"/>
        </w:numPr>
        <w:spacing w:after="80"/>
      </w:pPr>
      <w:r>
        <w:rPr>
          <w:rFonts w:ascii="Arial" w:cs="Arial" w:eastAsia="Arial" w:hAnsi="Arial"/>
          <w:b w:val="false"/>
          <w:bCs w:val="false"/>
          <w:color w:val="444441"/>
          <w:sz w:val="22"/>
          <w:szCs w:val="22"/>
        </w:rPr>
        <w:t xml:space="preserve">ρ = 0.92  (decay coefficient: 8% recovery per tick at rest or robot mode)</w:t>
      </w:r>
    </w:p>
    <w:p>
      <w:pPr>
        <w:pStyle w:val="ListParagraph"/>
        <w:numPr>
          <w:ilvl w:val="0"/>
          <w:numId w:val="2"/>
        </w:numPr>
        <w:spacing w:after="80"/>
      </w:pPr>
      <w:r>
        <w:rPr>
          <w:rFonts w:ascii="Arial" w:cs="Arial" w:eastAsia="Arial" w:hAnsi="Arial"/>
          <w:b w:val="false"/>
          <w:bCs w:val="false"/>
          <w:color w:val="444441"/>
          <w:sz w:val="22"/>
          <w:szCs w:val="22"/>
        </w:rPr>
        <w:t xml:space="preserve">load(human) = 0.06 per task  |  load(collab) = 0.03  |  load(robot) = 0.00</w:t>
      </w:r>
    </w:p>
    <w:p>
      <w:pPr>
        <w:pStyle w:val="ListParagraph"/>
        <w:numPr>
          <w:ilvl w:val="0"/>
          <w:numId w:val="2"/>
        </w:numPr>
        <w:spacing w:after="80"/>
      </w:pPr>
      <w:r>
        <w:rPr>
          <w:rFonts w:ascii="Arial" w:cs="Arial" w:eastAsia="Arial" w:hAnsi="Arial"/>
          <w:b w:val="false"/>
          <w:bCs w:val="false"/>
          <w:color w:val="444441"/>
          <w:sz w:val="22"/>
          <w:szCs w:val="22"/>
        </w:rPr>
        <w:t xml:space="preserve">Steady-state under constant human load: f_ss = 0.06 / (1 − 0.92) = 0.75  (near the 0.85 cap)</w:t>
      </w:r>
    </w:p>
    <w:p>
      <w:pPr>
        <w:pStyle w:val="ListParagraph"/>
        <w:numPr>
          <w:ilvl w:val="0"/>
          <w:numId w:val="2"/>
        </w:numPr>
        <w:spacing w:after="80"/>
      </w:pPr>
      <w:r>
        <w:rPr>
          <w:rFonts w:ascii="Arial" w:cs="Arial" w:eastAsia="Arial" w:hAnsi="Arial"/>
          <w:b w:val="false"/>
          <w:bCs w:val="false"/>
          <w:color w:val="444441"/>
          <w:sz w:val="22"/>
          <w:szCs w:val="22"/>
        </w:rPr>
        <w:t xml:space="preserve">Half-life of fatigue recovery at rest: ln(0.5)/ln(0.92) ≈ 8.3 ticks = 8.3 minutes</w:t>
      </w:r>
    </w:p>
    <w:p>
      <w:pPr>
        <w:spacing w:after="80"/>
      </w:pPr>
      <w:r>
        <w:t xml:space="preserve"/>
      </w:r>
    </w:p>
    <w:p>
      <w:pPr>
        <w:spacing w:after="120"/>
      </w:pPr>
      <w:r>
        <w:rPr>
          <w:rFonts w:ascii="Arial" w:cs="Arial" w:eastAsia="Arial" w:hAnsi="Arial"/>
          <w:color w:val="444441"/>
          <w:sz w:val="22"/>
          <w:szCs w:val="22"/>
        </w:rPr>
        <w:t xml:space="preserve">The steady-state analysis shows that continuous human-mode operation at 12 tasks/hour brings fatigue to 0.75 within one hour — the principal reason the optimizer must proactively switch modes before the cap is reached, not after.</w:t>
      </w:r>
    </w:p>
    <w:p>
      <w:pPr>
        <w:spacing w:after="80"/>
      </w:pPr>
      <w:r>
        <w:t xml:space="preserve"/>
      </w:r>
    </w:p>
    <w:p>
      <w:r>
        <w:br w:type="page"/>
      </w:r>
    </w:p>
    <w:p>
      <w:pPr>
        <w:pStyle w:val="Heading1"/>
      </w:pPr>
      <w:r>
        <w:rPr>
          <w:rFonts w:ascii="Arial" w:cs="Arial" w:eastAsia="Arial" w:hAnsi="Arial"/>
          <w:b/>
          <w:bCs/>
          <w:color w:val="534AB7"/>
          <w:sz w:val="32"/>
          <w:szCs w:val="32"/>
        </w:rPr>
        <w:t xml:space="preserve">3. Methodology</w:t>
      </w:r>
    </w:p>
    <w:p>
      <w:pPr>
        <w:pStyle w:val="Heading2"/>
        <w:pBdr>
          <w:bottom w:val="single" w:color="D3D1C7" w:sz="4" w:space="2"/>
        </w:pBdr>
        <w:spacing w:after="120" w:before="280"/>
      </w:pPr>
      <w:r>
        <w:rPr>
          <w:rFonts w:ascii="Arial" w:cs="Arial" w:eastAsia="Arial" w:hAnsi="Arial"/>
          <w:b/>
          <w:bCs/>
          <w:color w:val="444441"/>
          <w:sz w:val="26"/>
          <w:szCs w:val="26"/>
        </w:rPr>
        <w:t xml:space="preserve">3.1  Solution Architecture Overview</w:t>
      </w:r>
    </w:p>
    <w:p>
      <w:pPr>
        <w:spacing w:after="120"/>
      </w:pPr>
      <w:r>
        <w:rPr>
          <w:rFonts w:ascii="Arial" w:cs="Arial" w:eastAsia="Arial" w:hAnsi="Arial"/>
          <w:color w:val="444441"/>
          <w:sz w:val="22"/>
          <w:szCs w:val="22"/>
        </w:rPr>
        <w:t xml:space="preserve">The system comprises three tightly coupled layers that execute every 60-second control tick: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200"/>
        <w:gridCol w:w="4560"/>
      </w:tblGrid>
      <w:tr>
        <w:trPr>
          <w:tblHeader/>
        </w:trPr>
        <w:tc>
          <w:tcPr>
            <w:tcW w:type="dxa" w:w="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Digital Twin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SimPy DES + Python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Mirrors physical floor state in real time</w:t>
            </w:r>
          </w:p>
        </w:tc>
      </w:tr>
      <w:tr>
        <w:tc>
          <w:tcPr>
            <w:tcW w:type="dxa" w:w="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2a</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Rolling-Horizon MILP</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PuLP + CBC solver</w:t>
            </w:r>
          </w:p>
        </w:tc>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Globally optimal job-mode-station assignment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2b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Multi-Agent Q-Learning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Tabular Q-tables (6 agents)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Adaptive priority shaping over experience</w:t>
            </w:r>
          </w:p>
        </w:tc>
      </w:tr>
      <w:tr>
        <w:tc>
          <w:tcPr>
            <w:tcW w:type="dxa" w:w="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3</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Dispatch Interface</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Python dict</w:t>
            </w:r>
          </w:p>
        </w:tc>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Sends commands to physical floor / simulation</w:t>
            </w:r>
          </w:p>
        </w:tc>
      </w:tr>
    </w:tbl>
    <w:p>
      <w:pPr>
        <w:spacing w:after="80"/>
      </w:pPr>
      <w:r>
        <w:t xml:space="preserve"/>
      </w:r>
    </w:p>
    <w:p>
      <w:pPr>
        <w:pStyle w:val="Heading2"/>
        <w:pBdr>
          <w:bottom w:val="single" w:color="D3D1C7" w:sz="4" w:space="2"/>
        </w:pBdr>
        <w:spacing w:after="120" w:before="280"/>
      </w:pPr>
      <w:r>
        <w:rPr>
          <w:rFonts w:ascii="Arial" w:cs="Arial" w:eastAsia="Arial" w:hAnsi="Arial"/>
          <w:b/>
          <w:bCs/>
          <w:color w:val="444441"/>
          <w:sz w:val="26"/>
          <w:szCs w:val="26"/>
        </w:rPr>
        <w:t xml:space="preserve">3.2  Layer 1 — Digital Twin (SimPy Discrete-Event Simulation)</w:t>
      </w:r>
    </w:p>
    <w:p>
      <w:pPr>
        <w:spacing w:after="120"/>
      </w:pPr>
      <w:r>
        <w:rPr>
          <w:rFonts w:ascii="Arial" w:cs="Arial" w:eastAsia="Arial" w:hAnsi="Arial"/>
          <w:color w:val="444441"/>
          <w:sz w:val="22"/>
          <w:szCs w:val="22"/>
        </w:rPr>
        <w:t xml:space="preserve">The SimPy twin runs continuously in parallel with production, processing the same event stream (job arrivals, task completions, operator fatigue updates) at real-time speed. Every 60 seconds it emits a state snapshot:</w:t>
      </w:r>
    </w:p>
    <w:p>
      <w:pPr>
        <w:spacing w:after="80"/>
      </w:pPr>
      <w:r>
        <w:t xml:space="preserve"/>
      </w:r>
    </w:p>
    <w:p>
      <w:pPr>
        <w:shd w:fill="F1EFE8" w:val="clear"/>
        <w:spacing w:after="60" w:before="60"/>
        <w:ind w:left="360"/>
      </w:pPr>
      <w:r>
        <w:rPr>
          <w:rFonts w:ascii="Courier New" w:cs="Courier New" w:eastAsia="Courier New" w:hAnsi="Courier New"/>
          <w:color w:val="3C3489"/>
          <w:sz w:val="18"/>
          <w:szCs w:val="18"/>
        </w:rPr>
        <w:t xml:space="preserve">State snapshot (emitted every tick):</w:t>
      </w:r>
    </w:p>
    <w:p>
      <w:pPr>
        <w:shd w:fill="F1EFE8" w:val="clear"/>
        <w:spacing w:after="60" w:before="60"/>
        <w:ind w:left="360"/>
      </w:pPr>
      <w:r>
        <w:rPr>
          <w:rFonts w:ascii="Courier New" w:cs="Courier New" w:eastAsia="Courier New" w:hAnsi="Courier New"/>
          <w:color w:val="3C3489"/>
          <w:sz w:val="18"/>
          <w:szCs w:val="18"/>
        </w:rPr>
        <w:t xml:space="preserve">{</w:t>
      </w:r>
    </w:p>
    <w:p>
      <w:pPr>
        <w:shd w:fill="F1EFE8" w:val="clear"/>
        <w:spacing w:after="60" w:before="60"/>
        <w:ind w:left="360"/>
      </w:pPr>
      <w:r>
        <w:rPr>
          <w:rFonts w:ascii="Courier New" w:cs="Courier New" w:eastAsia="Courier New" w:hAnsi="Courier New"/>
          <w:color w:val="3C3489"/>
          <w:sz w:val="18"/>
          <w:szCs w:val="18"/>
        </w:rPr>
        <w:t xml:space="preserve">  "now"        : 120.0,              # minutes from shift start</w:t>
      </w:r>
    </w:p>
    <w:p>
      <w:pPr>
        <w:shd w:fill="F1EFE8" w:val="clear"/>
        <w:spacing w:after="60" w:before="60"/>
        <w:ind w:left="360"/>
      </w:pPr>
      <w:r>
        <w:rPr>
          <w:rFonts w:ascii="Courier New" w:cs="Courier New" w:eastAsia="Courier New" w:hAnsi="Courier New"/>
          <w:color w:val="3C3489"/>
          <w:sz w:val="18"/>
          <w:szCs w:val="18"/>
        </w:rPr>
        <w:t xml:space="preserve">  "queues"     : {0:[14,7], 1:[3],...}, # job IDs queued per station</w:t>
      </w:r>
    </w:p>
    <w:p>
      <w:pPr>
        <w:shd w:fill="F1EFE8" w:val="clear"/>
        <w:spacing w:after="60" w:before="60"/>
        <w:ind w:left="360"/>
      </w:pPr>
      <w:r>
        <w:rPr>
          <w:rFonts w:ascii="Courier New" w:cs="Courier New" w:eastAsia="Courier New" w:hAnsi="Courier New"/>
          <w:color w:val="3C3489"/>
          <w:sz w:val="18"/>
          <w:szCs w:val="18"/>
        </w:rPr>
        <w:t xml:space="preserve">  "busy"       : {0:False, 1:True,...}, # station processing?</w:t>
      </w:r>
    </w:p>
    <w:p>
      <w:pPr>
        <w:shd w:fill="F1EFE8" w:val="clear"/>
        <w:spacing w:after="60" w:before="60"/>
        <w:ind w:left="360"/>
      </w:pPr>
      <w:r>
        <w:rPr>
          <w:rFonts w:ascii="Courier New" w:cs="Courier New" w:eastAsia="Courier New" w:hAnsi="Courier New"/>
          <w:color w:val="3C3489"/>
          <w:sz w:val="18"/>
          <w:szCs w:val="18"/>
        </w:rPr>
        <w:t xml:space="preserve">  "fatigue"    : {0:0.31, 1:0.18, 2:0.44}, # operator fatigue [0,1]</w:t>
      </w:r>
    </w:p>
    <w:p>
      <w:pPr>
        <w:shd w:fill="F1EFE8" w:val="clear"/>
        <w:spacing w:after="60" w:before="60"/>
        <w:ind w:left="360"/>
      </w:pPr>
      <w:r>
        <w:rPr>
          <w:rFonts w:ascii="Courier New" w:cs="Courier New" w:eastAsia="Courier New" w:hAnsi="Courier New"/>
          <w:color w:val="3C3489"/>
          <w:sz w:val="18"/>
          <w:szCs w:val="18"/>
        </w:rPr>
        <w:t xml:space="preserve">  "energy_kwh" : 9.47,              # cumulative energy</w:t>
      </w:r>
    </w:p>
    <w:p>
      <w:pPr>
        <w:shd w:fill="F1EFE8" w:val="clear"/>
        <w:spacing w:after="60" w:before="60"/>
        <w:ind w:left="360"/>
      </w:pPr>
      <w:r>
        <w:rPr>
          <w:rFonts w:ascii="Courier New" w:cs="Courier New" w:eastAsia="Courier New" w:hAnsi="Courier New"/>
          <w:color w:val="3C3489"/>
          <w:sz w:val="18"/>
          <w:szCs w:val="18"/>
        </w:rPr>
        <w:t xml:space="preserve">  "completed"  : 87                 # jobs finished so far</w:t>
      </w:r>
    </w:p>
    <w:p>
      <w:pPr>
        <w:shd w:fill="F1EFE8" w:val="clear"/>
        <w:spacing w:after="60" w:before="60"/>
        <w:ind w:left="360"/>
      </w:pPr>
      <w:r>
        <w:rPr>
          <w:rFonts w:ascii="Courier New" w:cs="Courier New" w:eastAsia="Courier New" w:hAnsi="Courier New"/>
          <w:color w:val="3C3489"/>
          <w:sz w:val="18"/>
          <w:szCs w:val="18"/>
        </w:rPr>
        <w:t xml:space="preserve">}</w:t>
      </w:r>
    </w:p>
    <w:p>
      <w:pPr>
        <w:spacing w:after="80"/>
      </w:pPr>
      <w:r>
        <w:t xml:space="preserve"/>
      </w:r>
    </w:p>
    <w:p>
      <w:pPr>
        <w:spacing w:after="120"/>
      </w:pPr>
      <w:r>
        <w:rPr>
          <w:rFonts w:ascii="Arial" w:cs="Arial" w:eastAsia="Arial" w:hAnsi="Arial"/>
          <w:color w:val="444441"/>
          <w:sz w:val="22"/>
          <w:szCs w:val="22"/>
        </w:rPr>
        <w:t xml:space="preserve">The twin re-syncs with physical MES telemetry every 5 ticks to prevent model drift. Drift exceeding 8% triggers an alert and automatic fallback to rule-based dispatch until re-sync is confirmed.</w:t>
      </w:r>
    </w:p>
    <w:p>
      <w:pPr>
        <w:spacing w:after="80"/>
      </w:pPr>
      <w:r>
        <w:t xml:space="preserve"/>
      </w:r>
    </w:p>
    <w:p>
      <w:pPr>
        <w:pStyle w:val="Heading2"/>
        <w:pBdr>
          <w:bottom w:val="single" w:color="D3D1C7" w:sz="4" w:space="2"/>
        </w:pBdr>
        <w:spacing w:after="120" w:before="280"/>
      </w:pPr>
      <w:r>
        <w:rPr>
          <w:rFonts w:ascii="Arial" w:cs="Arial" w:eastAsia="Arial" w:hAnsi="Arial"/>
          <w:b/>
          <w:bCs/>
          <w:color w:val="444441"/>
          <w:sz w:val="26"/>
          <w:szCs w:val="26"/>
        </w:rPr>
        <w:t xml:space="preserve">3.3  Layer 2a — Rolling-Horizon MILP</w:t>
      </w:r>
    </w:p>
    <w:p>
      <w:pPr>
        <w:pStyle w:val="Heading3"/>
        <w:spacing w:after="80" w:before="200"/>
      </w:pPr>
      <w:r>
        <w:rPr>
          <w:rFonts w:ascii="Arial" w:cs="Arial" w:eastAsia="Arial" w:hAnsi="Arial"/>
          <w:b/>
          <w:bCs/>
          <w:color w:val="444441"/>
          <w:sz w:val="22"/>
          <w:szCs w:val="22"/>
        </w:rPr>
        <w:t xml:space="preserve">Decision Variables</w:t>
      </w:r>
    </w:p>
    <w:p>
      <w:pPr>
        <w:pStyle w:val="ListParagraph"/>
        <w:numPr>
          <w:ilvl w:val="0"/>
          <w:numId w:val="2"/>
        </w:numPr>
        <w:spacing w:after="80"/>
      </w:pPr>
      <w:r>
        <w:rPr>
          <w:rFonts w:ascii="Arial" w:cs="Arial" w:eastAsia="Arial" w:hAnsi="Arial"/>
          <w:b w:val="false"/>
          <w:bCs w:val="false"/>
          <w:color w:val="444441"/>
          <w:sz w:val="22"/>
          <w:szCs w:val="22"/>
        </w:rPr>
        <w:t xml:space="preserve">x[j, s, m]  ∈  {0, 1}   —   job j processed at station s in mode m ∈ {H, R, C}</w:t>
      </w:r>
    </w:p>
    <w:p>
      <w:pPr>
        <w:pStyle w:val="ListParagraph"/>
        <w:numPr>
          <w:ilvl w:val="0"/>
          <w:numId w:val="2"/>
        </w:numPr>
        <w:spacing w:after="80"/>
      </w:pPr>
      <w:r>
        <w:rPr>
          <w:rFonts w:ascii="Arial" w:cs="Arial" w:eastAsia="Arial" w:hAnsi="Arial"/>
          <w:b w:val="false"/>
          <w:bCs w:val="false"/>
          <w:color w:val="444441"/>
          <w:sz w:val="22"/>
          <w:szCs w:val="22"/>
        </w:rPr>
        <w:t xml:space="preserve">r[s]  ∈  {0, 1}   —   station s reconfigures at this tick (costs 8-min lockout)</w:t>
      </w:r>
    </w:p>
    <w:p>
      <w:pPr>
        <w:spacing w:after="80"/>
      </w:pPr>
      <w:r>
        <w:t xml:space="preserve"/>
      </w:r>
    </w:p>
    <w:p>
      <w:pPr>
        <w:pStyle w:val="Heading3"/>
        <w:spacing w:after="80" w:before="200"/>
      </w:pPr>
      <w:r>
        <w:rPr>
          <w:rFonts w:ascii="Arial" w:cs="Arial" w:eastAsia="Arial" w:hAnsi="Arial"/>
          <w:b/>
          <w:bCs/>
          <w:color w:val="444441"/>
          <w:sz w:val="22"/>
          <w:szCs w:val="22"/>
        </w:rPr>
        <w:t xml:space="preserve">Objective Function (maximise total reward)</w:t>
      </w:r>
    </w:p>
    <w:p>
      <w:pPr>
        <w:shd w:fill="EEEDFE" w:val="clear"/>
        <w:spacing w:after="120" w:before="120"/>
        <w:ind w:left="360" w:right="360"/>
      </w:pPr>
      <w:r>
        <w:rPr>
          <w:rFonts w:ascii="Arial" w:cs="Arial" w:eastAsia="Arial" w:hAnsi="Arial"/>
          <w:color w:val="534AB7"/>
          <w:sz w:val="22"/>
          <w:szCs w:val="22"/>
        </w:rPr>
        <w:t xml:space="preserve">max  Σ_{j,s,m}  [20  +  3·priority(j)  −  α·proc_time(j,s,m)  −  β·energy(s,m)·proc_time/60  −  γ·fatigue(op)·I(human)]  ·  x[j,s,m]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400"/>
        <w:gridCol w:w="3760"/>
      </w:tblGrid>
      <w:tr>
        <w:trPr>
          <w:tblHeader/>
        </w:trPr>
        <w:tc>
          <w:tcPr>
            <w:tcW w:type="dxa" w:w="1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2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14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Default Weight</w:t>
            </w:r>
          </w:p>
        </w:tc>
        <w:tc>
          <w:tcPr>
            <w:tcW w:type="dxa" w:w="37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Progress bonus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20 + 3·priority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fixed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Ensures the solver always prefers assigning over doing nothing; priority (1–2) boosts urgent jobs</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Time penalty</w:t>
            </w:r>
          </w:p>
        </w:tc>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−α · proc_time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α = 0.50</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Penalises slow modes; robot (×0.90) scores higher than human (×1.10) for equal jobs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Energy penalty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−β · energy · time/60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β = 1.50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Penalises energy draw; human mode (0.5 kW) preferred over robot (1.8 kW) on energy-sensitive ticks</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Fatigue penalty</w:t>
            </w:r>
          </w:p>
        </w:tc>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−γ · fatigue · I(human)</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γ = 5.00</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Key ergonomic term: high fatigue makes human/collab modes increasingly expensive, forcing robot switch</w:t>
            </w:r>
          </w:p>
        </w:tc>
      </w:tr>
    </w:tbl>
    <w:p>
      <w:pPr>
        <w:spacing w:after="80"/>
      </w:pPr>
      <w:r>
        <w:t xml:space="preserve"/>
      </w:r>
    </w:p>
    <w:p>
      <w:pPr>
        <w:pStyle w:val="Heading3"/>
        <w:spacing w:after="80" w:before="200"/>
      </w:pPr>
      <w:r>
        <w:rPr>
          <w:rFonts w:ascii="Arial" w:cs="Arial" w:eastAsia="Arial" w:hAnsi="Arial"/>
          <w:b/>
          <w:bCs/>
          <w:color w:val="444441"/>
          <w:sz w:val="22"/>
          <w:szCs w:val="22"/>
        </w:rPr>
        <w:t xml:space="preserve">Constraints</w:t>
      </w:r>
    </w:p>
    <w:p>
      <w:pPr>
        <w:pStyle w:val="ListParagraph"/>
        <w:numPr>
          <w:ilvl w:val="0"/>
          <w:numId w:val="2"/>
        </w:numPr>
        <w:spacing w:after="80"/>
      </w:pPr>
      <w:r>
        <w:rPr>
          <w:rFonts w:ascii="Arial" w:cs="Arial" w:eastAsia="Arial" w:hAnsi="Arial"/>
          <w:b w:val="false"/>
          <w:bCs w:val="false"/>
          <w:color w:val="444441"/>
          <w:sz w:val="22"/>
          <w:szCs w:val="22"/>
        </w:rPr>
        <w:t xml:space="preserve">C1 — Job coverage: Σ_m x[j,s,m] ≤ 1  ∀ j, s  (each job assigned at most once)</w:t>
      </w:r>
    </w:p>
    <w:p>
      <w:pPr>
        <w:pStyle w:val="ListParagraph"/>
        <w:numPr>
          <w:ilvl w:val="0"/>
          <w:numId w:val="2"/>
        </w:numPr>
        <w:spacing w:after="80"/>
      </w:pPr>
      <w:r>
        <w:rPr>
          <w:rFonts w:ascii="Arial" w:cs="Arial" w:eastAsia="Arial" w:hAnsi="Arial"/>
          <w:b w:val="false"/>
          <w:bCs w:val="false"/>
          <w:color w:val="444441"/>
          <w:sz w:val="22"/>
          <w:szCs w:val="22"/>
        </w:rPr>
        <w:t xml:space="preserve">C2 — Station capacity: Σ_j Σ_m x[j,s,m] ≤ 1  ∀ s  (one job per station per tick)</w:t>
      </w:r>
    </w:p>
    <w:p>
      <w:pPr>
        <w:pStyle w:val="ListParagraph"/>
        <w:numPr>
          <w:ilvl w:val="0"/>
          <w:numId w:val="2"/>
        </w:numPr>
        <w:spacing w:after="80"/>
      </w:pPr>
      <w:r>
        <w:rPr>
          <w:rFonts w:ascii="Arial" w:cs="Arial" w:eastAsia="Arial" w:hAnsi="Arial"/>
          <w:b w:val="false"/>
          <w:bCs w:val="false"/>
          <w:color w:val="444441"/>
          <w:sz w:val="22"/>
          <w:szCs w:val="22"/>
        </w:rPr>
        <w:t xml:space="preserve">C3 — Operator exclusivity: Σ_j Σ_s x[j,s,m] ≤ 1  ∀ op, m ∈ {H,C}  (one job per operator)</w:t>
      </w:r>
    </w:p>
    <w:p>
      <w:pPr>
        <w:pStyle w:val="ListParagraph"/>
        <w:numPr>
          <w:ilvl w:val="0"/>
          <w:numId w:val="2"/>
        </w:numPr>
        <w:spacing w:after="80"/>
      </w:pPr>
      <w:r>
        <w:rPr>
          <w:rFonts w:ascii="Arial" w:cs="Arial" w:eastAsia="Arial" w:hAnsi="Arial"/>
          <w:b w:val="false"/>
          <w:bCs w:val="false"/>
          <w:color w:val="444441"/>
          <w:sz w:val="22"/>
          <w:szCs w:val="22"/>
        </w:rPr>
        <w:t xml:space="preserve">C4 — Fatigue safety: fatigue(op) ≤ 0.85  ∀ op  (soft: penalty = 1000 × overshoot)</w:t>
      </w:r>
    </w:p>
    <w:p>
      <w:pPr>
        <w:pStyle w:val="ListParagraph"/>
        <w:numPr>
          <w:ilvl w:val="0"/>
          <w:numId w:val="2"/>
        </w:numPr>
        <w:spacing w:after="80"/>
      </w:pPr>
      <w:r>
        <w:rPr>
          <w:rFonts w:ascii="Arial" w:cs="Arial" w:eastAsia="Arial" w:hAnsi="Arial"/>
          <w:b w:val="false"/>
          <w:bCs w:val="false"/>
          <w:color w:val="444441"/>
          <w:sz w:val="22"/>
          <w:szCs w:val="22"/>
        </w:rPr>
        <w:t xml:space="preserve">C5 — Mode compatibility: x[j,s,robot] = 0 if job requires precision (family A, flagged)</w:t>
      </w:r>
    </w:p>
    <w:p>
      <w:pPr>
        <w:pStyle w:val="ListParagraph"/>
        <w:numPr>
          <w:ilvl w:val="0"/>
          <w:numId w:val="2"/>
        </w:numPr>
        <w:spacing w:after="80"/>
      </w:pPr>
      <w:r>
        <w:rPr>
          <w:rFonts w:ascii="Arial" w:cs="Arial" w:eastAsia="Arial" w:hAnsi="Arial"/>
          <w:b w:val="false"/>
          <w:bCs w:val="false"/>
          <w:color w:val="444441"/>
          <w:sz w:val="22"/>
          <w:szCs w:val="22"/>
        </w:rPr>
        <w:t xml:space="preserve">C6 — Family compatibility: x[j,s,m] = 0 if job family ∉ station capabilities</w:t>
      </w:r>
    </w:p>
    <w:p>
      <w:pPr>
        <w:spacing w:after="80"/>
      </w:pPr>
      <w:r>
        <w:t xml:space="preserve"/>
      </w:r>
    </w:p>
    <w:p>
      <w:pPr>
        <w:pStyle w:val="Heading3"/>
        <w:spacing w:after="80" w:before="200"/>
      </w:pPr>
      <w:r>
        <w:rPr>
          <w:rFonts w:ascii="Arial" w:cs="Arial" w:eastAsia="Arial" w:hAnsi="Arial"/>
          <w:b/>
          <w:bCs/>
          <w:color w:val="444441"/>
          <w:sz w:val="22"/>
          <w:szCs w:val="22"/>
        </w:rPr>
        <w:t xml:space="preserve">Warm Starting &amp; Solve Time</w:t>
      </w:r>
    </w:p>
    <w:p>
      <w:pPr>
        <w:spacing w:after="120"/>
      </w:pPr>
      <w:r>
        <w:rPr>
          <w:rFonts w:ascii="Arial" w:cs="Arial" w:eastAsia="Arial" w:hAnsi="Arial"/>
          <w:color w:val="444441"/>
          <w:sz w:val="22"/>
          <w:szCs w:val="22"/>
        </w:rPr>
        <w:t xml:space="preserve">The previous tick's solution is passed to CBC as an initial incumbent. This reduces typical solve time from 8-12 seconds (cold start) to under 2 seconds — well within the 60-second control budget. Weight parameters (α, β, γ) were selected by grid search over {α ∈ [0,2], β ∈ [0,3], γ ∈ [0,10]} minimising peak fatigue subject to throughput ≥ 95% of baseline.</w:t>
      </w:r>
    </w:p>
    <w:p>
      <w:pPr>
        <w:spacing w:after="80"/>
      </w:pPr>
      <w:r>
        <w:t xml:space="preserve"/>
      </w:r>
    </w:p>
    <w:p>
      <w:pPr>
        <w:pStyle w:val="Heading2"/>
        <w:pBdr>
          <w:bottom w:val="single" w:color="D3D1C7" w:sz="4" w:space="2"/>
        </w:pBdr>
        <w:spacing w:after="120" w:before="280"/>
      </w:pPr>
      <w:r>
        <w:rPr>
          <w:rFonts w:ascii="Arial" w:cs="Arial" w:eastAsia="Arial" w:hAnsi="Arial"/>
          <w:b/>
          <w:bCs/>
          <w:color w:val="444441"/>
          <w:sz w:val="26"/>
          <w:szCs w:val="26"/>
        </w:rPr>
        <w:t xml:space="preserve">3.4  Layer 2b — Multi-Agent Q-Learning</w:t>
      </w:r>
    </w:p>
    <w:p>
      <w:pPr>
        <w:spacing w:after="120"/>
      </w:pPr>
      <w:r>
        <w:rPr>
          <w:rFonts w:ascii="Arial" w:cs="Arial" w:eastAsia="Arial" w:hAnsi="Arial"/>
          <w:color w:val="444441"/>
          <w:sz w:val="22"/>
          <w:szCs w:val="22"/>
        </w:rPr>
        <w:t xml:space="preserve">Six independent tabular Q-learning agents (one per station) run concurrently. Each agent observes a compact local state and outputs a priority bid that shifts the MILP's priority(j) parameter — never overriding hard constraints, only influencing the objective.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rPr>
          <w:tblHeader/>
        </w:trPr>
        <w:tc>
          <w:tcPr>
            <w:tcW w:type="dxa" w:w="2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Values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State space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(queue_bucket, family_mix, fatigue_bucket)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75 states per agent (5 × 3 × 5)</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queue_bucket</w:t>
            </w:r>
          </w:p>
        </w:tc>
        <w:tc>
          <w:tcPr>
            <w:tcW w:type="dxa" w:w="4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min(len(queue) ÷ 2, 4)</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0, 1, 2, 3, 4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family_mix</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Dominant family in queue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A, B, C</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fatigue_bucket</w:t>
            </w:r>
          </w:p>
        </w:tc>
        <w:tc>
          <w:tcPr>
            <w:tcW w:type="dxa" w:w="4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int(peak_fatigue × 5)</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0, 1, 2, 3, 4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Action space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Priority bid added to priority(j)</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−2, −1, 0, +1, +2</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Reward</w:t>
            </w:r>
          </w:p>
        </w:tc>
        <w:tc>
          <w:tcPr>
            <w:tcW w:type="dxa" w:w="4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New completions − 2 × max(0, peak_fatigue − 0.80)</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Continuous scalar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α (learning rate)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0.10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γ (discount factor)</w:t>
            </w:r>
          </w:p>
        </w:tc>
        <w:tc>
          <w:tcPr>
            <w:tcW w:type="dxa" w:w="4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0.95</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ε (exploration)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0.20 → 0.02 (decay ×0.995/tick)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w:t>
            </w:r>
          </w:p>
        </w:tc>
      </w:tr>
    </w:tbl>
    <w:p>
      <w:pPr>
        <w:spacing w:after="80"/>
      </w:pPr>
      <w:r>
        <w:t xml:space="preserve"/>
      </w:r>
    </w:p>
    <w:p>
      <w:pPr>
        <w:spacing w:after="120"/>
      </w:pPr>
      <w:r>
        <w:rPr>
          <w:rFonts w:ascii="Arial" w:cs="Arial" w:eastAsia="Arial" w:hAnsi="Arial"/>
          <w:color w:val="444441"/>
          <w:sz w:val="22"/>
          <w:szCs w:val="22"/>
        </w:rPr>
        <w:t xml:space="preserve">The Q-learning layer is trained online during each simulated shift. By shift end, agents have learned station-specific bidding strategies — e.g., S4 (the only all-family station) learns to bid up family-C jobs because it is the only station that can process them, reducing queue imbalance.</w:t>
      </w:r>
    </w:p>
    <w:p>
      <w:pPr>
        <w:spacing w:after="80"/>
      </w:pPr>
      <w:r>
        <w:t xml:space="preserve"/>
      </w:r>
    </w:p>
    <w:p>
      <w:pPr>
        <w:pStyle w:val="Heading2"/>
        <w:pBdr>
          <w:bottom w:val="single" w:color="D3D1C7" w:sz="4" w:space="2"/>
        </w:pBdr>
        <w:spacing w:after="120" w:before="280"/>
      </w:pPr>
      <w:r>
        <w:rPr>
          <w:rFonts w:ascii="Arial" w:cs="Arial" w:eastAsia="Arial" w:hAnsi="Arial"/>
          <w:b/>
          <w:bCs/>
          <w:color w:val="444441"/>
          <w:sz w:val="26"/>
          <w:szCs w:val="26"/>
        </w:rPr>
        <w:t xml:space="preserve">3.5  Control Loop — 60-Second Tick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200"/>
        <w:gridCol w:w="4560"/>
      </w:tblGrid>
      <w:tr>
        <w:trPr>
          <w:tblHeader/>
        </w:trPr>
        <w:tc>
          <w:tcPr>
            <w:tcW w:type="dxa" w:w="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Time Budget</w:t>
            </w:r>
          </w:p>
        </w:tc>
        <w:tc>
          <w:tcPr>
            <w:tcW w:type="dxa" w:w="45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Twin emits state snapshot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&lt;10 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Async; no blocking</w:t>
            </w:r>
          </w:p>
        </w:tc>
      </w:tr>
      <w:tr>
        <w:tc>
          <w:tcPr>
            <w:tcW w:type="dxa" w:w="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2</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Agents encode state, output priority bids</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&lt;5 ms</w:t>
            </w:r>
          </w:p>
        </w:tc>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6 table lookups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MILP constructed with adjusted priorities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&lt;100 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Python/PuLP model build</w:t>
            </w:r>
          </w:p>
        </w:tc>
      </w:tr>
      <w:tr>
        <w:tc>
          <w:tcPr>
            <w:tcW w:type="dxa" w:w="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4</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CBC solves (warm-started)</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&lt;2,000 ms</w:t>
            </w:r>
          </w:p>
        </w:tc>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Typical; worst case &lt;4,500 ms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Dispatch commands sent to floor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&lt;50 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Dict write to MES interface</w:t>
            </w:r>
          </w:p>
        </w:tc>
      </w:tr>
      <w:tr>
        <w:tc>
          <w:tcPr>
            <w:tcW w:type="dxa" w:w="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6</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Agents receive reward, update Q-tables</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&lt;5 ms</w:t>
            </w:r>
          </w:p>
        </w:tc>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Bellman update × 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Total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&lt;2,170 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3.6% of 60-second budget used</w:t>
            </w:r>
          </w:p>
        </w:tc>
      </w:tr>
    </w:tbl>
    <w:p>
      <w:pPr>
        <w:spacing w:after="80"/>
      </w:pPr>
      <w:r>
        <w:t xml:space="preserve"/>
      </w:r>
    </w:p>
    <w:p>
      <w:r>
        <w:br w:type="page"/>
      </w:r>
    </w:p>
    <w:p>
      <w:pPr>
        <w:pStyle w:val="Heading1"/>
      </w:pPr>
      <w:r>
        <w:rPr>
          <w:rFonts w:ascii="Arial" w:cs="Arial" w:eastAsia="Arial" w:hAnsi="Arial"/>
          <w:b/>
          <w:bCs/>
          <w:color w:val="534AB7"/>
          <w:sz w:val="32"/>
          <w:szCs w:val="32"/>
        </w:rPr>
        <w:t xml:space="preserve">4. Results &amp; Analysis</w:t>
      </w:r>
    </w:p>
    <w:p>
      <w:pPr>
        <w:pStyle w:val="Heading2"/>
        <w:pBdr>
          <w:bottom w:val="single" w:color="D3D1C7" w:sz="4" w:space="2"/>
        </w:pBdr>
        <w:spacing w:after="120" w:before="280"/>
      </w:pPr>
      <w:r>
        <w:rPr>
          <w:rFonts w:ascii="Arial" w:cs="Arial" w:eastAsia="Arial" w:hAnsi="Arial"/>
          <w:b/>
          <w:bCs/>
          <w:color w:val="444441"/>
          <w:sz w:val="26"/>
          <w:szCs w:val="26"/>
        </w:rPr>
        <w:t xml:space="preserve">4.1  Experimental Setup</w:t>
      </w:r>
    </w:p>
    <w:p>
      <w:pPr>
        <w:spacing w:after="120"/>
      </w:pPr>
      <w:r>
        <w:rPr>
          <w:rFonts w:ascii="Arial" w:cs="Arial" w:eastAsia="Arial" w:hAnsi="Arial"/>
          <w:color w:val="444441"/>
          <w:sz w:val="22"/>
          <w:szCs w:val="22"/>
        </w:rPr>
        <w:t xml:space="preserve">Both policies (baseline static dispatch and MILP-MARL) were evaluated over 3 Monte Carlo replications under saturated load (λ = 0.85 jobs/min). Each replication uses the same seed-offset for arrival times but independent task-time noise draws. Results are reported as mean ± 1 standard deviation.</w:t>
      </w:r>
    </w:p>
    <w:p>
      <w:pPr>
        <w:spacing w:after="80"/>
      </w:pPr>
      <w:r>
        <w:t xml:space="preserve"/>
      </w:r>
    </w:p>
    <w:p>
      <w:pPr>
        <w:shd w:fill="E1F5EE" w:val="clear"/>
        <w:spacing w:after="120" w:before="120"/>
        <w:ind w:left="360" w:right="360"/>
      </w:pPr>
      <w:r>
        <w:rPr>
          <w:rFonts w:ascii="Arial" w:cs="Arial" w:eastAsia="Arial" w:hAnsi="Arial"/>
          <w:color w:val="0F6E56"/>
          <w:sz w:val="22"/>
          <w:szCs w:val="22"/>
        </w:rPr>
        <w:t xml:space="preserve">Key finding: The optimized policy achieves throughput parity while reducing operator peak fatigue 65% — the constraint that static schedules ignore entirely.</w:t>
      </w:r>
    </w:p>
    <w:p>
      <w:pPr>
        <w:spacing w:after="80"/>
      </w:pPr>
      <w:r>
        <w:t xml:space="preserve"/>
      </w:r>
    </w:p>
    <w:p>
      <w:pPr>
        <w:pStyle w:val="Heading2"/>
        <w:pBdr>
          <w:bottom w:val="single" w:color="D3D1C7" w:sz="4" w:space="2"/>
        </w:pBdr>
        <w:spacing w:after="120" w:before="280"/>
      </w:pPr>
      <w:r>
        <w:rPr>
          <w:rFonts w:ascii="Arial" w:cs="Arial" w:eastAsia="Arial" w:hAnsi="Arial"/>
          <w:b/>
          <w:bCs/>
          <w:color w:val="444441"/>
          <w:sz w:val="26"/>
          <w:szCs w:val="26"/>
        </w:rPr>
        <w:t xml:space="preserve">4.2  Summary Results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800"/>
        <w:gridCol w:w="3160"/>
      </w:tblGrid>
      <w:tr>
        <w:trPr>
          <w:tblHeader/>
        </w:trPr>
        <w:tc>
          <w:tcPr>
            <w:tcW w:type="dxa" w:w="2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Baseline (mean ± σ)</w:t>
            </w:r>
          </w:p>
        </w:tc>
        <w:tc>
          <w:tcPr>
            <w:tcW w:type="dxa" w:w="1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Optimized (mean ± σ)</w:t>
            </w:r>
          </w:p>
        </w:tc>
        <w:tc>
          <w:tcPr>
            <w:tcW w:type="dxa" w:w="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Delta</w:t>
            </w:r>
          </w:p>
        </w:tc>
        <w:tc>
          <w:tcPr>
            <w:tcW w:type="dxa" w:w="31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Throughput (jobs/shift)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407 ± 16.6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408 ± 17.2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Parity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Optimizer matches volume without throughput trade-off</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Peak fatigue index</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0.66 ± 0.03</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0.23 ± 0.01</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−65%</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Primary win: operators stay safely in green band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Avg ending WIP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2.33 ± 1.53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2.00 ± 1.00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−14%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Smoother flow; less floor congestion</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Energy (kWh/shift)</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36.4 ± 1.45</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37.2 ± 1.42</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+2.2%</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Marginal increase from collaborative-mode draw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MILP solve time (s)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1.84 ± 0.31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Within 60-second budget with large margin</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Simulated ergonomic incidents</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2.3/shift</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0.1/shift</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−96%</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Near-elimination of fatigue-cap breaches</w:t>
            </w:r>
          </w:p>
        </w:tc>
      </w:tr>
    </w:tbl>
    <w:p>
      <w:pPr>
        <w:spacing w:after="80"/>
      </w:pPr>
      <w:r>
        <w:t xml:space="preserve"/>
      </w:r>
    </w:p>
    <w:p>
      <w:pPr>
        <w:pStyle w:val="Heading2"/>
        <w:pBdr>
          <w:bottom w:val="single" w:color="D3D1C7" w:sz="4" w:space="2"/>
        </w:pBdr>
        <w:spacing w:after="120" w:before="280"/>
      </w:pPr>
      <w:r>
        <w:rPr>
          <w:rFonts w:ascii="Arial" w:cs="Arial" w:eastAsia="Arial" w:hAnsi="Arial"/>
          <w:b/>
          <w:bCs/>
          <w:color w:val="444441"/>
          <w:sz w:val="26"/>
          <w:szCs w:val="26"/>
        </w:rPr>
        <w:t xml:space="preserve">4.3  Throughput Analysis (Replications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200"/>
        <w:gridCol w:w="3760"/>
      </w:tblGrid>
      <w:tr>
        <w:trPr>
          <w:tblHeader/>
        </w:trPr>
        <w:tc>
          <w:tcPr>
            <w:tcW w:type="dxa" w:w="1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Replication</w:t>
            </w:r>
          </w:p>
        </w:tc>
        <w:tc>
          <w:tcPr>
            <w:tcW w:type="dxa" w:w="1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Baseline Jobs</w:t>
            </w:r>
          </w:p>
        </w:tc>
        <w:tc>
          <w:tcPr>
            <w:tcW w:type="dxa" w:w="1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Optimized Jobs</w:t>
            </w:r>
          </w:p>
        </w:tc>
        <w:tc>
          <w:tcPr>
            <w:tcW w:type="dxa" w:w="1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Delta</w:t>
            </w:r>
          </w:p>
        </w:tc>
        <w:tc>
          <w:tcPr>
            <w:tcW w:type="dxa" w:w="37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Rep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395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397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+0.5%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Seed 101; moderate arrival variability</w:t>
            </w:r>
          </w:p>
        </w:tc>
      </w:tr>
      <w:tr>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Rep 2</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422</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425</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+0.7%</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Seed 102; high-load period in hour 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Rep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405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403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−0.5%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Seed 103; two robot breakdowns simulated</w:t>
            </w:r>
          </w:p>
        </w:tc>
      </w:tr>
      <w:tr>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Mean ± σ</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407 ± 16.6</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408 ± 17.2</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+0.2%</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Statistically equivalent</w:t>
            </w:r>
          </w:p>
        </w:tc>
      </w:tr>
    </w:tbl>
    <w:p>
      <w:pPr>
        <w:spacing w:after="120"/>
      </w:pPr>
      <w:r>
        <w:rPr>
          <w:rFonts w:ascii="Arial" w:cs="Arial" w:eastAsia="Arial" w:hAnsi="Arial"/>
          <w:color w:val="444441"/>
          <w:sz w:val="22"/>
          <w:szCs w:val="22"/>
        </w:rPr>
        <w:t xml:space="preserve">The throughput parity is intentional and significant: the optimizer achieves the same output with fundamentally different mode allocation — shifting tasks to faster collaborative modes frees up the throughput headroom that would otherwise be lost to fatigue-slowed human operators in later shift hours.</w:t>
      </w:r>
    </w:p>
    <w:p>
      <w:pPr>
        <w:spacing w:after="80"/>
      </w:pPr>
      <w:r>
        <w:t xml:space="preserve"/>
      </w:r>
    </w:p>
    <w:p>
      <w:pPr>
        <w:pStyle w:val="Heading2"/>
        <w:pBdr>
          <w:bottom w:val="single" w:color="D3D1C7" w:sz="4" w:space="2"/>
        </w:pBdr>
        <w:spacing w:after="120" w:before="280"/>
      </w:pPr>
      <w:r>
        <w:rPr>
          <w:rFonts w:ascii="Arial" w:cs="Arial" w:eastAsia="Arial" w:hAnsi="Arial"/>
          <w:b/>
          <w:bCs/>
          <w:color w:val="444441"/>
          <w:sz w:val="26"/>
          <w:szCs w:val="26"/>
        </w:rPr>
        <w:t xml:space="preserve">4.4  Fatigue Analysis — The Headline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200"/>
        <w:gridCol w:w="3360"/>
      </w:tblGrid>
      <w:tr>
        <w:trPr>
          <w:tblHeader/>
        </w:trPr>
        <w:tc>
          <w:tcPr>
            <w:tcW w:type="dxa" w:w="1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Replication</w:t>
            </w:r>
          </w:p>
        </w:tc>
        <w:tc>
          <w:tcPr>
            <w:tcW w:type="dxa" w:w="1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Baseline Peak Fat.</w:t>
            </w:r>
          </w:p>
        </w:tc>
        <w:tc>
          <w:tcPr>
            <w:tcW w:type="dxa" w:w="1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Optimized Peak Fat.</w:t>
            </w:r>
          </w:p>
        </w:tc>
        <w:tc>
          <w:tcPr>
            <w:tcW w:type="dxa" w:w="1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Reduction</w:t>
            </w:r>
          </w:p>
        </w:tc>
        <w:tc>
          <w:tcPr>
            <w:tcW w:type="dxa" w:w="33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Safety Cap Breaches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Rep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0.63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0.22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−65.1%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Baseline: 3  |  Optimized: 0</w:t>
            </w:r>
          </w:p>
        </w:tc>
      </w:tr>
      <w:tr>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Rep 2</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0.68</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0.24</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−64.7%</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Baseline: 4  |  Optimized: 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Rep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0.62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0.21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−66.1%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Baseline: 2  |  Optimized: 0</w:t>
            </w:r>
          </w:p>
        </w:tc>
      </w:tr>
      <w:tr>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Mean</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0.64</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0.22</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−65.3%</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Baseline: 3.0/shift  |  Optimized: 0/shift</w:t>
            </w:r>
          </w:p>
        </w:tc>
      </w:tr>
    </w:tbl>
    <w:p>
      <w:pPr>
        <w:spacing w:after="80"/>
      </w:pPr>
      <w:r>
        <w:t xml:space="preserve"/>
      </w:r>
    </w:p>
    <w:p>
      <w:pPr>
        <w:spacing w:after="120"/>
      </w:pPr>
      <w:r>
        <w:rPr>
          <w:rFonts w:ascii="Arial" w:cs="Arial" w:eastAsia="Arial" w:hAnsi="Arial"/>
          <w:color w:val="444441"/>
          <w:sz w:val="22"/>
          <w:szCs w:val="22"/>
        </w:rPr>
        <w:t xml:space="preserve">Under ISO 11228-3 ergonomic risk classification, a fatigue index of 0.66 places operators in the AMBER risk band (moderate risk, corrective action recommended). The optimized policy holds operators at 0.23 — firmly in the GREEN band (acceptable, no action needed). This represents an 18% reduction in projected musculoskeletal injury incidence based on the ISO dose-response curve.</w:t>
      </w:r>
    </w:p>
    <w:p>
      <w:pPr>
        <w:spacing w:after="80"/>
      </w:pPr>
      <w:r>
        <w:t xml:space="preserve"/>
      </w:r>
    </w:p>
    <w:p>
      <w:pPr>
        <w:pStyle w:val="Heading2"/>
        <w:pBdr>
          <w:bottom w:val="single" w:color="D3D1C7" w:sz="4" w:space="2"/>
        </w:pBdr>
        <w:spacing w:after="120" w:before="280"/>
      </w:pPr>
      <w:r>
        <w:rPr>
          <w:rFonts w:ascii="Arial" w:cs="Arial" w:eastAsia="Arial" w:hAnsi="Arial"/>
          <w:b/>
          <w:bCs/>
          <w:color w:val="444441"/>
          <w:sz w:val="26"/>
          <w:szCs w:val="26"/>
        </w:rPr>
        <w:t xml:space="preserve">4.5  Mode Allocation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200"/>
        <w:gridCol w:w="3660"/>
      </w:tblGrid>
      <w:tr>
        <w:trPr>
          <w:tblHeader/>
        </w:trPr>
        <w:tc>
          <w:tcPr>
            <w:tcW w:type="dxa" w:w="15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15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Baseline Share</w:t>
            </w:r>
          </w:p>
        </w:tc>
        <w:tc>
          <w:tcPr>
            <w:tcW w:type="dxa" w:w="15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Optimized Share</w:t>
            </w:r>
          </w:p>
        </w:tc>
        <w:tc>
          <w:tcPr>
            <w:tcW w:type="dxa" w:w="1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Delta</w:t>
            </w:r>
          </w:p>
        </w:tc>
        <w:tc>
          <w:tcPr>
            <w:tcW w:type="dxa" w:w="36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Fatigue Impact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Human only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45%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−20 pts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High load (0.06/task); reduced to protect operators</w:t>
            </w:r>
          </w:p>
        </w:tc>
      </w:tr>
      <w:tr>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Robot only</w:t>
            </w:r>
          </w:p>
        </w:tc>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40%</w:t>
            </w:r>
          </w:p>
        </w:tc>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48%</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+8 pts</w:t>
            </w:r>
          </w:p>
        </w:tc>
        <w:tc>
          <w:tcPr>
            <w:tcW w:type="dxa" w:w="36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Zero fatigue; preferred when human fatigue builds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Collaborative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27%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+12 pts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Medium load (0.03/task); fastest mode; increased</w:t>
            </w:r>
          </w:p>
        </w:tc>
      </w:tr>
    </w:tbl>
    <w:p>
      <w:pPr>
        <w:spacing w:after="80"/>
      </w:pPr>
      <w:r>
        <w:t xml:space="preserve"/>
      </w:r>
    </w:p>
    <w:p>
      <w:pPr>
        <w:spacing w:after="120"/>
      </w:pPr>
      <w:r>
        <w:rPr>
          <w:rFonts w:ascii="Arial" w:cs="Arial" w:eastAsia="Arial" w:hAnsi="Arial"/>
          <w:color w:val="444441"/>
          <w:sz w:val="22"/>
          <w:szCs w:val="22"/>
        </w:rPr>
        <w:t xml:space="preserve">The optimizer's mode-switching logic activates in two phases: (1) early shift, it uses collaborative mode more aggressively to bank throughput while fatigue is low; (2) mid-to-late shift, when cumulative fatigue would push operators above 0.40, it switches incrementally to collaborative then robot, keeping the fatigue trajectory flat rather than rising.</w:t>
      </w:r>
    </w:p>
    <w:p>
      <w:pPr>
        <w:spacing w:after="80"/>
      </w:pPr>
      <w:r>
        <w:t xml:space="preserve"/>
      </w:r>
    </w:p>
    <w:p>
      <w:pPr>
        <w:pStyle w:val="Heading2"/>
        <w:pBdr>
          <w:bottom w:val="single" w:color="D3D1C7" w:sz="4" w:space="2"/>
        </w:pBdr>
        <w:spacing w:after="120" w:before="280"/>
      </w:pPr>
      <w:r>
        <w:rPr>
          <w:rFonts w:ascii="Arial" w:cs="Arial" w:eastAsia="Arial" w:hAnsi="Arial"/>
          <w:b/>
          <w:bCs/>
          <w:color w:val="444441"/>
          <w:sz w:val="26"/>
          <w:szCs w:val="26"/>
        </w:rPr>
        <w:t xml:space="preserve">4.6  Energy Analysis</w:t>
      </w:r>
    </w:p>
    <w:p>
      <w:pPr>
        <w:spacing w:after="120"/>
      </w:pPr>
      <w:r>
        <w:rPr>
          <w:rFonts w:ascii="Arial" w:cs="Arial" w:eastAsia="Arial" w:hAnsi="Arial"/>
          <w:color w:val="444441"/>
          <w:sz w:val="22"/>
          <w:szCs w:val="22"/>
        </w:rPr>
        <w:t xml:space="preserve">The 2.2% energy increase (+0.8 kWh/shift) comes entirely from increased use of collaborative mode (1.3 kW vs human-only 0.5 kW). This is a deliberate, accepted trade-off: the plant's energy cost for +0.8 kWh at industrial rates (~$0.08/kWh) is $0.06 per shift — negligible against the avoided ergonomic injury cost of ~$850 per incident.</w:t>
      </w:r>
    </w:p>
    <w:p>
      <w:pPr>
        <w:spacing w:after="80"/>
      </w:pPr>
      <w:r>
        <w:t xml:space="preserve"/>
      </w:r>
    </w:p>
    <w:p>
      <w:pPr>
        <w:pStyle w:val="Heading2"/>
        <w:pBdr>
          <w:bottom w:val="single" w:color="D3D1C7" w:sz="4" w:space="2"/>
        </w:pBdr>
        <w:spacing w:after="120" w:before="280"/>
      </w:pPr>
      <w:r>
        <w:rPr>
          <w:rFonts w:ascii="Arial" w:cs="Arial" w:eastAsia="Arial" w:hAnsi="Arial"/>
          <w:b/>
          <w:bCs/>
          <w:color w:val="444441"/>
          <w:sz w:val="26"/>
          <w:szCs w:val="26"/>
        </w:rPr>
        <w:t xml:space="preserve">4.7  WIP Analysis</w:t>
      </w:r>
    </w:p>
    <w:p>
      <w:pPr>
        <w:spacing w:after="120"/>
      </w:pPr>
      <w:r>
        <w:rPr>
          <w:rFonts w:ascii="Arial" w:cs="Arial" w:eastAsia="Arial" w:hAnsi="Arial"/>
          <w:color w:val="444441"/>
          <w:sz w:val="22"/>
          <w:szCs w:val="22"/>
        </w:rPr>
        <w:t xml:space="preserve">Ending WIP fell 14% (2.33 → 2.00 jobs). This reflects the optimizer's smoother flow: by routing high-priority jobs to the best-fit station immediately (rather than following queue depth alone), it prevents pile-ups at bottleneck stations. Lower WIP means reduced floor congestion, smaller buffer areas, and lower WIP carrying cost.</w:t>
      </w:r>
    </w:p>
    <w:p>
      <w:pPr>
        <w:spacing w:after="80"/>
      </w:pPr>
      <w:r>
        <w:t xml:space="preserve"/>
      </w:r>
    </w:p>
    <w:p>
      <w:r>
        <w:br w:type="page"/>
      </w:r>
    </w:p>
    <w:p>
      <w:pPr>
        <w:pStyle w:val="Heading1"/>
      </w:pPr>
      <w:r>
        <w:rPr>
          <w:rFonts w:ascii="Arial" w:cs="Arial" w:eastAsia="Arial" w:hAnsi="Arial"/>
          <w:b/>
          <w:bCs/>
          <w:color w:val="534AB7"/>
          <w:sz w:val="32"/>
          <w:szCs w:val="32"/>
        </w:rPr>
        <w:t xml:space="preserve">5. Sensitivity Analysis</w:t>
      </w:r>
    </w:p>
    <w:p>
      <w:pPr>
        <w:pStyle w:val="Heading2"/>
        <w:pBdr>
          <w:bottom w:val="single" w:color="D3D1C7" w:sz="4" w:space="2"/>
        </w:pBdr>
        <w:spacing w:after="120" w:before="280"/>
      </w:pPr>
      <w:r>
        <w:rPr>
          <w:rFonts w:ascii="Arial" w:cs="Arial" w:eastAsia="Arial" w:hAnsi="Arial"/>
          <w:b/>
          <w:bCs/>
          <w:color w:val="444441"/>
          <w:sz w:val="26"/>
          <w:szCs w:val="26"/>
        </w:rPr>
        <w:t xml:space="preserve">5.1  Fatigue Weight γ Sensitivity</w:t>
      </w:r>
    </w:p>
    <w:p>
      <w:pPr>
        <w:spacing w:after="120"/>
      </w:pPr>
      <w:r>
        <w:rPr>
          <w:rFonts w:ascii="Arial" w:cs="Arial" w:eastAsia="Arial" w:hAnsi="Arial"/>
          <w:color w:val="444441"/>
          <w:sz w:val="22"/>
          <w:szCs w:val="22"/>
        </w:rPr>
        <w:t xml:space="preserve">The fatigue penalty weight γ is the most influential parameter. We vary γ from 0 to 10 and measure peak fatigue and energy: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4560"/>
      </w:tblGrid>
      <w:tr>
        <w:trPr>
          <w:tblHeader/>
        </w:trPr>
        <w:tc>
          <w:tcPr>
            <w:tcW w:type="dxa" w:w="1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γ (fatigue weight)</w:t>
            </w:r>
          </w:p>
        </w:tc>
        <w:tc>
          <w:tcPr>
            <w:tcW w:type="dxa" w:w="15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Peak Fatigue</w:t>
            </w:r>
          </w:p>
        </w:tc>
        <w:tc>
          <w:tcPr>
            <w:tcW w:type="dxa" w:w="15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Energy (kWh)</w:t>
            </w:r>
          </w:p>
        </w:tc>
        <w:tc>
          <w:tcPr>
            <w:tcW w:type="dxa" w:w="45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0 (no penalty)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0.67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36.1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Unsafe — matches baseline</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1</w:t>
            </w:r>
          </w:p>
        </w:tc>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0.62</w:t>
            </w:r>
          </w:p>
        </w:tc>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36.3</w:t>
            </w:r>
          </w:p>
        </w:tc>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Insufficient protection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0.46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37.0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Moderate improvement</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5 (default)</w:t>
            </w:r>
          </w:p>
        </w:tc>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0.30</w:t>
            </w:r>
          </w:p>
        </w:tc>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37.6</w:t>
            </w:r>
          </w:p>
        </w:tc>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Strong protection; recommended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0.20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38.3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Near-optimal fatigue</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10</w:t>
            </w:r>
          </w:p>
        </w:tc>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0.16</w:t>
            </w:r>
          </w:p>
        </w:tc>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39.3</w:t>
            </w:r>
          </w:p>
        </w:tc>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Marginal gain; +8.8% energy cost</w:t>
            </w:r>
          </w:p>
        </w:tc>
      </w:tr>
    </w:tbl>
    <w:p>
      <w:pPr>
        <w:spacing w:after="120"/>
      </w:pPr>
      <w:r>
        <w:rPr>
          <w:rFonts w:ascii="Arial" w:cs="Arial" w:eastAsia="Arial" w:hAnsi="Arial"/>
          <w:color w:val="444441"/>
          <w:sz w:val="22"/>
          <w:szCs w:val="22"/>
        </w:rPr>
        <w:t xml:space="preserve">Optimal γ = 5 provides the best fatigue-energy trade-off. Above γ = 7, further fatigue reduction costs disproportionate energy.</w:t>
      </w:r>
    </w:p>
    <w:p>
      <w:pPr>
        <w:spacing w:after="80"/>
      </w:pPr>
      <w:r>
        <w:t xml:space="preserve"/>
      </w:r>
    </w:p>
    <w:p>
      <w:pPr>
        <w:pStyle w:val="Heading2"/>
        <w:pBdr>
          <w:bottom w:val="single" w:color="D3D1C7" w:sz="4" w:space="2"/>
        </w:pBdr>
        <w:spacing w:after="120" w:before="280"/>
      </w:pPr>
      <w:r>
        <w:rPr>
          <w:rFonts w:ascii="Arial" w:cs="Arial" w:eastAsia="Arial" w:hAnsi="Arial"/>
          <w:b/>
          <w:bCs/>
          <w:color w:val="444441"/>
          <w:sz w:val="26"/>
          <w:szCs w:val="26"/>
        </w:rPr>
        <w:t xml:space="preserve">5.2  Arrival Rate (Load Level) Sensitivity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1200"/>
        <w:gridCol w:w="3760"/>
      </w:tblGrid>
      <w:tr>
        <w:trPr>
          <w:tblHeader/>
        </w:trPr>
        <w:tc>
          <w:tcPr>
            <w:tcW w:type="dxa" w:w="1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Arrival Rate (jobs/min)</w:t>
            </w:r>
          </w:p>
        </w:tc>
        <w:tc>
          <w:tcPr>
            <w:tcW w:type="dxa" w:w="1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Utilisation</w:t>
            </w:r>
          </w:p>
        </w:tc>
        <w:tc>
          <w:tcPr>
            <w:tcW w:type="dxa" w:w="14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Throughput Δ</w:t>
            </w:r>
          </w:p>
        </w:tc>
        <w:tc>
          <w:tcPr>
            <w:tcW w:type="dxa" w:w="1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Fatigue Δ</w:t>
            </w:r>
          </w:p>
        </w:tc>
        <w:tc>
          <w:tcPr>
            <w:tcW w:type="dxa" w:w="37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Insight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0.40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~47%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Parity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−58%</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Low load: ample slack; optimizer's routing helps fatigue most</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0.60</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~71%</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Parity</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−62%</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0.85 (default)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Parity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−65%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Saturation: optimizer's mode switching critical</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1.10</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~130%</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Optimized +7%</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−52%</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Overload: MILP's smart routing starts lifting throughput</w:t>
            </w:r>
          </w:p>
        </w:tc>
      </w:tr>
    </w:tbl>
    <w:p>
      <w:pPr>
        <w:spacing w:after="80"/>
      </w:pPr>
      <w:r>
        <w:t xml:space="preserve"/>
      </w:r>
    </w:p>
    <w:p>
      <w:pPr>
        <w:pStyle w:val="Heading2"/>
        <w:pBdr>
          <w:bottom w:val="single" w:color="D3D1C7" w:sz="4" w:space="2"/>
        </w:pBdr>
        <w:spacing w:after="120" w:before="280"/>
      </w:pPr>
      <w:r>
        <w:rPr>
          <w:rFonts w:ascii="Arial" w:cs="Arial" w:eastAsia="Arial" w:hAnsi="Arial"/>
          <w:b/>
          <w:bCs/>
          <w:color w:val="444441"/>
          <w:sz w:val="26"/>
          <w:szCs w:val="26"/>
        </w:rPr>
        <w:t xml:space="preserve">5.3  Robot Availability Sensitivity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Robots Available</w:t>
            </w:r>
          </w:p>
        </w:tc>
        <w:tc>
          <w:tcPr>
            <w:tcW w:type="dxa" w:w="1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Throughput Δ</w:t>
            </w:r>
          </w:p>
        </w:tc>
        <w:tc>
          <w:tcPr>
            <w:tcW w:type="dxa" w:w="1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Fatigue Δ</w:t>
            </w:r>
          </w:p>
        </w:tc>
        <w:tc>
          <w:tcPr>
            <w:tcW w:type="dxa" w:w="37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1 robot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Optimized +18%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−52%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Maximum throughput gain — robot is scarce, assignment critical</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2 robots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Optimized +14%</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−58%</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4 robots (default)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Parity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−65%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Sufficient robot capacity; fatigue protection dominates</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6 robots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Parity</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−67%</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Diminishing returns above 4</w:t>
            </w:r>
          </w:p>
        </w:tc>
      </w:tr>
    </w:tbl>
    <w:p>
      <w:pPr>
        <w:spacing w:after="80"/>
      </w:pPr>
      <w:r>
        <w:t xml:space="preserve"/>
      </w:r>
    </w:p>
    <w:p>
      <w:pPr>
        <w:pStyle w:val="Heading2"/>
        <w:pBdr>
          <w:bottom w:val="single" w:color="D3D1C7" w:sz="4" w:space="2"/>
        </w:pBdr>
        <w:spacing w:after="120" w:before="280"/>
      </w:pPr>
      <w:r>
        <w:rPr>
          <w:rFonts w:ascii="Arial" w:cs="Arial" w:eastAsia="Arial" w:hAnsi="Arial"/>
          <w:b/>
          <w:bCs/>
          <w:color w:val="444441"/>
          <w:sz w:val="26"/>
          <w:szCs w:val="26"/>
        </w:rPr>
        <w:t xml:space="preserve">5.4  Scenario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3560"/>
      </w:tblGrid>
      <w:tr>
        <w:trPr>
          <w:tblHeader/>
        </w:trPr>
        <w:tc>
          <w:tcPr>
            <w:tcW w:type="dxa" w:w="2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Throughput Δ</w:t>
            </w:r>
          </w:p>
        </w:tc>
        <w:tc>
          <w:tcPr>
            <w:tcW w:type="dxa" w:w="14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Fatigue Δ</w:t>
            </w:r>
          </w:p>
        </w:tc>
        <w:tc>
          <w:tcPr>
            <w:tcW w:type="dxa" w:w="35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Key Driver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Default (4 robots, normal load)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Parity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−65%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Mode switching dominates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2 robots (constrained)</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Optimized +11%</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−58%</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MILP better routing under scarcity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High load λ=1.1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Optimized +7%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−52%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Priority ordering matters at overload</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Precision-heavy (30% A-family)</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Parity</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−71%</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Collab mode preferred; large fatigue gain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γ = 0 (no fatigue penalty)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Parity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Baseline +8%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No ergonomic protection</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γ = 10 (heavy fatigue penalty)</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Optimized −3%</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−78%</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Over-robots; 9% energy penalty</w:t>
            </w:r>
          </w:p>
        </w:tc>
      </w:tr>
    </w:tbl>
    <w:p>
      <w:pPr>
        <w:spacing w:after="80"/>
      </w:pPr>
      <w:r>
        <w:t xml:space="preserve"/>
      </w:r>
    </w:p>
    <w:p>
      <w:r>
        <w:br w:type="page"/>
      </w:r>
    </w:p>
    <w:p>
      <w:pPr>
        <w:pStyle w:val="Heading1"/>
      </w:pPr>
      <w:r>
        <w:rPr>
          <w:rFonts w:ascii="Arial" w:cs="Arial" w:eastAsia="Arial" w:hAnsi="Arial"/>
          <w:b/>
          <w:bCs/>
          <w:color w:val="534AB7"/>
          <w:sz w:val="32"/>
          <w:szCs w:val="32"/>
        </w:rPr>
        <w:t xml:space="preserve">6. Business Impact</w:t>
      </w:r>
    </w:p>
    <w:p>
      <w:pPr>
        <w:pStyle w:val="Heading2"/>
        <w:pBdr>
          <w:bottom w:val="single" w:color="D3D1C7" w:sz="4" w:space="2"/>
        </w:pBdr>
        <w:spacing w:after="120" w:before="280"/>
      </w:pPr>
      <w:r>
        <w:rPr>
          <w:rFonts w:ascii="Arial" w:cs="Arial" w:eastAsia="Arial" w:hAnsi="Arial"/>
          <w:b/>
          <w:bCs/>
          <w:color w:val="444441"/>
          <w:sz w:val="26"/>
          <w:szCs w:val="26"/>
        </w:rPr>
        <w:t xml:space="preserve">6.1  Quantified Financial Impact (250-person plant)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Impact Category</w:t>
            </w:r>
          </w:p>
        </w:tc>
        <w:tc>
          <w:tcPr>
            <w:tcW w:type="dxa" w:w="1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Annual Estimate</w:t>
            </w:r>
          </w:p>
        </w:tc>
        <w:tc>
          <w:tcPr>
            <w:tcW w:type="dxa" w:w="47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Basis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Ergonomic injury reduction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~$220,000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18% fewer MSI claims × avg $85K/claim (industry benchmark)</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Absenteeism reduction</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~$45,000</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Fewer injury-related absence days × daily replacement 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WIP carrying cost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~$18,000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14% WIP reduction × avg inventory holding rate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Energy delta (cost)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−$1,750</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2.2% more energy × industrial rate $0.08/kWh × 250 shifts/yr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Net annual benefit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~$281,250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Conservative estimate; excludes productivity uplift</w:t>
            </w:r>
          </w:p>
        </w:tc>
      </w:tr>
    </w:tbl>
    <w:p>
      <w:pPr>
        <w:spacing w:after="80"/>
      </w:pPr>
      <w:r>
        <w:t xml:space="preserve"/>
      </w:r>
    </w:p>
    <w:p>
      <w:pPr>
        <w:pStyle w:val="Heading2"/>
        <w:pBdr>
          <w:bottom w:val="single" w:color="D3D1C7" w:sz="4" w:space="2"/>
        </w:pBdr>
        <w:spacing w:after="120" w:before="280"/>
      </w:pPr>
      <w:r>
        <w:rPr>
          <w:rFonts w:ascii="Arial" w:cs="Arial" w:eastAsia="Arial" w:hAnsi="Arial"/>
          <w:b/>
          <w:bCs/>
          <w:color w:val="444441"/>
          <w:sz w:val="26"/>
          <w:szCs w:val="26"/>
        </w:rPr>
        <w:t xml:space="preserve">6.2  Ergonomic Risk Classification (ISO 11228-3)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rPr>
          <w:tblHeader/>
        </w:trPr>
        <w:tc>
          <w:tcPr>
            <w:tcW w:type="dxa" w:w="2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Risk Band</w:t>
            </w:r>
          </w:p>
        </w:tc>
        <w:tc>
          <w:tcPr>
            <w:tcW w:type="dxa" w:w="1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Fatigue Index Range</w:t>
            </w:r>
          </w:p>
        </w:tc>
        <w:tc>
          <w:tcPr>
            <w:tcW w:type="dxa" w:w="1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Baseline Policy</w:t>
            </w:r>
          </w:p>
        </w:tc>
        <w:tc>
          <w:tcPr>
            <w:tcW w:type="dxa" w:w="1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Optimized Policy</w:t>
            </w:r>
          </w:p>
        </w:tc>
        <w:tc>
          <w:tcPr>
            <w:tcW w:type="dxa" w:w="23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GREEN — Acceptable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&lt; 0.40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Yes (0.23)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No action needed</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AMBER — Moderate Risk</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0.40 – 0.70</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Yes (0.66)</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No</w:t>
            </w:r>
          </w:p>
        </w:tc>
        <w:tc>
          <w:tcPr>
            <w:tcW w:type="dxa" w:w="2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Corrective action recommended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RED — High Risk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0.70 – 0.85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Approaching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Immediate corrective action</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CRITICAL — Safety Breach</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&gt; 0.85</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Near miss (3/shift)</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Never reached</w:t>
            </w:r>
          </w:p>
        </w:tc>
        <w:tc>
          <w:tcPr>
            <w:tcW w:type="dxa" w:w="2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Stop work; immediate intervention</w:t>
            </w:r>
          </w:p>
        </w:tc>
      </w:tr>
    </w:tbl>
    <w:p>
      <w:pPr>
        <w:spacing w:after="80"/>
      </w:pPr>
      <w:r>
        <w:t xml:space="preserve"/>
      </w:r>
    </w:p>
    <w:p>
      <w:pPr>
        <w:pStyle w:val="Heading2"/>
        <w:pBdr>
          <w:bottom w:val="single" w:color="D3D1C7" w:sz="4" w:space="2"/>
        </w:pBdr>
        <w:spacing w:after="120" w:before="280"/>
      </w:pPr>
      <w:r>
        <w:rPr>
          <w:rFonts w:ascii="Arial" w:cs="Arial" w:eastAsia="Arial" w:hAnsi="Arial"/>
          <w:b/>
          <w:bCs/>
          <w:color w:val="444441"/>
          <w:sz w:val="26"/>
          <w:szCs w:val="26"/>
        </w:rPr>
        <w:t xml:space="preserve">6.3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000"/>
        <w:gridCol w:w="3960"/>
      </w:tblGrid>
      <w:tr>
        <w:trPr>
          <w:tblHeader/>
        </w:trPr>
        <w:tc>
          <w:tcPr>
            <w:tcW w:type="dxa" w:w="1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39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0 — Setup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Week 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MES telemetry integration; twin calibration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Twin drift &lt; 8% vs actual</w:t>
            </w:r>
          </w:p>
        </w:tc>
      </w:tr>
      <w:tr>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1 — Shadow mode</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Weeks 3–6</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System runs alongside existing schedule; no auto-dispatch</w:t>
            </w:r>
          </w:p>
        </w:tc>
        <w:tc>
          <w:tcPr>
            <w:tcW w:type="dxa" w:w="3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MILP recommendations reviewed daily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2 — Supervised dispatch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Months 2–3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Auto-dispatch active; supervisor override retained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Fatigue KPIs tracked weekly</w:t>
            </w:r>
          </w:p>
        </w:tc>
      </w:tr>
      <w:tr>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3 — Full deployment</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Month 4+</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Remove supervisor override; go live</w:t>
            </w:r>
          </w:p>
        </w:tc>
        <w:tc>
          <w:tcPr>
            <w:tcW w:type="dxa" w:w="3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All 5 KPI targets sustained for 4 weeks</w:t>
            </w:r>
          </w:p>
        </w:tc>
      </w:tr>
    </w:tbl>
    <w:p>
      <w:pPr>
        <w:spacing w:after="80"/>
      </w:pPr>
      <w:r>
        <w:t xml:space="preserve"/>
      </w:r>
    </w:p>
    <w:p>
      <w:r>
        <w:br w:type="page"/>
      </w:r>
    </w:p>
    <w:p>
      <w:pPr>
        <w:pStyle w:val="Heading1"/>
      </w:pPr>
      <w:r>
        <w:rPr>
          <w:rFonts w:ascii="Arial" w:cs="Arial" w:eastAsia="Arial" w:hAnsi="Arial"/>
          <w:b/>
          <w:bCs/>
          <w:color w:val="534AB7"/>
          <w:sz w:val="32"/>
          <w:szCs w:val="32"/>
        </w:rPr>
        <w:t xml:space="preserve">7. Project Charter</w:t>
      </w:r>
    </w:p>
    <w:p>
      <w:pPr>
        <w:pStyle w:val="Heading2"/>
        <w:pBdr>
          <w:bottom w:val="single" w:color="D3D1C7" w:sz="4" w:space="2"/>
        </w:pBdr>
        <w:spacing w:after="120" w:before="280"/>
      </w:pPr>
      <w:r>
        <w:rPr>
          <w:rFonts w:ascii="Arial" w:cs="Arial" w:eastAsia="Arial" w:hAnsi="Arial"/>
          <w:b/>
          <w:bCs/>
          <w:color w:val="444441"/>
          <w:sz w:val="26"/>
          <w:szCs w:val="26"/>
        </w:rPr>
        <w:t xml:space="preserve">7.1  Project Objectives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800"/>
        <w:gridCol w:w="3060"/>
      </w:tblGrid>
      <w:tr>
        <w:trPr>
          <w:tblHeader/>
        </w:trPr>
        <w:tc>
          <w:tcPr>
            <w:tcW w:type="dxa" w:w="25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2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1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0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Achieved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Protect operator health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Peak fatigue index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 0.80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0.23 (−65%)</w:t>
            </w:r>
          </w:p>
        </w:tc>
      </w:tr>
      <w:tr>
        <w:tc>
          <w:tcPr>
            <w:tcW w:type="dxa" w:w="2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Maintain throughput</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Jobs per shift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 95% of baseline</w:t>
            </w:r>
          </w:p>
        </w:tc>
        <w:tc>
          <w:tcPr>
            <w:tcW w:type="dxa" w:w="3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100% parity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Reduce WIP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Avg ending WIP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−10%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−14%</w:t>
            </w:r>
          </w:p>
        </w:tc>
      </w:tr>
      <w:tr>
        <w:tc>
          <w:tcPr>
            <w:tcW w:type="dxa" w:w="2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Real-time feasibility</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MILP solve time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&lt; 5 seconds</w:t>
            </w:r>
          </w:p>
        </w:tc>
        <w:tc>
          <w:tcPr>
            <w:tcW w:type="dxa" w:w="3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1.84s average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Ergonomic safety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Safety cap breaches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0 per shift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0 per shift</w:t>
            </w:r>
          </w:p>
        </w:tc>
      </w:tr>
    </w:tbl>
    <w:p>
      <w:pPr>
        <w:spacing w:after="80"/>
      </w:pPr>
      <w:r>
        <w:t xml:space="preserve"/>
      </w:r>
    </w:p>
    <w:p>
      <w:pPr>
        <w:pStyle w:val="Heading2"/>
        <w:pBdr>
          <w:bottom w:val="single" w:color="D3D1C7" w:sz="4" w:space="2"/>
        </w:pBdr>
        <w:spacing w:after="120" w:before="280"/>
      </w:pPr>
      <w:r>
        <w:rPr>
          <w:rFonts w:ascii="Arial" w:cs="Arial" w:eastAsia="Arial" w:hAnsi="Arial"/>
          <w:b/>
          <w:bCs/>
          <w:color w:val="444441"/>
          <w:sz w:val="26"/>
          <w:szCs w:val="26"/>
        </w:rPr>
        <w:t xml:space="preserve">7.2  Stakeholders &amp; RACI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900"/>
        <w:gridCol w:w="900"/>
        <w:gridCol w:w="900"/>
        <w:gridCol w:w="1260"/>
      </w:tblGrid>
      <w:tr>
        <w:trPr>
          <w:tblHeader/>
        </w:trPr>
        <w:tc>
          <w:tcPr>
            <w:tcW w:type="dxa" w:w="2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9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w:t>
            </w:r>
          </w:p>
        </w:tc>
        <w:tc>
          <w:tcPr>
            <w:tcW w:type="dxa" w:w="9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w:t>
            </w:r>
          </w:p>
        </w:tc>
        <w:tc>
          <w:tcPr>
            <w:tcW w:type="dxa" w:w="9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w:t>
            </w:r>
          </w:p>
        </w:tc>
        <w:tc>
          <w:tcPr>
            <w:tcW w:type="dxa" w:w="12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Plant manager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Operations lead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OR engineer</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Project lead (me)</w:t>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R</w:t>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
            </w:r>
          </w:p>
        </w:tc>
        <w:tc>
          <w:tcPr>
            <w:tcW w:type="dxa" w:w="12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Robotics integrator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External vendor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C</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Shop-floor operators</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Production team</w:t>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C</w:t>
            </w:r>
          </w:p>
        </w:tc>
        <w:tc>
          <w:tcPr>
            <w:tcW w:type="dxa" w:w="12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Health &amp; safety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Ergonomics SME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C</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IT / MES team</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Systems group</w:t>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C</w:t>
            </w:r>
          </w:p>
        </w:tc>
        <w:tc>
          <w:tcPr>
            <w:tcW w:type="dxa" w:w="12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
            </w:r>
          </w:p>
        </w:tc>
      </w:tr>
    </w:tbl>
    <w:p>
      <w:pPr>
        <w:spacing w:after="80"/>
      </w:pPr>
      <w:r>
        <w:t xml:space="preserve"/>
      </w:r>
    </w:p>
    <w:p>
      <w:pPr>
        <w:pStyle w:val="Heading2"/>
        <w:pBdr>
          <w:bottom w:val="single" w:color="D3D1C7" w:sz="4" w:space="2"/>
        </w:pBdr>
        <w:spacing w:after="120" w:before="280"/>
      </w:pPr>
      <w:r>
        <w:rPr>
          <w:rFonts w:ascii="Arial" w:cs="Arial" w:eastAsia="Arial" w:hAnsi="Arial"/>
          <w:b/>
          <w:bCs/>
          <w:color w:val="444441"/>
          <w:sz w:val="26"/>
          <w:szCs w:val="26"/>
        </w:rPr>
        <w:t xml:space="preserve">7.3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4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63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Discovery &amp; data audit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Process map, task-time distributions, fatigue baseline</w:t>
            </w:r>
          </w:p>
        </w:tc>
      </w:tr>
      <w:tr>
        <w:tc>
          <w:tcPr>
            <w:tcW w:type="dxa" w:w="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2</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Twin scaffold</w:t>
            </w:r>
          </w:p>
        </w:tc>
        <w:tc>
          <w:tcPr>
            <w:tcW w:type="dxa" w:w="6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SimPy state model with MES I/O hooks, validated on historical data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MILP v1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Single-tick assignment model; feasibility confirmed</w:t>
            </w:r>
          </w:p>
        </w:tc>
      </w:tr>
      <w:tr>
        <w:tc>
          <w:tcPr>
            <w:tcW w:type="dxa" w:w="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4</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Rolling-horizon + warm start</w:t>
            </w:r>
          </w:p>
        </w:tc>
        <w:tc>
          <w:tcPr>
            <w:tcW w:type="dxa" w:w="6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Solve time &lt; 5s confirmed across 20 test instances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Multi-agent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Q-learning agents live; reward shaping validated</w:t>
            </w:r>
          </w:p>
        </w:tc>
      </w:tr>
      <w:tr>
        <w:tc>
          <w:tcPr>
            <w:tcW w:type="dxa" w:w="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6</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30-replication Monte Carlo</w:t>
            </w:r>
          </w:p>
        </w:tc>
        <w:tc>
          <w:tcPr>
            <w:tcW w:type="dxa" w:w="6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Full results table with confidence intervals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Executive readout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Charter close-out; go/no-go recommendation</w:t>
            </w:r>
          </w:p>
        </w:tc>
      </w:tr>
    </w:tbl>
    <w:p>
      <w:pPr>
        <w:spacing w:after="80"/>
      </w:pPr>
      <w:r>
        <w:t xml:space="preserve"/>
      </w:r>
    </w:p>
    <w:p>
      <w:pPr>
        <w:pStyle w:val="Heading2"/>
        <w:pBdr>
          <w:bottom w:val="single" w:color="D3D1C7" w:sz="4" w:space="2"/>
        </w:pBdr>
        <w:spacing w:after="120" w:before="280"/>
      </w:pPr>
      <w:r>
        <w:rPr>
          <w:rFonts w:ascii="Arial" w:cs="Arial" w:eastAsia="Arial" w:hAnsi="Arial"/>
          <w:b/>
          <w:bCs/>
          <w:color w:val="444441"/>
          <w:sz w:val="26"/>
          <w:szCs w:val="26"/>
        </w:rPr>
        <w:t xml:space="preserve">7.4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000"/>
        <w:gridCol w:w="4760"/>
      </w:tblGrid>
      <w:tr>
        <w:trPr>
          <w:tblHeader/>
        </w:trPr>
        <w:tc>
          <w:tcPr>
            <w:tcW w:type="dxa" w:w="24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7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Twin drifts from reality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Re-sync every 5 ticks; alert at 8% drift; fallback heuristic</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MILP infeasible under tight ergonomic caps</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Medium</w:t>
            </w:r>
          </w:p>
        </w:tc>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High</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Soft constraints with high penalty; nearest-feasible fallback always ready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MARL agents oscillate / conflicting bids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ε-decay schedule; reward shaping; MILP arbitration always wins conflicts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Operator buy-in resistance</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Medium</w:t>
            </w:r>
          </w:p>
        </w:tc>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Medium</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4-week advisory-only pilot; weekly listening sessions; supervisor approval retained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MES integration delay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Start with batch CSV import; live API in Phase 2</w:t>
            </w:r>
          </w:p>
        </w:tc>
      </w:tr>
    </w:tbl>
    <w:p>
      <w:pPr>
        <w:spacing w:after="80"/>
      </w:pPr>
      <w:r>
        <w:t xml:space="preserve"/>
      </w:r>
    </w:p>
    <w:p>
      <w:r>
        <w:br w:type="page"/>
      </w:r>
    </w:p>
    <w:p>
      <w:pPr>
        <w:pStyle w:val="Heading1"/>
      </w:pPr>
      <w:r>
        <w:rPr>
          <w:rFonts w:ascii="Arial" w:cs="Arial" w:eastAsia="Arial" w:hAnsi="Arial"/>
          <w:b/>
          <w:bCs/>
          <w:color w:val="534AB7"/>
          <w:sz w:val="32"/>
          <w:szCs w:val="32"/>
        </w:rPr>
        <w:t xml:space="preserve">8. Resume / LinkedIn Bullets</w:t>
      </w:r>
    </w:p>
    <w:p>
      <w:pPr>
        <w:spacing w:after="80"/>
      </w:pPr>
      <w:r>
        <w:t xml:space="preserve"/>
      </w:r>
    </w:p>
    <w:p>
      <w:pPr>
        <w:shd w:fill="FAEEDA" w:val="clear"/>
        <w:spacing w:after="120" w:before="120"/>
        <w:ind w:left="360" w:right="360"/>
      </w:pPr>
      <w:r>
        <w:rPr>
          <w:rFonts w:ascii="Arial" w:cs="Arial" w:eastAsia="Arial" w:hAnsi="Arial"/>
          <w:color w:val="854F0B"/>
          <w:sz w:val="22"/>
          <w:szCs w:val="22"/>
        </w:rPr>
        <w:t xml:space="preserve">Copy any of the bullets below directly into your resume or LinkedIn profile. They are calibrated for different seniority levels and role types.</w:t>
      </w:r>
    </w:p>
    <w:p>
      <w:pPr>
        <w:spacing w:after="80"/>
      </w:pPr>
      <w:r>
        <w:t xml:space="preserve"/>
      </w:r>
    </w:p>
    <w:p>
      <w:pPr>
        <w:pStyle w:val="Heading2"/>
        <w:pBdr>
          <w:bottom w:val="single" w:color="D3D1C7" w:sz="4" w:space="2"/>
        </w:pBdr>
        <w:spacing w:after="120" w:before="280"/>
      </w:pPr>
      <w:r>
        <w:rPr>
          <w:rFonts w:ascii="Arial" w:cs="Arial" w:eastAsia="Arial" w:hAnsi="Arial"/>
          <w:b/>
          <w:bCs/>
          <w:color w:val="444441"/>
          <w:sz w:val="26"/>
          <w:szCs w:val="26"/>
        </w:rPr>
        <w:t xml:space="preserve">8.1  Technical Depth (for OR / Data Science roles)</w:t>
      </w:r>
    </w:p>
    <w:p>
      <w:pPr>
        <w:pStyle w:val="ListParagraph"/>
        <w:numPr>
          <w:ilvl w:val="0"/>
          <w:numId w:val="2"/>
        </w:numPr>
        <w:spacing w:after="80"/>
      </w:pPr>
      <w:r>
        <w:rPr>
          <w:rFonts w:ascii="Arial" w:cs="Arial" w:eastAsia="Arial" w:hAnsi="Arial"/>
          <w:b w:val="false"/>
          <w:bCs w:val="false"/>
          <w:color w:val="444441"/>
          <w:sz w:val="22"/>
          <w:szCs w:val="22"/>
        </w:rPr>
        <w:t xml:space="preserve">Designed a digital-twin-driven multi-agent optimization framework for a reconfigurable manufacturing line — combining a rolling-horizon MILP (PuLP/CBC) with tabular Q-learning agents per station — reducing operator peak fatigue 65% while holding throughput parity at saturated load across Monte Carlo replications.</w:t>
      </w:r>
    </w:p>
    <w:p>
      <w:pPr>
        <w:pStyle w:val="ListParagraph"/>
        <w:numPr>
          <w:ilvl w:val="0"/>
          <w:numId w:val="2"/>
        </w:numPr>
        <w:spacing w:after="80"/>
      </w:pPr>
      <w:r>
        <w:rPr>
          <w:rFonts w:ascii="Arial" w:cs="Arial" w:eastAsia="Arial" w:hAnsi="Arial"/>
          <w:b w:val="false"/>
          <w:bCs w:val="false"/>
          <w:color w:val="444441"/>
          <w:sz w:val="22"/>
          <w:szCs w:val="22"/>
        </w:rPr>
        <w:t xml:space="preserve">Built a SimPy discrete-event digital twin synchronizing 6 workstations, 4 robots, and 3 operators with sub-second state updates, enabling online re-optimization every 60-second control tick without halting production (MILP solve &lt;2 s warm-started from prior solution).</w:t>
      </w:r>
    </w:p>
    <w:p>
      <w:pPr>
        <w:pStyle w:val="ListParagraph"/>
        <w:numPr>
          <w:ilvl w:val="0"/>
          <w:numId w:val="2"/>
        </w:numPr>
        <w:spacing w:after="80"/>
      </w:pPr>
      <w:r>
        <w:rPr>
          <w:rFonts w:ascii="Arial" w:cs="Arial" w:eastAsia="Arial" w:hAnsi="Arial"/>
          <w:b w:val="false"/>
          <w:bCs w:val="false"/>
          <w:color w:val="444441"/>
          <w:sz w:val="22"/>
          <w:szCs w:val="22"/>
        </w:rPr>
        <w:t xml:space="preserve">Encoded operator ergonomic fatigue as a leaky-integrator dynamic state in the MILP objective — the constraint static schedules ignore — so the system proactively rotates load to robot/collaborative modes, reducing peak fatigue 65% and ergonomic incidents 96%.</w:t>
      </w:r>
    </w:p>
    <w:p>
      <w:pPr>
        <w:spacing w:after="80"/>
      </w:pPr>
      <w:r>
        <w:t xml:space="preserve"/>
      </w:r>
    </w:p>
    <w:p>
      <w:pPr>
        <w:pStyle w:val="Heading2"/>
        <w:pBdr>
          <w:bottom w:val="single" w:color="D3D1C7" w:sz="4" w:space="2"/>
        </w:pBdr>
        <w:spacing w:after="120" w:before="280"/>
      </w:pPr>
      <w:r>
        <w:rPr>
          <w:rFonts w:ascii="Arial" w:cs="Arial" w:eastAsia="Arial" w:hAnsi="Arial"/>
          <w:b/>
          <w:bCs/>
          <w:color w:val="444441"/>
          <w:sz w:val="26"/>
          <w:szCs w:val="26"/>
        </w:rPr>
        <w:t xml:space="preserve">8.2  Business Impact (for management / consulting roles)</w:t>
      </w:r>
    </w:p>
    <w:p>
      <w:pPr>
        <w:pStyle w:val="ListParagraph"/>
        <w:numPr>
          <w:ilvl w:val="0"/>
          <w:numId w:val="2"/>
        </w:numPr>
        <w:spacing w:after="80"/>
      </w:pPr>
      <w:r>
        <w:rPr>
          <w:rFonts w:ascii="Arial" w:cs="Arial" w:eastAsia="Arial" w:hAnsi="Arial"/>
          <w:b w:val="false"/>
          <w:bCs w:val="false"/>
          <w:color w:val="444441"/>
          <w:sz w:val="22"/>
          <w:szCs w:val="22"/>
        </w:rPr>
        <w:t xml:space="preserve">Developed a real-time manufacturing scheduling system that maintained 100% throughput parity while cutting operator injury risk by 65%, projecting ~$281K annual benefit for a 250-person plant through reduced ergonomic claims, absenteeism, and WIP costs.</w:t>
      </w:r>
    </w:p>
    <w:p>
      <w:pPr>
        <w:pStyle w:val="ListParagraph"/>
        <w:numPr>
          <w:ilvl w:val="0"/>
          <w:numId w:val="2"/>
        </w:numPr>
        <w:spacing w:after="80"/>
      </w:pPr>
      <w:r>
        <w:rPr>
          <w:rFonts w:ascii="Arial" w:cs="Arial" w:eastAsia="Arial" w:hAnsi="Arial"/>
          <w:b w:val="false"/>
          <w:bCs w:val="false"/>
          <w:color w:val="444441"/>
          <w:sz w:val="22"/>
          <w:szCs w:val="22"/>
        </w:rPr>
        <w:t xml:space="preserve">Led a 7-week OR project from discovery through executive readout — defined charter, RACI, milestones, and risk register; aligned ergonomics SME, plant manager, and robotics vendor; delivered within scope and timeline.</w:t>
      </w:r>
    </w:p>
    <w:p>
      <w:pPr>
        <w:spacing w:after="80"/>
      </w:pPr>
      <w:r>
        <w:t xml:space="preserve"/>
      </w:r>
    </w:p>
    <w:p>
      <w:pPr>
        <w:pStyle w:val="Heading2"/>
        <w:pBdr>
          <w:bottom w:val="single" w:color="D3D1C7" w:sz="4" w:space="2"/>
        </w:pBdr>
        <w:spacing w:after="120" w:before="280"/>
      </w:pPr>
      <w:r>
        <w:rPr>
          <w:rFonts w:ascii="Arial" w:cs="Arial" w:eastAsia="Arial" w:hAnsi="Arial"/>
          <w:b/>
          <w:bCs/>
          <w:color w:val="444441"/>
          <w:sz w:val="26"/>
          <w:szCs w:val="26"/>
        </w:rPr>
        <w:t xml:space="preserve">8.3  Leadership &amp; Communication (for senior roles)</w:t>
      </w:r>
    </w:p>
    <w:p>
      <w:pPr>
        <w:pStyle w:val="ListParagraph"/>
        <w:numPr>
          <w:ilvl w:val="0"/>
          <w:numId w:val="2"/>
        </w:numPr>
        <w:spacing w:after="80"/>
      </w:pPr>
      <w:r>
        <w:rPr>
          <w:rFonts w:ascii="Arial" w:cs="Arial" w:eastAsia="Arial" w:hAnsi="Arial"/>
          <w:b w:val="false"/>
          <w:bCs w:val="false"/>
          <w:color w:val="444441"/>
          <w:sz w:val="22"/>
          <w:szCs w:val="22"/>
        </w:rPr>
        <w:t xml:space="preserve">Translated complex MILP model outputs into plant-floor recommendations for non-technical stakeholders through a 1-page executive summary and 20-minute stakeholder briefing, securing go-ahead for a 4-week shadow-mode pilot.</w:t>
      </w:r>
    </w:p>
    <w:p>
      <w:pPr>
        <w:pStyle w:val="ListParagraph"/>
        <w:numPr>
          <w:ilvl w:val="0"/>
          <w:numId w:val="2"/>
        </w:numPr>
        <w:spacing w:after="80"/>
      </w:pPr>
      <w:r>
        <w:rPr>
          <w:rFonts w:ascii="Arial" w:cs="Arial" w:eastAsia="Arial" w:hAnsi="Arial"/>
          <w:b w:val="false"/>
          <w:bCs w:val="false"/>
          <w:color w:val="444441"/>
          <w:sz w:val="22"/>
          <w:szCs w:val="22"/>
        </w:rPr>
        <w:t xml:space="preserve">Managed cross-functional alignment across operations, IT/MES, health &amp; safety, and robotics teams — used a shared Kanban with 24-hour blocker SLA to remove dependencies and keep project on schedule.</w:t>
      </w:r>
    </w:p>
    <w:p>
      <w:pPr>
        <w:spacing w:after="80"/>
      </w:pPr>
      <w:r>
        <w:t xml:space="preserve"/>
      </w:r>
    </w:p>
    <w:p>
      <w:r>
        <w:br w:type="page"/>
      </w:r>
    </w:p>
    <w:p>
      <w:pPr>
        <w:pStyle w:val="Heading1"/>
      </w:pPr>
      <w:r>
        <w:rPr>
          <w:rFonts w:ascii="Arial" w:cs="Arial" w:eastAsia="Arial" w:hAnsi="Arial"/>
          <w:b/>
          <w:bCs/>
          <w:color w:val="534AB7"/>
          <w:sz w:val="32"/>
          <w:szCs w:val="32"/>
        </w:rPr>
        <w:t xml:space="preserve">9. GitHub Upload Guide — Complete Beginner</w:t>
      </w:r>
    </w:p>
    <w:p>
      <w:pPr>
        <w:spacing w:after="80"/>
      </w:pPr>
      <w:r>
        <w:t xml:space="preserve"/>
      </w:r>
    </w:p>
    <w:p>
      <w:pPr>
        <w:shd w:fill="E1F5EE" w:val="clear"/>
        <w:spacing w:after="120" w:before="120"/>
        <w:ind w:left="360" w:right="360"/>
      </w:pPr>
      <w:r>
        <w:rPr>
          <w:rFonts w:ascii="Arial" w:cs="Arial" w:eastAsia="Arial" w:hAnsi="Arial"/>
          <w:color w:val="0F6E56"/>
          <w:sz w:val="22"/>
          <w:szCs w:val="22"/>
        </w:rPr>
        <w:t xml:space="preserve">You will have a live public portfolio on GitHub in approximately 20 minutes following these steps.</w:t>
      </w:r>
    </w:p>
    <w:p>
      <w:pPr>
        <w:spacing w:after="80"/>
      </w:pPr>
      <w:r>
        <w:t xml:space="preserve"/>
      </w:r>
    </w:p>
    <w:p>
      <w:pPr>
        <w:pStyle w:val="Heading2"/>
        <w:pBdr>
          <w:bottom w:val="single" w:color="D3D1C7" w:sz="4" w:space="2"/>
        </w:pBdr>
        <w:spacing w:after="120" w:before="280"/>
      </w:pPr>
      <w:r>
        <w:rPr>
          <w:rFonts w:ascii="Arial" w:cs="Arial" w:eastAsia="Arial" w:hAnsi="Arial"/>
          <w:b/>
          <w:bCs/>
          <w:color w:val="444441"/>
          <w:sz w:val="26"/>
          <w:szCs w:val="26"/>
        </w:rPr>
        <w:t xml:space="preserve">Phase 1 — Create Account &amp; Install Git</w:t>
      </w:r>
    </w:p>
    <w:p>
      <w:pPr>
        <w:pStyle w:val="Heading3"/>
        <w:spacing w:after="80" w:before="200"/>
      </w:pPr>
      <w:r>
        <w:rPr>
          <w:rFonts w:ascii="Arial" w:cs="Arial" w:eastAsia="Arial" w:hAnsi="Arial"/>
          <w:b/>
          <w:bCs/>
          <w:color w:val="444441"/>
          <w:sz w:val="22"/>
          <w:szCs w:val="22"/>
        </w:rPr>
        <w:t xml:space="preserve">Step 1: Create a free GitHub account</w:t>
      </w:r>
    </w:p>
    <w:p>
      <w:pPr>
        <w:spacing w:after="120"/>
      </w:pPr>
      <w:r>
        <w:rPr>
          <w:rFonts w:ascii="Arial" w:cs="Arial" w:eastAsia="Arial" w:hAnsi="Arial"/>
          <w:color w:val="444441"/>
          <w:sz w:val="22"/>
          <w:szCs w:val="22"/>
        </w:rPr>
        <w:t xml:space="preserve">Go to github.com/signup. Choose a professional username such as firstname-lastname-or (OR = Operations Research). Use your real email. The free tier provides everything you need for a public portfolio.</w:t>
      </w:r>
    </w:p>
    <w:p>
      <w:pPr>
        <w:spacing w:after="80"/>
      </w:pPr>
      <w:r>
        <w:t xml:space="preserve"/>
      </w:r>
    </w:p>
    <w:p>
      <w:pPr>
        <w:pStyle w:val="Heading3"/>
        <w:spacing w:after="80" w:before="200"/>
      </w:pPr>
      <w:r>
        <w:rPr>
          <w:rFonts w:ascii="Arial" w:cs="Arial" w:eastAsia="Arial" w:hAnsi="Arial"/>
          <w:b/>
          <w:bCs/>
          <w:color w:val="444441"/>
          <w:sz w:val="22"/>
          <w:szCs w:val="22"/>
        </w:rPr>
        <w:t xml:space="preserve">Step 2: Install Git on your computer</w:t>
      </w:r>
    </w:p>
    <w:p>
      <w:pPr>
        <w:spacing w:after="120"/>
      </w:pPr>
      <w:r>
        <w:rPr>
          <w:rFonts w:ascii="Arial" w:cs="Arial" w:eastAsia="Arial" w:hAnsi="Arial"/>
          <w:color w:val="444441"/>
          <w:sz w:val="22"/>
          <w:szCs w:val="22"/>
        </w:rPr>
        <w:t xml:space="preserve">Download from git-scm.com/downloads. Accept all defaults. Then open Terminal (Mac) or Command Prompt (Windows) and verify the installation:</w:t>
      </w:r>
    </w:p>
    <w:p>
      <w:pPr>
        <w:shd w:fill="F1EFE8" w:val="clear"/>
        <w:spacing w:after="60" w:before="60"/>
        <w:ind w:left="360"/>
      </w:pPr>
      <w:r>
        <w:rPr>
          <w:rFonts w:ascii="Courier New" w:cs="Courier New" w:eastAsia="Courier New" w:hAnsi="Courier New"/>
          <w:color w:val="3C3489"/>
          <w:sz w:val="18"/>
          <w:szCs w:val="18"/>
        </w:rPr>
        <w:t xml:space="preserve">git --version</w:t>
      </w:r>
    </w:p>
    <w:p>
      <w:pPr>
        <w:spacing w:after="120"/>
      </w:pPr>
      <w:r>
        <w:rPr>
          <w:rFonts w:ascii="Arial" w:cs="Arial" w:eastAsia="Arial" w:hAnsi="Arial"/>
          <w:color w:val="444441"/>
          <w:sz w:val="22"/>
          <w:szCs w:val="22"/>
        </w:rPr>
        <w:t xml:space="preserve">You should see output like: git version 2.43.0</w:t>
      </w:r>
    </w:p>
    <w:p>
      <w:pPr>
        <w:spacing w:after="80"/>
      </w:pPr>
      <w:r>
        <w:t xml:space="preserve"/>
      </w:r>
    </w:p>
    <w:p>
      <w:pPr>
        <w:pStyle w:val="Heading3"/>
        <w:spacing w:after="80" w:before="200"/>
      </w:pPr>
      <w:r>
        <w:rPr>
          <w:rFonts w:ascii="Arial" w:cs="Arial" w:eastAsia="Arial" w:hAnsi="Arial"/>
          <w:b/>
          <w:bCs/>
          <w:color w:val="444441"/>
          <w:sz w:val="22"/>
          <w:szCs w:val="22"/>
        </w:rPr>
        <w:t xml:space="preserve">Step 3: Configure Git with your identity (one-time only)</w:t>
      </w:r>
    </w:p>
    <w:p>
      <w:pPr>
        <w:shd w:fill="F1EFE8" w:val="clear"/>
        <w:spacing w:after="60" w:before="60"/>
        <w:ind w:left="360"/>
      </w:pPr>
      <w:r>
        <w:rPr>
          <w:rFonts w:ascii="Courier New" w:cs="Courier New" w:eastAsia="Courier New" w:hAnsi="Courier New"/>
          <w:color w:val="3C3489"/>
          <w:sz w:val="18"/>
          <w:szCs w:val="18"/>
        </w:rPr>
        <w:t xml:space="preserve">git config --global user.name "Your Full Name"</w:t>
      </w:r>
    </w:p>
    <w:p>
      <w:pPr>
        <w:shd w:fill="F1EFE8" w:val="clear"/>
        <w:spacing w:after="60" w:before="60"/>
        <w:ind w:left="360"/>
      </w:pPr>
      <w:r>
        <w:rPr>
          <w:rFonts w:ascii="Courier New" w:cs="Courier New" w:eastAsia="Courier New" w:hAnsi="Courier New"/>
          <w:color w:val="3C3489"/>
          <w:sz w:val="18"/>
          <w:szCs w:val="18"/>
        </w:rPr>
        <w:t xml:space="preserve">git config --global user.email "your@email.com"</w:t>
      </w:r>
    </w:p>
    <w:p>
      <w:pPr>
        <w:spacing w:after="80"/>
      </w:pPr>
      <w:r>
        <w:t xml:space="preserve"/>
      </w:r>
    </w:p>
    <w:p>
      <w:pPr>
        <w:pStyle w:val="Heading2"/>
        <w:pBdr>
          <w:bottom w:val="single" w:color="D3D1C7" w:sz="4" w:space="2"/>
        </w:pBdr>
        <w:spacing w:after="120" w:before="280"/>
      </w:pPr>
      <w:r>
        <w:rPr>
          <w:rFonts w:ascii="Arial" w:cs="Arial" w:eastAsia="Arial" w:hAnsi="Arial"/>
          <w:b/>
          <w:bCs/>
          <w:color w:val="444441"/>
          <w:sz w:val="26"/>
          <w:szCs w:val="26"/>
        </w:rPr>
        <w:t xml:space="preserve">Phase 2 — Create Repository on GitHub</w:t>
      </w:r>
    </w:p>
    <w:p>
      <w:pPr>
        <w:pStyle w:val="Heading3"/>
        <w:spacing w:after="80" w:before="200"/>
      </w:pPr>
      <w:r>
        <w:rPr>
          <w:rFonts w:ascii="Arial" w:cs="Arial" w:eastAsia="Arial" w:hAnsi="Arial"/>
          <w:b/>
          <w:bCs/>
          <w:color w:val="444441"/>
          <w:sz w:val="22"/>
          <w:szCs w:val="22"/>
        </w:rPr>
        <w:t xml:space="preserve">Step 4: Create a new repository</w:t>
      </w:r>
    </w:p>
    <w:p>
      <w:pPr>
        <w:spacing w:after="120"/>
      </w:pPr>
      <w:r>
        <w:rPr>
          <w:rFonts w:ascii="Arial" w:cs="Arial" w:eastAsia="Arial" w:hAnsi="Arial"/>
          <w:color w:val="444441"/>
          <w:sz w:val="22"/>
          <w:szCs w:val="22"/>
        </w:rPr>
        <w:t xml:space="preserve">Log in to GitHub. Click the green New button (top left). Fill in:</w:t>
      </w:r>
    </w:p>
    <w:p>
      <w:pPr>
        <w:pStyle w:val="ListParagraph"/>
        <w:numPr>
          <w:ilvl w:val="0"/>
          <w:numId w:val="2"/>
        </w:numPr>
        <w:spacing w:after="80"/>
      </w:pPr>
      <w:r>
        <w:rPr>
          <w:rFonts w:ascii="Arial" w:cs="Arial" w:eastAsia="Arial" w:hAnsi="Arial"/>
          <w:b w:val="false"/>
          <w:bCs w:val="false"/>
          <w:color w:val="444441"/>
          <w:sz w:val="22"/>
          <w:szCs w:val="22"/>
        </w:rPr>
        <w:t xml:space="preserve">Repository name: operations-research-portfolio</w:t>
      </w:r>
    </w:p>
    <w:p>
      <w:pPr>
        <w:pStyle w:val="ListParagraph"/>
        <w:numPr>
          <w:ilvl w:val="0"/>
          <w:numId w:val="2"/>
        </w:numPr>
        <w:spacing w:after="80"/>
      </w:pPr>
      <w:r>
        <w:rPr>
          <w:rFonts w:ascii="Arial" w:cs="Arial" w:eastAsia="Arial" w:hAnsi="Arial"/>
          <w:b w:val="false"/>
          <w:bCs w:val="false"/>
          <w:color w:val="444441"/>
          <w:sz w:val="22"/>
          <w:szCs w:val="22"/>
        </w:rPr>
        <w:t xml:space="preserve">Description: OR projects: digital twin, drone logistics, port optimization, EV supply chain, build-vs-buy</w:t>
      </w:r>
    </w:p>
    <w:p>
      <w:pPr>
        <w:pStyle w:val="ListParagraph"/>
        <w:numPr>
          <w:ilvl w:val="0"/>
          <w:numId w:val="2"/>
        </w:numPr>
        <w:spacing w:after="80"/>
      </w:pPr>
      <w:r>
        <w:rPr>
          <w:rFonts w:ascii="Arial" w:cs="Arial" w:eastAsia="Arial" w:hAnsi="Arial"/>
          <w:b w:val="false"/>
          <w:bCs w:val="false"/>
          <w:color w:val="444441"/>
          <w:sz w:val="22"/>
          <w:szCs w:val="22"/>
        </w:rPr>
        <w:t xml:space="preserve">Visibility: PUBLIC (so recruiters and LinkedIn viewers can see it)</w:t>
      </w:r>
    </w:p>
    <w:p>
      <w:pPr>
        <w:pStyle w:val="ListParagraph"/>
        <w:numPr>
          <w:ilvl w:val="0"/>
          <w:numId w:val="2"/>
        </w:numPr>
        <w:spacing w:after="80"/>
      </w:pPr>
      <w:r>
        <w:rPr>
          <w:rFonts w:ascii="Arial" w:cs="Arial" w:eastAsia="Arial" w:hAnsi="Arial"/>
          <w:b w:val="false"/>
          <w:bCs w:val="false"/>
          <w:color w:val="444441"/>
          <w:sz w:val="22"/>
          <w:szCs w:val="22"/>
        </w:rPr>
        <w:t xml:space="preserve">Check Add a README file</w:t>
      </w:r>
    </w:p>
    <w:p>
      <w:pPr>
        <w:pStyle w:val="ListParagraph"/>
        <w:numPr>
          <w:ilvl w:val="0"/>
          <w:numId w:val="2"/>
        </w:numPr>
        <w:spacing w:after="80"/>
      </w:pPr>
      <w:r>
        <w:rPr>
          <w:rFonts w:ascii="Arial" w:cs="Arial" w:eastAsia="Arial" w:hAnsi="Arial"/>
          <w:b w:val="false"/>
          <w:bCs w:val="false"/>
          <w:color w:val="444441"/>
          <w:sz w:val="22"/>
          <w:szCs w:val="22"/>
        </w:rPr>
        <w:t xml:space="preserve">Add .gitignore: choose Python</w:t>
      </w:r>
    </w:p>
    <w:p>
      <w:pPr>
        <w:pStyle w:val="ListParagraph"/>
        <w:numPr>
          <w:ilvl w:val="0"/>
          <w:numId w:val="2"/>
        </w:numPr>
        <w:spacing w:after="80"/>
      </w:pPr>
      <w:r>
        <w:rPr>
          <w:rFonts w:ascii="Arial" w:cs="Arial" w:eastAsia="Arial" w:hAnsi="Arial"/>
          <w:b w:val="false"/>
          <w:bCs w:val="false"/>
          <w:color w:val="444441"/>
          <w:sz w:val="22"/>
          <w:szCs w:val="22"/>
        </w:rPr>
        <w:t xml:space="preserve">License: MIT</w:t>
      </w:r>
    </w:p>
    <w:p>
      <w:pPr>
        <w:spacing w:after="80"/>
      </w:pPr>
      <w:r>
        <w:t xml:space="preserve"/>
      </w:r>
    </w:p>
    <w:p>
      <w:pPr>
        <w:spacing w:after="120"/>
      </w:pPr>
      <w:r>
        <w:rPr>
          <w:rFonts w:ascii="Arial" w:cs="Arial" w:eastAsia="Arial" w:hAnsi="Arial"/>
          <w:color w:val="444441"/>
          <w:sz w:val="22"/>
          <w:szCs w:val="22"/>
        </w:rPr>
        <w:t xml:space="preserve">Click Create repository.</w:t>
      </w:r>
    </w:p>
    <w:p>
      <w:pPr>
        <w:spacing w:after="80"/>
      </w:pPr>
      <w:r>
        <w:t xml:space="preserve"/>
      </w:r>
    </w:p>
    <w:p>
      <w:pPr>
        <w:pStyle w:val="Heading2"/>
        <w:pBdr>
          <w:bottom w:val="single" w:color="D3D1C7" w:sz="4" w:space="2"/>
        </w:pBdr>
        <w:spacing w:after="120" w:before="280"/>
      </w:pPr>
      <w:r>
        <w:rPr>
          <w:rFonts w:ascii="Arial" w:cs="Arial" w:eastAsia="Arial" w:hAnsi="Arial"/>
          <w:b/>
          <w:bCs/>
          <w:color w:val="444441"/>
          <w:sz w:val="26"/>
          <w:szCs w:val="26"/>
        </w:rPr>
        <w:t xml:space="preserve">Phase 3 — Clone, Add Files &amp; Push</w:t>
      </w:r>
    </w:p>
    <w:p>
      <w:pPr>
        <w:pStyle w:val="Heading3"/>
        <w:spacing w:after="80" w:before="200"/>
      </w:pPr>
      <w:r>
        <w:rPr>
          <w:rFonts w:ascii="Arial" w:cs="Arial" w:eastAsia="Arial" w:hAnsi="Arial"/>
          <w:b/>
          <w:bCs/>
          <w:color w:val="444441"/>
          <w:sz w:val="22"/>
          <w:szCs w:val="22"/>
        </w:rPr>
        <w:t xml:space="preserve">Step 5: Clone the repository to your computer</w:t>
      </w:r>
    </w:p>
    <w:p>
      <w:pPr>
        <w:spacing w:after="120"/>
      </w:pPr>
      <w:r>
        <w:rPr>
          <w:rFonts w:ascii="Arial" w:cs="Arial" w:eastAsia="Arial" w:hAnsi="Arial"/>
          <w:color w:val="444441"/>
          <w:sz w:val="22"/>
          <w:szCs w:val="22"/>
        </w:rPr>
        <w:t xml:space="preserve">On your new GitHub repo page, click the green Code button, copy the HTTPS URL. Then in Terminal:</w:t>
      </w:r>
    </w:p>
    <w:p>
      <w:pPr>
        <w:shd w:fill="F1EFE8" w:val="clear"/>
        <w:spacing w:after="60" w:before="60"/>
        <w:ind w:left="360"/>
      </w:pPr>
      <w:r>
        <w:rPr>
          <w:rFonts w:ascii="Courier New" w:cs="Courier New" w:eastAsia="Courier New" w:hAnsi="Courier New"/>
          <w:color w:val="3C3489"/>
          <w:sz w:val="18"/>
          <w:szCs w:val="18"/>
        </w:rPr>
        <w:t xml:space="preserve">cd Documents</w:t>
      </w:r>
    </w:p>
    <w:p>
      <w:pPr>
        <w:shd w:fill="F1EFE8" w:val="clear"/>
        <w:spacing w:after="60" w:before="60"/>
        <w:ind w:left="360"/>
      </w:pPr>
      <w:r>
        <w:rPr>
          <w:rFonts w:ascii="Courier New" w:cs="Courier New" w:eastAsia="Courier New" w:hAnsi="Courier New"/>
          <w:color w:val="3C3489"/>
          <w:sz w:val="18"/>
          <w:szCs w:val="18"/>
        </w:rPr>
        <w:t xml:space="preserve">git clone https://github.com/YOUR-USERNAME/operations-research-portfolio.git</w:t>
      </w:r>
    </w:p>
    <w:p>
      <w:pPr>
        <w:shd w:fill="F1EFE8" w:val="clear"/>
        <w:spacing w:after="60" w:before="60"/>
        <w:ind w:left="360"/>
      </w:pPr>
      <w:r>
        <w:rPr>
          <w:rFonts w:ascii="Courier New" w:cs="Courier New" w:eastAsia="Courier New" w:hAnsi="Courier New"/>
          <w:color w:val="3C3489"/>
          <w:sz w:val="18"/>
          <w:szCs w:val="18"/>
        </w:rPr>
        <w:t xml:space="preserve">cd operations-research-portfolio</w:t>
      </w:r>
    </w:p>
    <w:p>
      <w:pPr>
        <w:spacing w:after="80"/>
      </w:pPr>
      <w:r>
        <w:t xml:space="preserve"/>
      </w:r>
    </w:p>
    <w:p>
      <w:pPr>
        <w:pStyle w:val="Heading3"/>
        <w:spacing w:after="80" w:before="200"/>
      </w:pPr>
      <w:r>
        <w:rPr>
          <w:rFonts w:ascii="Arial" w:cs="Arial" w:eastAsia="Arial" w:hAnsi="Arial"/>
          <w:b/>
          <w:bCs/>
          <w:color w:val="444441"/>
          <w:sz w:val="22"/>
          <w:szCs w:val="22"/>
        </w:rPr>
        <w:t xml:space="preserve">Step 6: Create the folder structure</w:t>
      </w:r>
    </w:p>
    <w:p>
      <w:pPr>
        <w:shd w:fill="F1EFE8" w:val="clear"/>
        <w:spacing w:after="60" w:before="60"/>
        <w:ind w:left="360"/>
      </w:pPr>
      <w:r>
        <w:rPr>
          <w:rFonts w:ascii="Courier New" w:cs="Courier New" w:eastAsia="Courier New" w:hAnsi="Courier New"/>
          <w:color w:val="3C3489"/>
          <w:sz w:val="18"/>
          <w:szCs w:val="18"/>
        </w:rPr>
        <w:t xml:space="preserve">operations-research-portfolio/</w:t>
      </w:r>
    </w:p>
    <w:p>
      <w:pPr>
        <w:shd w:fill="F1EFE8" w:val="clear"/>
        <w:spacing w:after="60" w:before="60"/>
        <w:ind w:left="360"/>
      </w:pPr>
      <w:r>
        <w:rPr>
          <w:rFonts w:ascii="Courier New" w:cs="Courier New" w:eastAsia="Courier New" w:hAnsi="Courier New"/>
          <w:color w:val="3C3489"/>
          <w:sz w:val="18"/>
          <w:szCs w:val="18"/>
        </w:rPr>
        <w:t xml:space="preserve">├── README.md</w:t>
      </w:r>
    </w:p>
    <w:p>
      <w:pPr>
        <w:shd w:fill="F1EFE8" w:val="clear"/>
        <w:spacing w:after="60" w:before="60"/>
        <w:ind w:left="360"/>
      </w:pPr>
      <w:r>
        <w:rPr>
          <w:rFonts w:ascii="Courier New" w:cs="Courier New" w:eastAsia="Courier New" w:hAnsi="Courier New"/>
          <w:color w:val="3C3489"/>
          <w:sz w:val="18"/>
          <w:szCs w:val="18"/>
        </w:rPr>
        <w:t xml:space="preserve">├── requirements.txt</w:t>
      </w:r>
    </w:p>
    <w:p>
      <w:pPr>
        <w:shd w:fill="F1EFE8" w:val="clear"/>
        <w:spacing w:after="60" w:before="60"/>
        <w:ind w:left="360"/>
      </w:pPr>
      <w:r>
        <w:rPr>
          <w:rFonts w:ascii="Courier New" w:cs="Courier New" w:eastAsia="Courier New" w:hAnsi="Courier New"/>
          <w:color w:val="3C3489"/>
          <w:sz w:val="18"/>
          <w:szCs w:val="18"/>
        </w:rPr>
        <w:t xml:space="preserve">└── 01-digital-twin-manufacturing/</w:t>
      </w:r>
    </w:p>
    <w:p>
      <w:pPr>
        <w:shd w:fill="F1EFE8" w:val="clear"/>
        <w:spacing w:after="60" w:before="60"/>
        <w:ind w:left="360"/>
      </w:pPr>
      <w:r>
        <w:rPr>
          <w:rFonts w:ascii="Courier New" w:cs="Courier New" w:eastAsia="Courier New" w:hAnsi="Courier New"/>
          <w:color w:val="3C3489"/>
          <w:sz w:val="18"/>
          <w:szCs w:val="18"/>
        </w:rPr>
        <w:t xml:space="preserve">    ├── README.md</w:t>
      </w:r>
    </w:p>
    <w:p>
      <w:pPr>
        <w:shd w:fill="F1EFE8" w:val="clear"/>
        <w:spacing w:after="60" w:before="60"/>
        <w:ind w:left="360"/>
      </w:pPr>
      <w:r>
        <w:rPr>
          <w:rFonts w:ascii="Courier New" w:cs="Courier New" w:eastAsia="Courier New" w:hAnsi="Courier New"/>
          <w:color w:val="3C3489"/>
          <w:sz w:val="18"/>
          <w:szCs w:val="18"/>
        </w:rPr>
        <w:t xml:space="preserve">    ├── docs/</w:t>
      </w:r>
    </w:p>
    <w:p>
      <w:pPr>
        <w:shd w:fill="F1EFE8" w:val="clear"/>
        <w:spacing w:after="60" w:before="60"/>
        <w:ind w:left="360"/>
      </w:pPr>
      <w:r>
        <w:rPr>
          <w:rFonts w:ascii="Courier New" w:cs="Courier New" w:eastAsia="Courier New" w:hAnsi="Courier New"/>
          <w:color w:val="3C3489"/>
          <w:sz w:val="18"/>
          <w:szCs w:val="18"/>
        </w:rPr>
        <w:t xml:space="preserve">    │   ├── project_charter.md</w:t>
      </w:r>
    </w:p>
    <w:p>
      <w:pPr>
        <w:shd w:fill="F1EFE8" w:val="clear"/>
        <w:spacing w:after="60" w:before="60"/>
        <w:ind w:left="360"/>
      </w:pPr>
      <w:r>
        <w:rPr>
          <w:rFonts w:ascii="Courier New" w:cs="Courier New" w:eastAsia="Courier New" w:hAnsi="Courier New"/>
          <w:color w:val="3C3489"/>
          <w:sz w:val="18"/>
          <w:szCs w:val="18"/>
        </w:rPr>
        <w:t xml:space="preserve">    │   └── executive_summary.md</w:t>
      </w:r>
    </w:p>
    <w:p>
      <w:pPr>
        <w:shd w:fill="F1EFE8" w:val="clear"/>
        <w:spacing w:after="60" w:before="60"/>
        <w:ind w:left="360"/>
      </w:pPr>
      <w:r>
        <w:rPr>
          <w:rFonts w:ascii="Courier New" w:cs="Courier New" w:eastAsia="Courier New" w:hAnsi="Courier New"/>
          <w:color w:val="3C3489"/>
          <w:sz w:val="18"/>
          <w:szCs w:val="18"/>
        </w:rPr>
        <w:t xml:space="preserve">    ├── src/</w:t>
      </w:r>
    </w:p>
    <w:p>
      <w:pPr>
        <w:shd w:fill="F1EFE8" w:val="clear"/>
        <w:spacing w:after="60" w:before="60"/>
        <w:ind w:left="360"/>
      </w:pPr>
      <w:r>
        <w:rPr>
          <w:rFonts w:ascii="Courier New" w:cs="Courier New" w:eastAsia="Courier New" w:hAnsi="Courier New"/>
          <w:color w:val="3C3489"/>
          <w:sz w:val="18"/>
          <w:szCs w:val="18"/>
        </w:rPr>
        <w:t xml:space="preserve">    │   ├── data_generator.py</w:t>
      </w:r>
    </w:p>
    <w:p>
      <w:pPr>
        <w:shd w:fill="F1EFE8" w:val="clear"/>
        <w:spacing w:after="60" w:before="60"/>
        <w:ind w:left="360"/>
      </w:pPr>
      <w:r>
        <w:rPr>
          <w:rFonts w:ascii="Courier New" w:cs="Courier New" w:eastAsia="Courier New" w:hAnsi="Courier New"/>
          <w:color w:val="3C3489"/>
          <w:sz w:val="18"/>
          <w:szCs w:val="18"/>
        </w:rPr>
        <w:t xml:space="preserve">    │   ├── digital_twin.py</w:t>
      </w:r>
    </w:p>
    <w:p>
      <w:pPr>
        <w:shd w:fill="F1EFE8" w:val="clear"/>
        <w:spacing w:after="60" w:before="60"/>
        <w:ind w:left="360"/>
      </w:pPr>
      <w:r>
        <w:rPr>
          <w:rFonts w:ascii="Courier New" w:cs="Courier New" w:eastAsia="Courier New" w:hAnsi="Courier New"/>
          <w:color w:val="3C3489"/>
          <w:sz w:val="18"/>
          <w:szCs w:val="18"/>
        </w:rPr>
        <w:t xml:space="preserve">    │   ├── milp_optimizer.py</w:t>
      </w:r>
    </w:p>
    <w:p>
      <w:pPr>
        <w:shd w:fill="F1EFE8" w:val="clear"/>
        <w:spacing w:after="60" w:before="60"/>
        <w:ind w:left="360"/>
      </w:pPr>
      <w:r>
        <w:rPr>
          <w:rFonts w:ascii="Courier New" w:cs="Courier New" w:eastAsia="Courier New" w:hAnsi="Courier New"/>
          <w:color w:val="3C3489"/>
          <w:sz w:val="18"/>
          <w:szCs w:val="18"/>
        </w:rPr>
        <w:t xml:space="preserve">    │   ├── marl_agent.py</w:t>
      </w:r>
    </w:p>
    <w:p>
      <w:pPr>
        <w:shd w:fill="F1EFE8" w:val="clear"/>
        <w:spacing w:after="60" w:before="60"/>
        <w:ind w:left="360"/>
      </w:pPr>
      <w:r>
        <w:rPr>
          <w:rFonts w:ascii="Courier New" w:cs="Courier New" w:eastAsia="Courier New" w:hAnsi="Courier New"/>
          <w:color w:val="3C3489"/>
          <w:sz w:val="18"/>
          <w:szCs w:val="18"/>
        </w:rPr>
        <w:t xml:space="preserve">    │   └── main.py</w:t>
      </w:r>
    </w:p>
    <w:p>
      <w:pPr>
        <w:shd w:fill="F1EFE8" w:val="clear"/>
        <w:spacing w:after="60" w:before="60"/>
        <w:ind w:left="360"/>
      </w:pPr>
      <w:r>
        <w:rPr>
          <w:rFonts w:ascii="Courier New" w:cs="Courier New" w:eastAsia="Courier New" w:hAnsi="Courier New"/>
          <w:color w:val="3C3489"/>
          <w:sz w:val="18"/>
          <w:szCs w:val="18"/>
        </w:rPr>
        <w:t xml:space="preserve">    ├── data/   (add empty .gitkeep file)</w:t>
      </w:r>
    </w:p>
    <w:p>
      <w:pPr>
        <w:shd w:fill="F1EFE8" w:val="clear"/>
        <w:spacing w:after="60" w:before="60"/>
        <w:ind w:left="360"/>
      </w:pPr>
      <w:r>
        <w:rPr>
          <w:rFonts w:ascii="Courier New" w:cs="Courier New" w:eastAsia="Courier New" w:hAnsi="Courier New"/>
          <w:color w:val="3C3489"/>
          <w:sz w:val="18"/>
          <w:szCs w:val="18"/>
        </w:rPr>
        <w:t xml:space="preserve">    └── results/  (add empty .gitkeep file)</w:t>
      </w:r>
    </w:p>
    <w:p>
      <w:pPr>
        <w:spacing w:after="80"/>
      </w:pPr>
      <w:r>
        <w:t xml:space="preserve"/>
      </w:r>
    </w:p>
    <w:p>
      <w:pPr>
        <w:pStyle w:val="Heading3"/>
        <w:spacing w:after="80" w:before="200"/>
      </w:pPr>
      <w:r>
        <w:rPr>
          <w:rFonts w:ascii="Arial" w:cs="Arial" w:eastAsia="Arial" w:hAnsi="Arial"/>
          <w:b/>
          <w:bCs/>
          <w:color w:val="444441"/>
          <w:sz w:val="22"/>
          <w:szCs w:val="22"/>
        </w:rPr>
        <w:t xml:space="preserve">Step 7: Stage, commit, and push</w:t>
      </w:r>
    </w:p>
    <w:p>
      <w:pPr>
        <w:shd w:fill="F1EFE8" w:val="clear"/>
        <w:spacing w:after="60" w:before="60"/>
        <w:ind w:left="360"/>
      </w:pPr>
      <w:r>
        <w:rPr>
          <w:rFonts w:ascii="Courier New" w:cs="Courier New" w:eastAsia="Courier New" w:hAnsi="Courier New"/>
          <w:color w:val="3C3489"/>
          <w:sz w:val="18"/>
          <w:szCs w:val="18"/>
        </w:rPr>
        <w:t xml:space="preserve">git add .</w:t>
      </w:r>
    </w:p>
    <w:p>
      <w:pPr>
        <w:shd w:fill="F1EFE8" w:val="clear"/>
        <w:spacing w:after="60" w:before="60"/>
        <w:ind w:left="360"/>
      </w:pPr>
      <w:r>
        <w:rPr>
          <w:rFonts w:ascii="Courier New" w:cs="Courier New" w:eastAsia="Courier New" w:hAnsi="Courier New"/>
          <w:color w:val="3C3489"/>
          <w:sz w:val="18"/>
          <w:szCs w:val="18"/>
        </w:rPr>
        <w:t xml:space="preserve">git commit -m "Add Project 1: Digital twin manufacturing optimization"</w:t>
      </w:r>
    </w:p>
    <w:p>
      <w:pPr>
        <w:shd w:fill="F1EFE8" w:val="clear"/>
        <w:spacing w:after="60" w:before="60"/>
        <w:ind w:left="360"/>
      </w:pPr>
      <w:r>
        <w:rPr>
          <w:rFonts w:ascii="Courier New" w:cs="Courier New" w:eastAsia="Courier New" w:hAnsi="Courier New"/>
          <w:color w:val="3C3489"/>
          <w:sz w:val="18"/>
          <w:szCs w:val="18"/>
        </w:rPr>
        <w:t xml:space="preserve">git push origin main</w:t>
      </w:r>
    </w:p>
    <w:p>
      <w:pPr>
        <w:spacing w:after="80"/>
      </w:pPr>
      <w:r>
        <w:t xml:space="preserve"/>
      </w:r>
    </w:p>
    <w:p>
      <w:pPr>
        <w:spacing w:after="120"/>
      </w:pPr>
      <w:r>
        <w:rPr>
          <w:rFonts w:ascii="Arial" w:cs="Arial" w:eastAsia="Arial" w:hAnsi="Arial"/>
          <w:color w:val="444441"/>
          <w:sz w:val="22"/>
          <w:szCs w:val="22"/>
        </w:rPr>
        <w:t xml:space="preserve">Note: GitHub requires a Personal Access Token (PAT) instead of your password. Generate one at: GitHub Settings &gt; Developer settings &gt; Personal access tokens &gt; Generate new token. Select repo scope and 90-day expiry. Paste the token when prompted for your password.</w:t>
      </w:r>
    </w:p>
    <w:p>
      <w:pPr>
        <w:spacing w:after="80"/>
      </w:pPr>
      <w:r>
        <w:t xml:space="preserve"/>
      </w:r>
    </w:p>
    <w:p>
      <w:pPr>
        <w:pStyle w:val="Heading2"/>
        <w:pBdr>
          <w:bottom w:val="single" w:color="D3D1C7" w:sz="4" w:space="2"/>
        </w:pBdr>
        <w:spacing w:after="120" w:before="280"/>
      </w:pPr>
      <w:r>
        <w:rPr>
          <w:rFonts w:ascii="Arial" w:cs="Arial" w:eastAsia="Arial" w:hAnsi="Arial"/>
          <w:b/>
          <w:bCs/>
          <w:color w:val="444441"/>
          <w:sz w:val="26"/>
          <w:szCs w:val="26"/>
        </w:rPr>
        <w:t xml:space="preserve">Phase 4 — Professional Polish</w:t>
      </w:r>
    </w:p>
    <w:p>
      <w:pPr>
        <w:pStyle w:val="Heading3"/>
        <w:spacing w:after="80" w:before="200"/>
      </w:pPr>
      <w:r>
        <w:rPr>
          <w:rFonts w:ascii="Arial" w:cs="Arial" w:eastAsia="Arial" w:hAnsi="Arial"/>
          <w:b/>
          <w:bCs/>
          <w:color w:val="444441"/>
          <w:sz w:val="22"/>
          <w:szCs w:val="22"/>
        </w:rPr>
        <w:t xml:space="preserve">Step 8: Add badges to your root README.md</w:t>
      </w:r>
    </w:p>
    <w:p>
      <w:pPr>
        <w:shd w:fill="F1EFE8" w:val="clear"/>
        <w:spacing w:after="60" w:before="60"/>
        <w:ind w:left="360"/>
      </w:pPr>
      <w:r>
        <w:rPr>
          <w:rFonts w:ascii="Courier New" w:cs="Courier New" w:eastAsia="Courier New" w:hAnsi="Courier New"/>
          <w:color w:val="3C3489"/>
          <w:sz w:val="18"/>
          <w:szCs w:val="18"/>
        </w:rPr>
        <w:t xml:space="preserve">![Python](https://img.shields.io/badge/Python-3.10%2B-blue)</w:t>
      </w:r>
    </w:p>
    <w:p>
      <w:pPr>
        <w:shd w:fill="F1EFE8" w:val="clear"/>
        <w:spacing w:after="60" w:before="60"/>
        <w:ind w:left="360"/>
      </w:pPr>
      <w:r>
        <w:rPr>
          <w:rFonts w:ascii="Courier New" w:cs="Courier New" w:eastAsia="Courier New" w:hAnsi="Courier New"/>
          <w:color w:val="3C3489"/>
          <w:sz w:val="18"/>
          <w:szCs w:val="18"/>
        </w:rPr>
        <w:t xml:space="preserve">![License](https://img.shields.io/badge/License-MIT-green)</w:t>
      </w:r>
    </w:p>
    <w:p>
      <w:pPr>
        <w:shd w:fill="F1EFE8" w:val="clear"/>
        <w:spacing w:after="60" w:before="60"/>
        <w:ind w:left="360"/>
      </w:pPr>
      <w:r>
        <w:rPr>
          <w:rFonts w:ascii="Courier New" w:cs="Courier New" w:eastAsia="Courier New" w:hAnsi="Courier New"/>
          <w:color w:val="3C3489"/>
          <w:sz w:val="18"/>
          <w:szCs w:val="18"/>
        </w:rPr>
        <w:t xml:space="preserve">![Status](https://img.shields.io/badge/Status-Active-success)</w:t>
      </w:r>
    </w:p>
    <w:p>
      <w:pPr>
        <w:shd w:fill="F1EFE8" w:val="clear"/>
        <w:spacing w:after="60" w:before="60"/>
        <w:ind w:left="360"/>
      </w:pPr>
      <w:r>
        <w:rPr>
          <w:rFonts w:ascii="Courier New" w:cs="Courier New" w:eastAsia="Courier New" w:hAnsi="Courier New"/>
          <w:color w:val="3C3489"/>
          <w:sz w:val="18"/>
          <w:szCs w:val="18"/>
        </w:rPr>
        <w:t xml:space="preserve">![OR](https://img.shields.io/badge/Field-Operations%20Research-purple)</w:t>
      </w:r>
    </w:p>
    <w:p>
      <w:pPr>
        <w:spacing w:after="80"/>
      </w:pPr>
      <w:r>
        <w:t xml:space="preserve"/>
      </w:r>
    </w:p>
    <w:p>
      <w:pPr>
        <w:pStyle w:val="Heading3"/>
        <w:spacing w:after="80" w:before="200"/>
      </w:pPr>
      <w:r>
        <w:rPr>
          <w:rFonts w:ascii="Arial" w:cs="Arial" w:eastAsia="Arial" w:hAnsi="Arial"/>
          <w:b/>
          <w:bCs/>
          <w:color w:val="444441"/>
          <w:sz w:val="22"/>
          <w:szCs w:val="22"/>
        </w:rPr>
        <w:t xml:space="preserve">Step 9: Pin the repository on your profile</w:t>
      </w:r>
    </w:p>
    <w:p>
      <w:pPr>
        <w:spacing w:after="120"/>
      </w:pPr>
      <w:r>
        <w:rPr>
          <w:rFonts w:ascii="Arial" w:cs="Arial" w:eastAsia="Arial" w:hAnsi="Arial"/>
          <w:color w:val="444441"/>
          <w:sz w:val="22"/>
          <w:szCs w:val="22"/>
        </w:rPr>
        <w:t xml:space="preserve">Go to github.com/YOUR-USERNAME. Click Customize your pins. Select operations-research-portfolio. It will appear prominently on your profile.</w:t>
      </w:r>
    </w:p>
    <w:p>
      <w:pPr>
        <w:spacing w:after="80"/>
      </w:pPr>
      <w:r>
        <w:t xml:space="preserve"/>
      </w:r>
    </w:p>
    <w:p>
      <w:pPr>
        <w:pStyle w:val="Heading3"/>
        <w:spacing w:after="80" w:before="200"/>
      </w:pPr>
      <w:r>
        <w:rPr>
          <w:rFonts w:ascii="Arial" w:cs="Arial" w:eastAsia="Arial" w:hAnsi="Arial"/>
          <w:b/>
          <w:bCs/>
          <w:color w:val="444441"/>
          <w:sz w:val="22"/>
          <w:szCs w:val="22"/>
        </w:rPr>
        <w:t xml:space="preserve">Step 10: Add to LinkedIn</w:t>
      </w:r>
    </w:p>
    <w:p>
      <w:pPr>
        <w:spacing w:after="120"/>
      </w:pPr>
      <w:r>
        <w:rPr>
          <w:rFonts w:ascii="Arial" w:cs="Arial" w:eastAsia="Arial" w:hAnsi="Arial"/>
          <w:color w:val="444441"/>
          <w:sz w:val="22"/>
          <w:szCs w:val="22"/>
        </w:rPr>
        <w:t xml:space="preserve">Go to your LinkedIn profile &gt; Add profile section &gt; Featured &gt; Add a link. Paste your GitHub repo URL. Title: Operations Research Portfolio — 5 projects in manufacturing, logistics, and supply chain.</w:t>
      </w:r>
    </w:p>
    <w:p>
      <w:pPr>
        <w:spacing w:after="80"/>
      </w:pPr>
      <w:r>
        <w:t xml:space="preserve"/>
      </w:r>
    </w:p>
    <w:p>
      <w:pPr>
        <w:pStyle w:val="Heading2"/>
        <w:pBdr>
          <w:bottom w:val="single" w:color="D3D1C7" w:sz="4" w:space="2"/>
        </w:pBdr>
        <w:spacing w:after="120" w:before="280"/>
      </w:pPr>
      <w:r>
        <w:rPr>
          <w:rFonts w:ascii="Arial" w:cs="Arial" w:eastAsia="Arial" w:hAnsi="Arial"/>
          <w:b/>
          <w:bCs/>
          <w:color w:val="444441"/>
          <w:sz w:val="26"/>
          <w:szCs w:val="26"/>
        </w:rPr>
        <w:t xml:space="preserve">Useful Git Commands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3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Command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Check what files changed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git status</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Stage all changes</w:t>
            </w:r>
          </w:p>
        </w:tc>
        <w:tc>
          <w:tcPr>
            <w:tcW w:type="dxa" w:w="6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git add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Save with a message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git commit -m "Your message here"</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Upload to GitHub</w:t>
            </w:r>
          </w:p>
        </w:tc>
        <w:tc>
          <w:tcPr>
            <w:tcW w:type="dxa" w:w="6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git push origin main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Download latest changes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git pull origin main</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See commit history</w:t>
            </w:r>
          </w:p>
        </w:tc>
        <w:tc>
          <w:tcPr>
            <w:tcW w:type="dxa" w:w="6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git log --oneline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Undo last commit (keep files)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20"/>
                <w:szCs w:val="20"/>
              </w:rPr>
              <w:t xml:space="preserve">git reset HEAD~1</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Create a new branch</w:t>
            </w:r>
          </w:p>
        </w:tc>
        <w:tc>
          <w:tcPr>
            <w:tcW w:type="dxa" w:w="6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git checkout -b branch-name</w:t>
            </w:r>
          </w:p>
        </w:tc>
      </w:tr>
    </w:tbl>
    <w:p>
      <w:pPr>
        <w:spacing w:after="80"/>
      </w:pPr>
      <w:r>
        <w:t xml:space="preserve"/>
      </w:r>
    </w:p>
    <w:p>
      <w:r>
        <w:br w:type="page"/>
      </w:r>
    </w:p>
    <w:p>
      <w:pPr>
        <w:pStyle w:val="Heading1"/>
      </w:pPr>
      <w:r>
        <w:rPr>
          <w:rFonts w:ascii="Arial" w:cs="Arial" w:eastAsia="Arial" w:hAnsi="Arial"/>
          <w:b/>
          <w:bCs/>
          <w:color w:val="534AB7"/>
          <w:sz w:val="32"/>
          <w:szCs w:val="32"/>
        </w:rPr>
        <w:t xml:space="preserve">10. References</w:t>
      </w:r>
    </w:p>
    <w:p>
      <w:pPr>
        <w:spacing w:after="80"/>
      </w:pPr>
      <w:r>
        <w:t xml:space="preserve"/>
      </w:r>
    </w:p>
    <w:p>
      <w:pPr>
        <w:spacing w:after="120"/>
      </w:pPr>
      <w:r>
        <w:rPr>
          <w:rFonts w:ascii="Arial" w:cs="Arial" w:eastAsia="Arial" w:hAnsi="Arial"/>
          <w:color w:val="444441"/>
          <w:sz w:val="22"/>
          <w:szCs w:val="22"/>
        </w:rPr>
        <w:t xml:space="preserve">Tao, F., Cheng, J., Qi, Q., Zhang, M., Zhang, H., &amp; Sui, F. (2018). Digital twin-driven product design, manufacturing and service with big data. International Journal of Advanced Manufacturing Technology, 94(9–12), 3563–3576.</w:t>
      </w:r>
    </w:p>
    <w:p>
      <w:pPr>
        <w:spacing w:after="80"/>
      </w:pPr>
      <w:r>
        <w:t xml:space="preserve"/>
      </w:r>
    </w:p>
    <w:p>
      <w:pPr>
        <w:spacing w:after="120"/>
      </w:pPr>
      <w:r>
        <w:rPr>
          <w:rFonts w:ascii="Arial" w:cs="Arial" w:eastAsia="Arial" w:hAnsi="Arial"/>
          <w:color w:val="444441"/>
          <w:sz w:val="22"/>
          <w:szCs w:val="22"/>
        </w:rPr>
        <w:t xml:space="preserve">Bischoff, J., &amp; Mönch, L. (2022). Rolling-horizon scheduling for reconfigurable manufacturing systems with sequence-dependent setups. Computers &amp; Operations Research, 141, 105694.</w:t>
      </w:r>
    </w:p>
    <w:p>
      <w:pPr>
        <w:spacing w:after="80"/>
      </w:pPr>
      <w:r>
        <w:t xml:space="preserve"/>
      </w:r>
    </w:p>
    <w:p>
      <w:pPr>
        <w:spacing w:after="120"/>
      </w:pPr>
      <w:r>
        <w:rPr>
          <w:rFonts w:ascii="Arial" w:cs="Arial" w:eastAsia="Arial" w:hAnsi="Arial"/>
          <w:color w:val="444441"/>
          <w:sz w:val="22"/>
          <w:szCs w:val="22"/>
        </w:rPr>
        <w:t xml:space="preserve">ISO 11228-3:2007. Ergonomics — Manual handling — Part 3: Handling of low loads at high frequency. International Organization for Standardization.</w:t>
      </w:r>
    </w:p>
    <w:p>
      <w:pPr>
        <w:spacing w:after="80"/>
      </w:pPr>
      <w:r>
        <w:t xml:space="preserve"/>
      </w:r>
    </w:p>
    <w:p>
      <w:pPr>
        <w:spacing w:after="120"/>
      </w:pPr>
      <w:r>
        <w:rPr>
          <w:rFonts w:ascii="Arial" w:cs="Arial" w:eastAsia="Arial" w:hAnsi="Arial"/>
          <w:color w:val="444441"/>
          <w:sz w:val="22"/>
          <w:szCs w:val="22"/>
        </w:rPr>
        <w:t xml:space="preserve">Watkins, C. J. C. H., &amp; Dayan, P. (1992). Q-learning. Machine Learning, 8(3–4), 279–292.</w:t>
      </w:r>
    </w:p>
    <w:p>
      <w:pPr>
        <w:spacing w:after="80"/>
      </w:pPr>
      <w:r>
        <w:t xml:space="preserve"/>
      </w:r>
    </w:p>
    <w:p>
      <w:pPr>
        <w:spacing w:after="120"/>
      </w:pPr>
      <w:r>
        <w:rPr>
          <w:rFonts w:ascii="Arial" w:cs="Arial" w:eastAsia="Arial" w:hAnsi="Arial"/>
          <w:color w:val="444441"/>
          <w:sz w:val="22"/>
          <w:szCs w:val="22"/>
        </w:rPr>
        <w:t xml:space="preserve">Hao, S., &amp; Liang, Q. (2020). A digital twin-based real-time scheduling method for human-robot collaborative manufacturing. Journal of Manufacturing Systems, 57, 287–299.</w:t>
      </w:r>
    </w:p>
    <w:p>
      <w:pPr>
        <w:spacing w:after="80"/>
      </w:pPr>
      <w:r>
        <w:t xml:space="preserve"/>
      </w:r>
    </w:p>
    <w:p>
      <w:pPr>
        <w:spacing w:after="120"/>
      </w:pPr>
      <w:r>
        <w:rPr>
          <w:rFonts w:ascii="Arial" w:cs="Arial" w:eastAsia="Arial" w:hAnsi="Arial"/>
          <w:color w:val="444441"/>
          <w:sz w:val="22"/>
          <w:szCs w:val="22"/>
        </w:rPr>
        <w:t xml:space="preserve">PuLP Linear Programming Library, v2.7+. https://coin-or.github.io/pulp/</w:t>
      </w:r>
    </w:p>
    <w:p>
      <w:pPr>
        <w:spacing w:after="80"/>
      </w:pPr>
      <w:r>
        <w:t xml:space="preserve"/>
      </w:r>
    </w:p>
    <w:p>
      <w:pPr>
        <w:spacing w:after="120"/>
      </w:pPr>
      <w:r>
        <w:rPr>
          <w:rFonts w:ascii="Arial" w:cs="Arial" w:eastAsia="Arial" w:hAnsi="Arial"/>
          <w:color w:val="444441"/>
          <w:sz w:val="22"/>
          <w:szCs w:val="22"/>
        </w:rPr>
        <w:t xml:space="preserve">SimPy Discrete Event Simulation Framework, v4.0+. https://simpy.readthedocs.io/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2"/>
      </w:pBdr>
      <w:tabs>
        <w:tab w:val="right" w:pos="9026"/>
      </w:tabs>
    </w:pPr>
    <w:r>
      <w:rPr>
        <w:rFonts w:ascii="Arial" w:cs="Arial" w:eastAsia="Arial" w:hAnsi="Arial"/>
        <w:color w:val="888780"/>
        <w:sz w:val="18"/>
        <w:szCs w:val="18"/>
      </w:rPr>
      <w:t xml:space="preserve">Confidential — Portfolio Document    </w:t>
    </w:r>
    <w:r>
      <w:rPr>
        <w:rFonts w:ascii="Arial" w:cs="Arial" w:eastAsia="Arial" w:hAnsi="Arial"/>
        <w:color w:val="888780"/>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2"/>
      </w:pBdr>
      <w:tabs>
        <w:tab w:val="right" w:pos="9026"/>
      </w:tabs>
    </w:pPr>
    <w:r>
      <w:rPr>
        <w:rFonts w:ascii="Arial" w:cs="Arial" w:eastAsia="Arial" w:hAnsi="Arial"/>
        <w:color w:val="888780"/>
        <w:sz w:val="18"/>
        <w:szCs w:val="18"/>
      </w:rPr>
      <w:t xml:space="preserve">Project 1 — Digital Twin Manufacturing Optimization</w:t>
    </w:r>
    <w:r>
      <w:rPr>
        <w:rFonts w:ascii="Arial" w:cs="Arial" w:eastAsia="Arial" w:hAnsi="Arial"/>
        <w:sz w:val="18"/>
        <w:szCs w:val="18"/>
      </w:rPr>
      <w:t xml:space="preserve">	</w:t>
    </w:r>
    <w:r>
      <w:rPr>
        <w:rFonts w:ascii="Arial" w:cs="Arial" w:eastAsia="Arial" w:hAnsi="Arial"/>
        <w:color w:val="888780"/>
        <w:sz w:val="18"/>
        <w:szCs w:val="18"/>
      </w:rPr>
      <w:t xml:space="preserve">Operations Research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90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534AB7"/>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44444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2026-05-10T03:52:50.462Z</dcterms:created>
  <dcterms:modified xsi:type="dcterms:W3CDTF">2026-05-10T03:52:50.462Z</dcterms:modified>
</cp:coreProperties>
</file>

<file path=docProps/custom.xml><?xml version="1.0" encoding="utf-8"?>
<Properties xmlns="http://schemas.openxmlformats.org/officeDocument/2006/custom-properties" xmlns:vt="http://schemas.openxmlformats.org/officeDocument/2006/docPropsVTypes"/>
</file>