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jc w:val="center"/>
      </w:pPr>
      <w:r>
        <w:rPr>
          <w:rFonts w:ascii="Microsoft YaHei" w:hAnsi="Microsoft YaHei" w:eastAsia="Microsoft YaHei"/>
          <w:b/>
          <w:color w:val="1F4E78"/>
          <w:sz w:val="44"/>
        </w:rPr>
        <w:t>测试要求落实与材料对应说明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55555"/>
          <w:sz w:val="26"/>
        </w:rPr>
        <w:t>全栈外卖管理系统｜软件工程实验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c>
          <w:tcPr>
            <w:tcW w:type="dxa" w:w="194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imSun" w:hAnsi="SimSun" w:eastAsia="SimSun"/>
                <w:b/>
                <w:color w:val="1F4E78"/>
                <w:sz w:val="20"/>
              </w:rPr>
              <w:t>文档编号</w:t>
            </w:r>
          </w:p>
        </w:tc>
        <w:tc>
          <w:tcPr>
            <w:tcW w:type="dxa" w:w="8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imSun" w:hAnsi="SimSun" w:eastAsia="SimSun"/>
                <w:b w:val="0"/>
                <w:color w:val="000000"/>
                <w:sz w:val="20"/>
              </w:rPr>
              <w:t>TMS-QA-MAP-001</w:t>
            </w:r>
          </w:p>
        </w:tc>
      </w:tr>
      <w:tr>
        <w:tc>
          <w:tcPr>
            <w:tcW w:type="dxa" w:w="194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imSun" w:hAnsi="SimSun" w:eastAsia="SimSun"/>
                <w:b/>
                <w:color w:val="1F4E78"/>
                <w:sz w:val="20"/>
              </w:rPr>
              <w:t>当前被测版本</w:t>
            </w:r>
          </w:p>
        </w:tc>
        <w:tc>
          <w:tcPr>
            <w:tcW w:type="dxa" w:w="8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imSun" w:hAnsi="SimSun" w:eastAsia="SimSun"/>
                <w:b w:val="0"/>
                <w:color w:val="000000"/>
                <w:sz w:val="20"/>
              </w:rPr>
              <w:t>Git commit 98e3939（test 分支，已合并 origin/main 最新文档）</w:t>
            </w:r>
          </w:p>
        </w:tc>
      </w:tr>
      <w:tr>
        <w:tc>
          <w:tcPr>
            <w:tcW w:type="dxa" w:w="194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imSun" w:hAnsi="SimSun" w:eastAsia="SimSun"/>
                <w:b/>
                <w:color w:val="1F4E78"/>
                <w:sz w:val="20"/>
              </w:rPr>
              <w:t>编制日期</w:t>
            </w:r>
          </w:p>
        </w:tc>
        <w:tc>
          <w:tcPr>
            <w:tcW w:type="dxa" w:w="8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imSun" w:hAnsi="SimSun" w:eastAsia="SimSun"/>
                <w:b w:val="0"/>
                <w:color w:val="000000"/>
                <w:sz w:val="20"/>
              </w:rPr>
              <w:t>2026-06-14</w:t>
            </w:r>
          </w:p>
        </w:tc>
      </w:tr>
      <w:tr>
        <w:tc>
          <w:tcPr>
            <w:tcW w:type="dxa" w:w="194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imSun" w:hAnsi="SimSun" w:eastAsia="SimSun"/>
                <w:b/>
                <w:color w:val="1F4E78"/>
                <w:sz w:val="20"/>
              </w:rPr>
              <w:t>测试负责人</w:t>
            </w:r>
          </w:p>
        </w:tc>
        <w:tc>
          <w:tcPr>
            <w:tcW w:type="dxa" w:w="8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imSun" w:hAnsi="SimSun" w:eastAsia="SimSun"/>
                <w:b w:val="0"/>
                <w:color w:val="000000"/>
                <w:sz w:val="20"/>
              </w:rPr>
              <w:t>李艺涵（学号：2023302628，计划书成员 C：测试+文档）</w:t>
            </w:r>
          </w:p>
        </w:tc>
      </w:tr>
      <w:tr>
        <w:tc>
          <w:tcPr>
            <w:tcW w:type="dxa" w:w="194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imSun" w:hAnsi="SimSun" w:eastAsia="SimSun"/>
                <w:b/>
                <w:color w:val="1F4E78"/>
                <w:sz w:val="20"/>
              </w:rPr>
              <w:t>编制目的</w:t>
            </w:r>
          </w:p>
        </w:tc>
        <w:tc>
          <w:tcPr>
            <w:tcW w:type="dxa" w:w="8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imSun" w:hAnsi="SimSun" w:eastAsia="SimSun"/>
                <w:b w:val="0"/>
                <w:color w:val="000000"/>
                <w:sz w:val="20"/>
              </w:rPr>
              <w:t>说明课程模板、计划书测试要求、实际测试记录及提交材料之间的对应关系</w:t>
            </w:r>
          </w:p>
        </w:tc>
      </w:tr>
      <w:tr>
        <w:tc>
          <w:tcPr>
            <w:tcW w:type="dxa" w:w="194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imSun" w:hAnsi="SimSun" w:eastAsia="SimSun"/>
                <w:b/>
                <w:color w:val="1F4E78"/>
                <w:sz w:val="20"/>
              </w:rPr>
              <w:t>结论</w:t>
            </w:r>
          </w:p>
        </w:tc>
        <w:tc>
          <w:tcPr>
            <w:tcW w:type="dxa" w:w="8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imSun" w:hAnsi="SimSun" w:eastAsia="SimSun"/>
                <w:b w:val="0"/>
                <w:color w:val="000000"/>
                <w:sz w:val="20"/>
              </w:rPr>
              <w:t>功能、安全和构建测试已形成证据；性能、压力、延迟和 MySQL 回归仍需补测</w:t>
            </w:r>
          </w:p>
        </w:tc>
      </w:tr>
    </w:tbl>
    <w:p/>
    <w:p>
      <w:pPr>
        <w:pStyle w:val="Heading1"/>
      </w:pPr>
      <w:r>
        <w:t>1. 编制依据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5184"/>
        <w:gridCol w:w="2376"/>
      </w:tblGrid>
      <w:tr>
        <w:trPr>
          <w:tblHeader w:val="true"/>
        </w:trPr>
        <w:tc>
          <w:tcPr>
            <w:tcW w:type="dxa" w:w="331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来源文件</w:t>
            </w:r>
          </w:p>
        </w:tc>
        <w:tc>
          <w:tcPr>
            <w:tcW w:type="dxa" w:w="331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提取出的关键要求</w:t>
            </w:r>
          </w:p>
        </w:tc>
        <w:tc>
          <w:tcPr>
            <w:tcW w:type="dxa" w:w="331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本次处理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02 software-实验总要求.pptx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测试阶段提交测试文档和测试结果；第 4 次实验测试软件并检查结果报告；测试设计及结果报告书占项目组 25 分。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作为课程交付与评分依据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软件工程实验课评分标准_new.docx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个人文档必须包含测试设计及结果报告书；结构合理、规范、无明显错误。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作为文档完整性与规范性依据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01-Plan.doc / 项目开发计划书.md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计划测试环境、移行基准、品质记录；M4 完成接口、集成、WebSocket、端到端测试；要求缺陷跟踪与测试用例评审。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作为项目内测试范围与完成判据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04-FT设计-报告书.xls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测试项目记录字段：确认事项、条件/数据、操作、预期结果、实施结果、故障序号、测试者、日期。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已整合为《测试记录汇总.xlsx》的测试项目一览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bug_list.xlsx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记录状态、重要度、问题点、复现步骤、原因、处理及回归确认。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已整合 DEF-001、DEF-002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Review记录表.xls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记录测试设计 Review 工程、检查项、指出事项、处理与完了确认。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已形成测试阶段 Review 记录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会议纪要模板.docx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记录会议名称、主题、时间、参加人员、议事事项与结论。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已形成测试评审会议纪要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05-小组总结报告.ppt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总结报告需包含测试方法。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可直接引用本说明第 3、4、6 节</w:t>
            </w:r>
          </w:p>
        </w:tc>
      </w:tr>
    </w:tbl>
    <w:p/>
    <w:p>
      <w:pPr>
        <w:pStyle w:val="Heading1"/>
      </w:pPr>
      <w:r>
        <w:t>2. 计划书测试要求落实情况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232"/>
        <w:gridCol w:w="4032"/>
        <w:gridCol w:w="1080"/>
        <w:gridCol w:w="1728"/>
      </w:tblGrid>
      <w:tr>
        <w:trPr>
          <w:tblHeader w:val="true"/>
        </w:trPr>
        <w:tc>
          <w:tcPr>
            <w:tcW w:type="dxa" w:w="198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要求</w:t>
            </w:r>
          </w:p>
        </w:tc>
        <w:tc>
          <w:tcPr>
            <w:tcW w:type="dxa" w:w="198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计划标准</w:t>
            </w:r>
          </w:p>
        </w:tc>
        <w:tc>
          <w:tcPr>
            <w:tcW w:type="dxa" w:w="198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实际完成情况</w:t>
            </w:r>
          </w:p>
        </w:tc>
        <w:tc>
          <w:tcPr>
            <w:tcW w:type="dxa" w:w="198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判定</w:t>
            </w:r>
          </w:p>
        </w:tc>
        <w:tc>
          <w:tcPr>
            <w:tcW w:type="dxa" w:w="198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证据/备注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M4-接口测试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全部 22 个 API，预期通过率 100%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31 个后端自动化用例覆盖认证、顾客、商家、骑手、数据层；最终 30 passed、1 xfailed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部分满足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后端日志、覆盖率、测试项目一览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M4-10 个集成场景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跨角色业务流程与状态机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已自动化覆盖菜品可见、下单、取消、拒单、接单、指派、抢单、送达、越权、并发抢单等核心场景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548235"/>
                <w:sz w:val="15"/>
              </w:rPr>
              <w:t>满足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test_orders.py 等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WebSocket 测试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实时推送与连接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已验证合法身份连接、缺少 Token、角色/用户不匹配；未量测推送延迟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部分满足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test_websocket_and_units.py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端到端全流程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下单→接单→抢单→送达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接口级完整状态流转已通过；真实浏览器 E2E 未执行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部分满足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test_complete_pickup_delivery_lifecycle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安全测试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越权访问、Token 过期正确拦截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已覆盖无 Token、非法 Token、跨角色访问；Token 到期时间边界未单独模拟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部分满足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test_auth.py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并发测试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100 用户同时下单，响应 &lt;500ms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仅执行双骑手并发抢单风险测试，发现 DEF-001；未执行 100 用户下单性能测试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C00000"/>
                <w:sz w:val="15"/>
              </w:rPr>
              <w:t>未完成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DEF-001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压力测试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持续高负载、无崩溃和泄漏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未执行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C00000"/>
                <w:sz w:val="15"/>
              </w:rPr>
              <w:t>未完成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需补充性能工具与环境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WebSocket 延迟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下单到商家收到推送 &lt;1 秒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未执行量化延迟测试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C00000"/>
                <w:sz w:val="15"/>
              </w:rPr>
              <w:t>未完成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需补充端到端计时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单元覆盖目标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utils≥90%、schemas≥85%、models≥80%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utils 80%、schemas 97%、models 95%；总覆盖率 76%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部分满足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HTML coverage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缺陷管理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缺陷跟踪单与处理时限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已登记 P0 DEF-002、P1 DEF-001；均待业务修复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548235"/>
                <w:sz w:val="15"/>
              </w:rPr>
              <w:t>满足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缺陷记录与 Bug 一览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测试用例评审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M4 开始由测试+开发审查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测试负责人李艺涵已形成 Review 记录和会议纪要；其余参与人员需补确认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部分满足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Review记录、会议纪要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品质记录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测试报告与缺陷跟踪单归档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计划、用例、缺陷、报告、日志、覆盖率均归档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548235"/>
                <w:sz w:val="15"/>
              </w:rPr>
              <w:t>满足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5"/>
              </w:rPr>
              <w:t>testing/</w:t>
            </w:r>
          </w:p>
        </w:tc>
      </w:tr>
    </w:tbl>
    <w:p/>
    <w:p>
      <w:pPr>
        <w:pStyle w:val="Heading1"/>
      </w:pPr>
      <w:r>
        <w:t>3. 实际测试执行结果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296"/>
        <w:gridCol w:w="2448"/>
        <w:gridCol w:w="4608"/>
      </w:tblGrid>
      <w:tr>
        <w:trPr>
          <w:tblHeader w:val="true"/>
        </w:trPr>
        <w:tc>
          <w:tcPr>
            <w:tcW w:type="dxa" w:w="248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测试对象</w:t>
            </w:r>
          </w:p>
        </w:tc>
        <w:tc>
          <w:tcPr>
            <w:tcW w:type="dxa" w:w="248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项目数</w:t>
            </w:r>
          </w:p>
        </w:tc>
        <w:tc>
          <w:tcPr>
            <w:tcW w:type="dxa" w:w="248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248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后端自动化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31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30 通过，1 预期失败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预期失败对应 DEF-001，并发抢单唯一性尚未满足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前端契约测试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全部通过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覆盖 API 封装、路由守卫、认证存储、401 处理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前端生产构建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548235"/>
                <w:sz w:val="17"/>
              </w:rPr>
              <w:t>通过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存在主包约 1.19 MB 的性能警告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代码覆盖率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640 语句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76%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schemas 97%、models 95%、utils 80%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缺陷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均待修复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7"/>
              </w:rPr>
              <w:t>DEF-001 P1；DEF-002 P0</w:t>
            </w:r>
          </w:p>
        </w:tc>
      </w:tr>
    </w:tbl>
    <w:p/>
    <w:p>
      <w:pPr>
        <w:pStyle w:val="Heading1"/>
      </w:pPr>
      <w:r>
        <w:t>4. 课程提交材料对应关系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3744"/>
        <w:gridCol w:w="3456"/>
        <w:gridCol w:w="1152"/>
      </w:tblGrid>
      <w:tr>
        <w:trPr>
          <w:tblHeader w:val="true"/>
        </w:trPr>
        <w:tc>
          <w:tcPr>
            <w:tcW w:type="dxa" w:w="248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课程/计划要求</w:t>
            </w:r>
          </w:p>
        </w:tc>
        <w:tc>
          <w:tcPr>
            <w:tcW w:type="dxa" w:w="248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对应成果物</w:t>
            </w:r>
          </w:p>
        </w:tc>
        <w:tc>
          <w:tcPr>
            <w:tcW w:type="dxa" w:w="248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248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状态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测试设计及结果报告书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测试记录汇总.xlsx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FT 设计、实施结果、需求追踪、Bug 与 Review 汇总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548235"/>
                <w:sz w:val="16"/>
              </w:rPr>
              <w:t>已完成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测试方法与测试报告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testing/documents/01-测试计划.md、04-测试报告.md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说明策略、范围、环境、结果和发布建议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548235"/>
                <w:sz w:val="16"/>
              </w:rPr>
              <w:t>已完成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测试项目与个人检查点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backend/tests/、frontend/tests/、02-测试用例与需求追踪.md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证明测试项目编写与实际执行贡献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548235"/>
                <w:sz w:val="16"/>
              </w:rPr>
              <w:t>已完成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缺陷跟踪单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03-缺陷记录.md、测试记录汇总.xlsx/Bug一览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记录缺陷严重度、原因、复现、建议和状态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548235"/>
                <w:sz w:val="16"/>
              </w:rPr>
              <w:t>已完成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测试用例评审记录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测试记录汇总.xlsx/Review记录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证明测试设计审查、指出事项与处理结论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548235"/>
                <w:sz w:val="16"/>
              </w:rPr>
              <w:t>已完成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测试评审会议纪要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会议纪要-20260614-测试评审.docx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证明测试结论、风险与补测事项经会议确认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548235"/>
                <w:sz w:val="16"/>
              </w:rPr>
              <w:t>已完成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测试证据与品质记录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testing/evidence/logs/、testing/evidence/coverage/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保存原始日志和覆盖率证据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548235"/>
                <w:sz w:val="16"/>
              </w:rPr>
              <w:t>已完成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小组总结报告测试方法页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本说明第 3、5、6 节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作为总结 PPT“测试方法/成果/困难”内容来源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可引用</w:t>
            </w:r>
          </w:p>
        </w:tc>
      </w:tr>
    </w:tbl>
    <w:p/>
    <w:p>
      <w:pPr>
        <w:pStyle w:val="Heading1"/>
      </w:pPr>
      <w:r>
        <w:t>5. 测试方法说明</w:t>
      </w:r>
    </w:p>
    <w:p>
      <w:pPr>
        <w:pStyle w:val="ListBullet"/>
        <w:ind w:left="360" w:hanging="259"/>
      </w:pPr>
      <w:r>
        <w:rPr>
          <w:rFonts w:ascii="SimSun" w:hAnsi="SimSun" w:eastAsia="SimSun"/>
          <w:b w:val="0"/>
          <w:color w:val="000000"/>
          <w:sz w:val="21"/>
        </w:rPr>
        <w:t>单元测试：验证密码哈希、JWT 编解码、订单状态文本等可独立逻辑。</w:t>
      </w:r>
    </w:p>
    <w:p>
      <w:pPr>
        <w:pStyle w:val="ListBullet"/>
        <w:ind w:left="360" w:hanging="259"/>
      </w:pPr>
      <w:r>
        <w:rPr>
          <w:rFonts w:ascii="SimSun" w:hAnsi="SimSun" w:eastAsia="SimSun"/>
          <w:b w:val="0"/>
          <w:color w:val="000000"/>
          <w:sz w:val="21"/>
        </w:rPr>
        <w:t>接口与集成测试：使用 FastAPI TestClient 和隔离 SQLite 测试库，按用例自动清理数据，验证业务接口和跨角色流程。</w:t>
      </w:r>
    </w:p>
    <w:p>
      <w:pPr>
        <w:pStyle w:val="ListBullet"/>
        <w:ind w:left="360" w:hanging="259"/>
      </w:pPr>
      <w:r>
        <w:rPr>
          <w:rFonts w:ascii="SimSun" w:hAnsi="SimSun" w:eastAsia="SimSun"/>
          <w:b w:val="0"/>
          <w:color w:val="000000"/>
          <w:sz w:val="21"/>
        </w:rPr>
        <w:t>异常与边界测试：覆盖非法注册参数、负数价格、已删除地址、下架菜品、越权访问和错误状态流转。</w:t>
      </w:r>
    </w:p>
    <w:p>
      <w:pPr>
        <w:pStyle w:val="ListBullet"/>
        <w:ind w:left="360" w:hanging="259"/>
      </w:pPr>
      <w:r>
        <w:rPr>
          <w:rFonts w:ascii="SimSun" w:hAnsi="SimSun" w:eastAsia="SimSun"/>
          <w:b w:val="0"/>
          <w:color w:val="000000"/>
          <w:sz w:val="21"/>
        </w:rPr>
        <w:t>事务一致性测试：验证异常下单不会产生僵尸订单，订单金额根据明细计算。</w:t>
      </w:r>
    </w:p>
    <w:p>
      <w:pPr>
        <w:pStyle w:val="ListBullet"/>
        <w:ind w:left="360" w:hanging="259"/>
      </w:pPr>
      <w:r>
        <w:rPr>
          <w:rFonts w:ascii="SimSun" w:hAnsi="SimSun" w:eastAsia="SimSun"/>
          <w:b w:val="0"/>
          <w:color w:val="000000"/>
          <w:sz w:val="21"/>
        </w:rPr>
        <w:t>并发风险测试：并发执行双骑手抢单，作为严格预期失败用例记录 DEF-001。</w:t>
      </w:r>
    </w:p>
    <w:p>
      <w:pPr>
        <w:pStyle w:val="ListBullet"/>
        <w:ind w:left="360" w:hanging="259"/>
      </w:pPr>
      <w:r>
        <w:rPr>
          <w:rFonts w:ascii="SimSun" w:hAnsi="SimSun" w:eastAsia="SimSun"/>
          <w:b w:val="0"/>
          <w:color w:val="000000"/>
          <w:sz w:val="21"/>
        </w:rPr>
        <w:t>WebSocket 鉴权测试：验证合法连接、缺失 Token、身份和角色不匹配。</w:t>
      </w:r>
    </w:p>
    <w:p>
      <w:pPr>
        <w:pStyle w:val="ListBullet"/>
        <w:ind w:left="360" w:hanging="259"/>
      </w:pPr>
      <w:r>
        <w:rPr>
          <w:rFonts w:ascii="SimSun" w:hAnsi="SimSun" w:eastAsia="SimSun"/>
          <w:b w:val="0"/>
          <w:color w:val="000000"/>
          <w:sz w:val="21"/>
        </w:rPr>
        <w:t>前端契约与构建测试：验证关键 API、路由守卫、认证状态处理，并执行 Vite 生产构建。</w:t>
      </w:r>
    </w:p>
    <w:p>
      <w:pPr>
        <w:pStyle w:val="Heading1"/>
      </w:pPr>
      <w:r>
        <w:t>6. 缺陷与风险结论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440"/>
        <w:gridCol w:w="4536"/>
        <w:gridCol w:w="1440"/>
        <w:gridCol w:w="2448"/>
      </w:tblGrid>
      <w:tr>
        <w:trPr>
          <w:tblHeader w:val="true"/>
        </w:trPr>
        <w:tc>
          <w:tcPr>
            <w:tcW w:type="dxa" w:w="198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98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严重度</w:t>
            </w:r>
          </w:p>
        </w:tc>
        <w:tc>
          <w:tcPr>
            <w:tcW w:type="dxa" w:w="198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198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198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发布影响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DEF-001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P1 / 高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并发抢单缺少原子条件更新，可能出现双成功与骑手状态不一致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C00000"/>
                <w:sz w:val="16"/>
              </w:rPr>
              <w:t>待修复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必须在上线前修复并在 MySQL 环境回归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DEF-002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P0 / 阻断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Passlib 与最新 bcrypt 不兼容，全新安装可能导致注册登录不可用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C00000"/>
                <w:sz w:val="16"/>
              </w:rPr>
              <w:t>待修复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必须锁定兼容依赖并从干净环境回归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C00000"/>
          <w:sz w:val="21"/>
        </w:rPr>
        <w:t>测试结论：</w:t>
      </w:r>
      <w:r>
        <w:rPr>
          <w:rFonts w:ascii="SimSun" w:hAnsi="SimSun" w:eastAsia="SimSun"/>
          <w:b/>
          <w:color w:val="C00000"/>
          <w:sz w:val="21"/>
        </w:rPr>
        <w:t>当前版本为“有条件不通过”，不建议按原始依赖和并发实现直接发布。</w:t>
      </w:r>
    </w:p>
    <w:p>
      <w:pPr>
        <w:pStyle w:val="Heading1"/>
      </w:pPr>
      <w:r>
        <w:t>7. 尚需补齐事项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3456"/>
        <w:gridCol w:w="4608"/>
        <w:gridCol w:w="1584"/>
      </w:tblGrid>
      <w:tr>
        <w:trPr>
          <w:tblHeader w:val="true"/>
        </w:trPr>
        <w:tc>
          <w:tcPr>
            <w:tcW w:type="dxa" w:w="248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248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补测/补录事项</w:t>
            </w:r>
          </w:p>
        </w:tc>
        <w:tc>
          <w:tcPr>
            <w:tcW w:type="dxa" w:w="248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完成标准</w:t>
            </w:r>
          </w:p>
        </w:tc>
        <w:tc>
          <w:tcPr>
            <w:tcW w:type="dxa" w:w="248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建议责任人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修复 DEF-002 并做干净环境回归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requirements.txt 锁定兼容 bcrypt，注册登录测试通过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后端开发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修复 DEF-001 并在 MySQL 8.0 回归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并发抢单仅一个请求成功，骑手状态一致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后端开发+测试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100 用户并发下单性能测试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响应时间 &lt;500ms，记录工具、数据、曲线和结论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测试人员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持续压力与内存稳定性测试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高负载无崩溃、无明显泄漏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测试人员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WebSocket 推送延迟测试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下单到商家收到推送 &lt;1 秒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测试人员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真实浏览器三角色 E2E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浏览器完成下单→接单→抢单→送达闭环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测试+前端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补其他成员学号、贡献度与会议签字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李艺涵信息已补；其余成员信息和签字齐全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组长</w:t>
            </w:r>
          </w:p>
        </w:tc>
      </w:tr>
    </w:tbl>
    <w:p/>
    <w:p>
      <w:pPr>
        <w:pStyle w:val="Heading1"/>
      </w:pPr>
      <w:r>
        <w:t>8. 文件目录说明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112"/>
      </w:tblGrid>
      <w:tr>
        <w:trPr>
          <w:tblHeader w:val="true"/>
        </w:trPr>
        <w:tc>
          <w:tcPr>
            <w:tcW w:type="dxa" w:w="49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目录/文件</w:t>
            </w:r>
          </w:p>
        </w:tc>
        <w:tc>
          <w:tcPr>
            <w:tcW w:type="dxa" w:w="49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testing/course-submission/测试要求落实与材料对应说明.docx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本文件，回答“哪些要求对应哪些材料、完成到什么程度”</w:t>
            </w:r>
          </w:p>
        </w:tc>
      </w:tr>
      <w:tr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testing/course-submission/测试记录汇总.xlsx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按 FT、Bug、Review 模板整合的正式记录</w:t>
            </w:r>
          </w:p>
        </w:tc>
      </w:tr>
      <w:tr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testing/course-submission/会议纪要-20260614-测试评审.docx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测试评审会议记录</w:t>
            </w:r>
          </w:p>
        </w:tc>
      </w:tr>
      <w:tr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testing/documents/01-测试计划.md ～ 05-测试执行日志索引.md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详细测试过程文档</w:t>
            </w:r>
          </w:p>
        </w:tc>
      </w:tr>
      <w:tr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backend/tests/、frontend/tests/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可重复执行的自动化测试代码</w:t>
            </w:r>
          </w:p>
        </w:tc>
      </w:tr>
      <w:tr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testing/evidence/logs/、testing/evidence/coverage/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原始测试日志与覆盖率证据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77777"/>
        <w:sz w:val="18"/>
      </w:rPr>
      <w:t>软件工程实验课程提交材料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8"/>
      </w:rPr>
      <w:t>全栈外卖管理系统｜测试质量记录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