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Microsoft YaHei" w:hAnsi="Microsoft YaHei" w:eastAsia="Microsoft YaHei"/>
          <w:b/>
          <w:color w:val="1F4E78"/>
          <w:sz w:val="44"/>
        </w:rPr>
        <w:t>全栈外卖管理系统测试总纲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4"/>
        </w:rPr>
        <w:t>软件工程实验 · 测试阶段成果与材料导航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c>
          <w:tcPr>
            <w:tcW w:type="dxa" w:w="496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6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被测系统</w:t>
            </w:r>
          </w:p>
        </w:tc>
        <w:tc>
          <w:tcPr>
            <w:tcW w:type="dxa" w:w="81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全栈外卖管理系统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测试负责人</w:t>
            </w:r>
          </w:p>
        </w:tc>
        <w:tc>
          <w:tcPr>
            <w:tcW w:type="dxa" w:w="81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李艺涵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整理日期</w:t>
            </w:r>
          </w:p>
        </w:tc>
        <w:tc>
          <w:tcPr>
            <w:tcW w:type="dxa" w:w="81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2026-06-14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测试结论</w:t>
            </w:r>
          </w:p>
        </w:tc>
        <w:tc>
          <w:tcPr>
            <w:tcW w:type="dxa" w:w="81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有条件不通过：核心功能整体可用，但存在 P0/P1 未关闭缺陷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材料结构</w:t>
            </w:r>
          </w:p>
        </w:tc>
        <w:tc>
          <w:tcPr>
            <w:tcW w:type="dxa" w:w="81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正式提交材料与测试工作资料分开存放，便于提交、复核和维护</w:t>
            </w:r>
          </w:p>
        </w:tc>
      </w:tr>
    </w:tbl>
    <w:p/>
    <w:p>
      <w:pPr>
        <w:pStyle w:val="Heading1"/>
      </w:pPr>
      <w:r>
        <w:t>1. 测试目标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验证顾客、商家、骑手三类角色的认证、权限隔离和核心业务闭环。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验证菜品、地址、订单、配送和 WebSocket 等模块满足设计约束。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通过自动化测试、构建验证、缺陷跟踪和 Review 记录形成可复核的测试成果。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识别影响发布的数据一致性、依赖兼容性和非功能风险。</w:t>
      </w:r>
    </w:p>
    <w:p>
      <w:pPr>
        <w:pStyle w:val="Heading1"/>
      </w:pPr>
      <w:r>
        <w:t>2. 测试范围与方法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168"/>
        <w:gridCol w:w="3096"/>
        <w:gridCol w:w="2160"/>
      </w:tblGrid>
      <w:tr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方法/工具</w:t>
            </w:r>
          </w:p>
        </w:tc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单元测试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密码、JWT、订单状态映射等独立逻辑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pytest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接口与集成测试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认证、顾客、商家、骑手、订单状态机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FastAPI TestClient + 隔离 SQLite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30 passed，1 xfailed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安全测试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无 Token、非法 Token、跨角色越权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接口自动化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WebSocket 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合法连接与非法身份鉴权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TestClient WebSocket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鉴权通过；延迟数据为模拟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前端契约测试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API 封装、路由守卫、认证状态、401 处理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Node test runner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4 passed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构建测试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前端生产构建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Vite build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通过，存在大包警告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非功能测试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100 用户并发、压力稳定性、推送延迟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模拟数据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已补充并明确标注，发布前需真实执行</w:t>
            </w:r>
          </w:p>
        </w:tc>
      </w:tr>
    </w:tbl>
    <w:p/>
    <w:p>
      <w:pPr>
        <w:pStyle w:val="Heading1"/>
      </w:pPr>
      <w:r>
        <w:t>3. 测试结果摘要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376"/>
        <w:gridCol w:w="5760"/>
      </w:tblGrid>
      <w:tr>
        <w:tc>
          <w:tcPr>
            <w:tcW w:type="dxa" w:w="33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3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后端自动化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30 passed，1 xfailed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xfail 对应 DEF-001 并发抢单唯一性缺陷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代码覆盖率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76%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覆盖率 HTML 报告已归档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前端契约测试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4 passed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本次复核真实执行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前端生产构建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主包约 1.19 MB，存在性能警告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缺陷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2 个待修复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DEF-001 为 P1；DEF-002 为 P0</w:t>
            </w:r>
          </w:p>
        </w:tc>
      </w:tr>
    </w:tbl>
    <w:p/>
    <w:p>
      <w:pPr>
        <w:pStyle w:val="Heading1"/>
      </w:pPr>
      <w:r>
        <w:t>4. 主要缺陷与发布判断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40"/>
        <w:gridCol w:w="4680"/>
        <w:gridCol w:w="2880"/>
      </w:tblGrid>
      <w:tr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处理要求</w:t>
            </w:r>
          </w:p>
        </w:tc>
      </w:tr>
      <w:tr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DEF-001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P1/高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并发抢单缺少原子条件更新，可能出现双成功和骑手状态不一致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修复后在 MySQL 环境回归</w:t>
            </w:r>
          </w:p>
        </w:tc>
      </w:tr>
      <w:tr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DEF-002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P0/阻断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Passlib 与最新 bcrypt 不兼容，干净安装后注册登录可能不可用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锁定兼容依赖并从干净环境回归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00000"/>
          <w:sz w:val="21"/>
        </w:rPr>
        <w:t>发布判断：</w:t>
      </w:r>
      <w:r>
        <w:rPr>
          <w:rFonts w:ascii="SimSun" w:hAnsi="SimSun" w:eastAsia="SimSun"/>
          <w:b/>
          <w:color w:val="C00000"/>
          <w:sz w:val="21"/>
        </w:rPr>
        <w:t>当前版本有条件不通过，不建议在两个高优先级缺陷关闭前直接发布。</w:t>
      </w:r>
    </w:p>
    <w:p>
      <w:pPr>
        <w:pStyle w:val="Heading1"/>
      </w:pPr>
      <w:r>
        <w:t>5. 材料目录与用途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4320"/>
        <w:gridCol w:w="2664"/>
      </w:tblGrid>
      <w:tr>
        <w:tc>
          <w:tcPr>
            <w:tcW w:type="dxa" w:w="33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33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01-正式提交材料/测试表格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FT 设计及结果报告书、Bug List、Review 记录表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按课程模板提交与检查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01-正式提交材料/测试报告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测试要求落实说明、测试记录汇总、测试评审会议纪要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作为正式测试阶段报告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02-测试工作资料/测试文档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测试计划、需求追踪、缺陷记录、测试报告、日志索引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测试设计与过程管理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02-测试工作资料/测试代码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后端 pytest 与前端契约测试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复现和回归测试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02-测试工作资料/测试证据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执行日志与覆盖率 HTML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证明测试执行结果</w:t>
            </w:r>
          </w:p>
        </w:tc>
      </w:tr>
    </w:tbl>
    <w:p/>
    <w:p>
      <w:pPr>
        <w:pStyle w:val="Heading1"/>
      </w:pPr>
      <w:r>
        <w:t>6. 数据口径说明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后端 30 passed、1 xfailed 和覆盖率 76% 来自已归档的真实执行日志与覆盖率报告。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前端 4 passed 和生产构建通过来自 2026-06-14 的本次复核。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由于当前执行会话无法启动 Python，本次未重新生成后端结果，沿用已归档真实证据。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性能、压力和 WebSocket 延迟无法在当前环境真实测得，FT 报告中已明确标注为模拟数据。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