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Commander, с помощью клавиш со стрелками и Enter перешел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</w:t>
      </w:r>
      <w:r>
        <w:t xml:space="preserve"> </w:t>
      </w:r>
      <w:r>
        <w:t xml:space="preserve">Далее нажал F7 и создал каталог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3036035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создал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.</w:t>
      </w:r>
    </w:p>
    <w:p>
      <w:pPr>
        <w:pStyle w:val="CaptionedFigure"/>
      </w:pPr>
      <w:bookmarkStart w:id="28" w:name="fig:002"/>
      <w:r>
        <w:drawing>
          <wp:inline>
            <wp:extent cx="5334000" cy="2256292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для редактирования с помощью клавиши F4, выбрал редактор</w:t>
      </w:r>
      <w:r>
        <w:t xml:space="preserve"> </w:t>
      </w:r>
      <w:r>
        <w:rPr>
          <w:rStyle w:val="VerbatimChar"/>
        </w:rPr>
        <w:t xml:space="preserve">mceditor</w:t>
      </w:r>
      <w:r>
        <w:t xml:space="preserve">,</w:t>
      </w:r>
      <w:r>
        <w:t xml:space="preserve"> </w:t>
      </w:r>
      <w:r>
        <w:t xml:space="preserve">и ввел код программы из задания.</w:t>
      </w:r>
    </w:p>
    <w:p>
      <w:pPr>
        <w:pStyle w:val="CaptionedFigure"/>
      </w:pPr>
      <w:bookmarkStart w:id="32" w:name="fig:003"/>
      <w:r>
        <w:drawing>
          <wp:inline>
            <wp:extent cx="3676850" cy="4870383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Проверил содержимое файла, открыв его на просмотр клавишей F3. Убедился, что в файле находится введенный код.</w:t>
      </w:r>
    </w:p>
    <w:p>
      <w:pPr>
        <w:pStyle w:val="CaptionedFigure"/>
      </w:pPr>
      <w:bookmarkStart w:id="36" w:name="fig:004"/>
      <w:r>
        <w:drawing>
          <wp:inline>
            <wp:extent cx="3965608" cy="4831882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Скомпилировал файл программы в объектный файл, выполнил компоновку и получил исполняемый файл программы. Проверил её работу.</w:t>
      </w:r>
    </w:p>
    <w:p>
      <w:pPr>
        <w:pStyle w:val="CaptionedFigure"/>
      </w:pPr>
      <w:bookmarkStart w:id="40" w:name="fig:005"/>
      <w:r>
        <w:drawing>
          <wp:inline>
            <wp:extent cx="5334000" cy="1210962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Для упрощения разработки программ, часто используемые участки кода, такие как вывод строки на экран или завершение программы, можно оформить в виде подпрограмм и сохранить в отдельные файлы. Это делает основную программу более компактной и удобной для чтения и модификации.</w:t>
      </w:r>
    </w:p>
    <w:p>
      <w:pPr>
        <w:pStyle w:val="BodyText"/>
      </w:pPr>
      <w:r>
        <w:t xml:space="preserve">Скачал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разместил его в рабочем каталоге. Для копирования файла использовал клавишу F5, а для перемещения — F6.</w:t>
      </w:r>
    </w:p>
    <w:p>
      <w:pPr>
        <w:pStyle w:val="BodyText"/>
      </w:pPr>
      <w:r>
        <w:t xml:space="preserve">Скопировал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в новый файл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.</w:t>
      </w:r>
    </w:p>
    <w:p>
      <w:pPr>
        <w:pStyle w:val="CaptionedFigure"/>
      </w:pPr>
      <w:bookmarkStart w:id="44" w:name="fig:006"/>
      <w:r>
        <w:drawing>
          <wp:inline>
            <wp:extent cx="5334000" cy="2406868"/>
            <wp:effectExtent b="0" l="0" r="0" t="0"/>
            <wp:docPr descr="Рис. 6: Копирование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 lab05-1.asm</w:t>
      </w:r>
    </w:p>
    <w:p>
      <w:pPr>
        <w:pStyle w:val="BodyText"/>
      </w:pPr>
      <w:r>
        <w:t xml:space="preserve">Написал код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использовав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48" w:name="fig:007"/>
      <w:r>
        <w:drawing>
          <wp:inline>
            <wp:extent cx="4032985" cy="4013734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201416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заменил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Заново собрал исполняемый файл. После изменений строки выводятся без символа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119612" cy="3580597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1076850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изменил её код так, чтобы программа выполняла следующие действия:</w:t>
      </w:r>
    </w:p>
    <w:p>
      <w:pPr>
        <w:numPr>
          <w:ilvl w:val="0"/>
          <w:numId w:val="1001"/>
        </w:numPr>
        <w:pStyle w:val="Compact"/>
      </w:pPr>
      <w:r>
        <w:t xml:space="preserve">выводила приглашение: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Введите строку:</w:t>
      </w:r>
      <w:r>
        <w:rPr>
          <w:iCs/>
          <w:i/>
        </w:rP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считывала строку с клавиатуры;</w:t>
      </w:r>
    </w:p>
    <w:p>
      <w:pPr>
        <w:numPr>
          <w:ilvl w:val="0"/>
          <w:numId w:val="1001"/>
        </w:numPr>
        <w:pStyle w:val="Compact"/>
      </w:pPr>
      <w:r>
        <w:t xml:space="preserve">выводила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4042610" cy="5765532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353189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Аналогично, скопировал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изменил её код, чтобы программа использовала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2" w:name="fig:017"/>
      <w:r>
        <w:drawing>
          <wp:inline>
            <wp:extent cx="5188016" cy="4552749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8"/>
      <w:r>
        <w:drawing>
          <wp:inline>
            <wp:extent cx="5334000" cy="1285301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Исаев Кирилл НБИбд-01-24</dc:creator>
  <dc:language>ru-RU</dc:language>
  <cp:keywords/>
  <dcterms:created xsi:type="dcterms:W3CDTF">2024-11-18T08:09:53Z</dcterms:created>
  <dcterms:modified xsi:type="dcterms:W3CDTF">2024-11-18T08:09:53Z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