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821BA" w14:textId="3E79D3A8" w:rsidR="00C146AE" w:rsidRPr="00DC64F4" w:rsidRDefault="00C146AE" w:rsidP="002B6539">
      <w:pPr>
        <w:pStyle w:val="FirstParagraph"/>
        <w:spacing w:line="360" w:lineRule="auto"/>
        <w:jc w:val="center"/>
        <w:rPr>
          <w:rFonts w:ascii="Times New Roman" w:hAnsi="Times New Roman" w:cs="Times New Roman"/>
          <w:b/>
          <w:bCs/>
          <w:sz w:val="30"/>
          <w:szCs w:val="30"/>
        </w:rPr>
      </w:pPr>
      <w:r w:rsidRPr="00DC64F4">
        <w:rPr>
          <w:rFonts w:ascii="Times New Roman" w:hAnsi="Times New Roman" w:cs="Times New Roman"/>
          <w:b/>
          <w:bCs/>
          <w:sz w:val="30"/>
          <w:szCs w:val="30"/>
        </w:rPr>
        <w:t>Time-Varying Volatility Connectedness among ASEAN Equity Markets:</w:t>
      </w:r>
      <w:r w:rsidRPr="00DC64F4">
        <w:rPr>
          <w:rFonts w:ascii="Times New Roman" w:hAnsi="Times New Roman" w:cs="Times New Roman"/>
          <w:sz w:val="30"/>
          <w:szCs w:val="30"/>
        </w:rPr>
        <w:br/>
      </w:r>
      <w:r w:rsidRPr="00DC64F4">
        <w:rPr>
          <w:rFonts w:ascii="Times New Roman" w:hAnsi="Times New Roman" w:cs="Times New Roman"/>
          <w:b/>
          <w:bCs/>
          <w:sz w:val="30"/>
          <w:szCs w:val="30"/>
        </w:rPr>
        <w:t>Evidence from Global Geopolitical and Macroeconomic Shocks</w:t>
      </w:r>
    </w:p>
    <w:p w14:paraId="0578D668" w14:textId="77777777" w:rsidR="00C146AE" w:rsidRPr="00DC64F4" w:rsidRDefault="00C146AE" w:rsidP="002B6539">
      <w:pPr>
        <w:pStyle w:val="BodyText"/>
        <w:spacing w:line="360" w:lineRule="auto"/>
        <w:jc w:val="center"/>
        <w:rPr>
          <w:rFonts w:ascii="Times New Roman" w:hAnsi="Times New Roman" w:cs="Times New Roman"/>
        </w:rPr>
      </w:pPr>
    </w:p>
    <w:p w14:paraId="3468AA69" w14:textId="55FC871C" w:rsidR="00FF5AEC" w:rsidRPr="00DC64F4" w:rsidRDefault="00000000" w:rsidP="002B6539">
      <w:pPr>
        <w:pStyle w:val="AbstractTitle"/>
        <w:spacing w:line="360" w:lineRule="auto"/>
        <w:rPr>
          <w:rFonts w:ascii="Times New Roman" w:hAnsi="Times New Roman" w:cs="Times New Roman"/>
          <w:sz w:val="24"/>
          <w:szCs w:val="24"/>
        </w:rPr>
      </w:pPr>
      <w:r w:rsidRPr="00DC64F4">
        <w:rPr>
          <w:rFonts w:ascii="Times New Roman" w:hAnsi="Times New Roman" w:cs="Times New Roman"/>
          <w:sz w:val="24"/>
          <w:szCs w:val="24"/>
        </w:rPr>
        <w:t>Abstract</w:t>
      </w:r>
    </w:p>
    <w:p w14:paraId="2E5E3F7C" w14:textId="77777777" w:rsidR="00FF5AEC" w:rsidRPr="00DC64F4" w:rsidRDefault="00000000" w:rsidP="002B6539">
      <w:pPr>
        <w:pStyle w:val="Abstract"/>
        <w:spacing w:line="360" w:lineRule="auto"/>
        <w:jc w:val="both"/>
        <w:rPr>
          <w:rFonts w:ascii="Times New Roman" w:hAnsi="Times New Roman" w:cs="Times New Roman"/>
          <w:sz w:val="24"/>
          <w:szCs w:val="24"/>
        </w:rPr>
      </w:pPr>
      <w:r w:rsidRPr="00DC64F4">
        <w:rPr>
          <w:rFonts w:ascii="Times New Roman" w:hAnsi="Times New Roman" w:cs="Times New Roman"/>
          <w:sz w:val="24"/>
          <w:szCs w:val="24"/>
        </w:rPr>
        <w:t>This study examines the magnitude, direction, and evolution of volatility transmission among the equity markets of Indonesia, Malaysia, the Philippines, Singapore, Thailand, and Vietnam from January 2010 to July 2026. Using range-based volatility and a generalized forecast-error variance-decomposition framework, the study estimates total, directional, pairwise, and net connectedness. Full-sample volatility connectedness is approximately 17.15%, while the mean 250-day rolling index is 20.04%. Thailand and Indonesia are net transmitters in the baseline model, whereas Vietnam is a modest net receiver and exhibits the largest own-market variance share. Moving-block bootstrap comparisons identify significant shock-associated increases in six of eight prespecified episodes, with the largest increase occurring during the COVID-19 pandemic. Monthly regressions with heteroskedasticity- and autocorrelation-consistent inference show that the VIX and oil-price changes are positively associated with regional connectedness, while geopolitical risk is negatively associated with it. Vietnam’s directional role is sensitive to the volatility proxy and currency denomination, cautioning against a fixed classification of the market as a transmitter or receiver. The findings demonstrate that ASEAN systemic risk is strongly time varying and that diversification benefits can weaken precisely when global uncertainty is elevated.</w:t>
      </w:r>
    </w:p>
    <w:p w14:paraId="70B63A81" w14:textId="77777777" w:rsidR="00FF5AEC" w:rsidRPr="00DC64F4" w:rsidRDefault="00000000" w:rsidP="002B6539">
      <w:pPr>
        <w:pStyle w:val="Abstract"/>
        <w:spacing w:line="360" w:lineRule="auto"/>
        <w:jc w:val="both"/>
        <w:rPr>
          <w:rFonts w:ascii="Times New Roman" w:hAnsi="Times New Roman" w:cs="Times New Roman"/>
          <w:sz w:val="24"/>
          <w:szCs w:val="24"/>
        </w:rPr>
      </w:pPr>
      <w:r w:rsidRPr="00DC64F4">
        <w:rPr>
          <w:rFonts w:ascii="Times New Roman" w:hAnsi="Times New Roman" w:cs="Times New Roman"/>
          <w:b/>
          <w:bCs/>
          <w:sz w:val="24"/>
          <w:szCs w:val="24"/>
        </w:rPr>
        <w:t>Keywords:</w:t>
      </w:r>
      <w:r w:rsidRPr="00DC64F4">
        <w:rPr>
          <w:rFonts w:ascii="Times New Roman" w:hAnsi="Times New Roman" w:cs="Times New Roman"/>
          <w:sz w:val="24"/>
          <w:szCs w:val="24"/>
        </w:rPr>
        <w:t xml:space="preserve"> ASEAN equity markets; volatility spillovers; financial connectedness; systemic risk; geopolitical risk; Vietnam</w:t>
      </w:r>
    </w:p>
    <w:p w14:paraId="19EF6B7D" w14:textId="77777777" w:rsidR="00FF5AEC" w:rsidRPr="00DC64F4" w:rsidRDefault="00000000" w:rsidP="002B6539">
      <w:pPr>
        <w:pStyle w:val="Abstract"/>
        <w:spacing w:line="360" w:lineRule="auto"/>
        <w:jc w:val="both"/>
        <w:rPr>
          <w:rFonts w:ascii="Times New Roman" w:hAnsi="Times New Roman" w:cs="Times New Roman"/>
          <w:sz w:val="24"/>
          <w:szCs w:val="24"/>
        </w:rPr>
      </w:pPr>
      <w:r w:rsidRPr="00DC64F4">
        <w:rPr>
          <w:rFonts w:ascii="Times New Roman" w:hAnsi="Times New Roman" w:cs="Times New Roman"/>
          <w:b/>
          <w:bCs/>
          <w:sz w:val="24"/>
          <w:szCs w:val="24"/>
        </w:rPr>
        <w:t>JEL classification:</w:t>
      </w:r>
      <w:r w:rsidRPr="00DC64F4">
        <w:rPr>
          <w:rFonts w:ascii="Times New Roman" w:hAnsi="Times New Roman" w:cs="Times New Roman"/>
          <w:sz w:val="24"/>
          <w:szCs w:val="24"/>
        </w:rPr>
        <w:t xml:space="preserve"> C32; F36; G11; G15</w:t>
      </w:r>
    </w:p>
    <w:p w14:paraId="637B36FC" w14:textId="77777777" w:rsidR="002B6539" w:rsidRPr="00DC64F4" w:rsidRDefault="002B6539" w:rsidP="002B6539">
      <w:pPr>
        <w:pStyle w:val="BodyText"/>
        <w:spacing w:line="360" w:lineRule="auto"/>
        <w:rPr>
          <w:rFonts w:ascii="Times New Roman" w:hAnsi="Times New Roman" w:cs="Times New Roman"/>
        </w:rPr>
      </w:pPr>
    </w:p>
    <w:p w14:paraId="16D32D84" w14:textId="1BF4EFA6" w:rsidR="00FF5AEC" w:rsidRPr="00DC64F4" w:rsidRDefault="00000000" w:rsidP="002B6539">
      <w:pPr>
        <w:pStyle w:val="Heading1"/>
        <w:spacing w:line="360" w:lineRule="auto"/>
        <w:jc w:val="both"/>
        <w:rPr>
          <w:rFonts w:ascii="Times New Roman" w:hAnsi="Times New Roman" w:cs="Times New Roman"/>
          <w:b/>
          <w:bCs/>
          <w:color w:val="auto"/>
          <w:sz w:val="24"/>
          <w:szCs w:val="24"/>
        </w:rPr>
      </w:pPr>
      <w:bookmarkStart w:id="0" w:name="introduction"/>
      <w:r w:rsidRPr="00DC64F4">
        <w:rPr>
          <w:rStyle w:val="SectionNumber"/>
          <w:rFonts w:ascii="Times New Roman" w:hAnsi="Times New Roman" w:cs="Times New Roman"/>
          <w:b/>
          <w:bCs/>
          <w:color w:val="auto"/>
          <w:sz w:val="24"/>
          <w:szCs w:val="24"/>
        </w:rPr>
        <w:lastRenderedPageBreak/>
        <w:t>1</w:t>
      </w:r>
      <w:r w:rsidR="00C146AE" w:rsidRPr="00DC64F4">
        <w:rPr>
          <w:rFonts w:ascii="Times New Roman" w:hAnsi="Times New Roman" w:cs="Times New Roman"/>
          <w:b/>
          <w:bCs/>
          <w:color w:val="auto"/>
          <w:sz w:val="24"/>
          <w:szCs w:val="24"/>
        </w:rPr>
        <w:t xml:space="preserve"> </w:t>
      </w:r>
      <w:r w:rsidRPr="00DC64F4">
        <w:rPr>
          <w:rFonts w:ascii="Times New Roman" w:hAnsi="Times New Roman" w:cs="Times New Roman"/>
          <w:b/>
          <w:bCs/>
          <w:color w:val="auto"/>
          <w:sz w:val="24"/>
          <w:szCs w:val="24"/>
        </w:rPr>
        <w:t>Introduction</w:t>
      </w:r>
    </w:p>
    <w:p w14:paraId="3E85D6AD" w14:textId="77777777"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The increasing integration of ASEAN economies has expanded opportunities for cross-border investment, financing, and risk sharing. At the same time, closer financial links can provide channels through which shocks originating in one market are transmitted to others. This tension is especially important in Southeast Asia, where equity markets differ substantially in size, liquidity, foreign-investor participation, exchange-rate exposure, and institutional development. A disturbance that is absorbed locally in one market may therefore produce persistent regional effects in another.</w:t>
      </w:r>
    </w:p>
    <w:p w14:paraId="2F898DC1"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The period since 2010 provides a particularly useful setting in which to examine these linkages. ASEAN markets have experienced the consequences of the European sovereign-debt crisis, the taper tantrum, trade tensions between the United States and China, the COVID-19 pandemic, Russia’s invasion of Ukraine, rapid monetary tightening in advanced economies, and renewed geopolitical instability. These episodes affected global risk appetite, funding conditions, commodity prices, and international capital flows. However, the existence of common global shocks does not imply that all ASEAN markets transmit or absorb risk in the same way. Identifying the direction of transmission is therefore as important as measuring its overall magnitude.</w:t>
      </w:r>
    </w:p>
    <w:p w14:paraId="4B0FF5F6" w14:textId="30F203F6"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 xml:space="preserve">Existing evidence documents important linkages between Asian equity markets and shows that market openness is related to exposure to external volatility (Chow, 2017). Research focused on ASEAN also finds significant volatility transmission from the United States (Vo and Tran, 2020), while evidence for Vietnam indicates meaningful linkages with advanced markets (Vo and Ellis, 2018). Recent studies have moved closer to the present setting. Sethapramote et al. (2023) examine dynamic connectedness between ASEAN and global equity markets during COVID-19, while Al Anshari (2025) studies the evolution of an ASEAN-6 network, including Vietnam, using correlation and graph-based methods. Work on categorical policy uncertainty further demonstrates that the magnitude and direction of ASEAN connectedness depend on the source and timing of uncertainty (Hoque et al., 2026). Consequently, the remaining gap is not the absence of ASEAN network evidence. Rather, three issues remain unresolved. First, Vietnam’s directional role within an internally focused ASEAN volatility network remains sensitive to how volatility and market integration are measured. Second, average full-sample estimates can </w:t>
      </w:r>
      <w:r w:rsidRPr="00DC64F4">
        <w:rPr>
          <w:rFonts w:ascii="Times New Roman" w:hAnsi="Times New Roman" w:cs="Times New Roman"/>
        </w:rPr>
        <w:lastRenderedPageBreak/>
        <w:t>conceal changes in the identity of net shock transmitters and receivers across multiple global episodes. Third, high comovement during turbulent periods should not automatically be described as contagion. As emphasized by Forbes and Rigobon (2002), contagion requires an increase in cross-market linkages following a shock; otherwise, the evidence may reflect continuing interdependence.</w:t>
      </w:r>
    </w:p>
    <w:p w14:paraId="3E5BB7D5"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This paper addresses these issues by estimating the dynamic volatility connectedness of six ASEAN equity markets: Indonesia, Malaysia, the Philippines, Singapore, Thailand, and Vietnam. The empirical framework is based on generalized forecast-error variance decompositions from a vector autoregression (VAR). It measures the share of each market’s forecast-error variance attributable to shocks from every other market, without making the results dependent on the ordering of variables (Diebold and Yilmaz, 2012; Pesaran and Shin, 1998). Rolling-window estimation then reveals changes in regional connectedness and in each market’s systemic role over time.</w:t>
      </w:r>
    </w:p>
    <w:p w14:paraId="5FA83B92"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The paper asks four questions. First, how strongly are volatility shocks transmitted among ASEAN equity markets? Second, which markets are net transmitters and which are net receivers of volatility? Third, does Vietnam’s role in the network change across tranquil and turbulent periods? Fourth, do geopolitical and macroeconomic shocks produce statistically and economically meaningful increases in regional connectedness?</w:t>
      </w:r>
    </w:p>
    <w:p w14:paraId="54023E08" w14:textId="42B555B2"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The study makes three contributions relative to this literature. First, it estimates an internally focused ASEAN-6 directional volatility network over 2010–2026 and evaluates Vietnam’s role using range-based and return-based volatility measures, local and US-dollar returns, and daily and weekly frequencies. Second, it tracks changes in both aggregate connectedness and transmitter–receiver positions across eight global shock episodes rather than concentrating on COVID-19 alone. Third, it distinguishes persistent interdependence from shock-associated increases using fixed event definitions and dependence-preserving bootstrap inference. These features complement the global-market emphasis of Sethapramote et al. (2023) and the correlation and graph-based network analysis of Al Anshari (2025).</w:t>
      </w:r>
    </w:p>
    <w:p w14:paraId="7512AB9E"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The remainder of the paper is organized as follows. Section </w:t>
      </w:r>
      <w:hyperlink w:anchor="sec:literature">
        <w:r w:rsidRPr="00DC64F4">
          <w:rPr>
            <w:rStyle w:val="Hyperlink"/>
            <w:rFonts w:ascii="Times New Roman" w:hAnsi="Times New Roman" w:cs="Times New Roman"/>
            <w:color w:val="auto"/>
          </w:rPr>
          <w:t>2</w:t>
        </w:r>
      </w:hyperlink>
      <w:r w:rsidRPr="00DC64F4">
        <w:rPr>
          <w:rFonts w:ascii="Times New Roman" w:hAnsi="Times New Roman" w:cs="Times New Roman"/>
        </w:rPr>
        <w:t xml:space="preserve"> reviews the related literature and develops the hypotheses. Section </w:t>
      </w:r>
      <w:hyperlink w:anchor="sec:data">
        <w:r w:rsidRPr="00DC64F4">
          <w:rPr>
            <w:rStyle w:val="Hyperlink"/>
            <w:rFonts w:ascii="Times New Roman" w:hAnsi="Times New Roman" w:cs="Times New Roman"/>
            <w:color w:val="auto"/>
          </w:rPr>
          <w:t>3</w:t>
        </w:r>
      </w:hyperlink>
      <w:r w:rsidRPr="00DC64F4">
        <w:rPr>
          <w:rFonts w:ascii="Times New Roman" w:hAnsi="Times New Roman" w:cs="Times New Roman"/>
        </w:rPr>
        <w:t xml:space="preserve"> describes the data and construction of volatility measures. </w:t>
      </w:r>
      <w:r w:rsidRPr="00DC64F4">
        <w:rPr>
          <w:rFonts w:ascii="Times New Roman" w:hAnsi="Times New Roman" w:cs="Times New Roman"/>
        </w:rPr>
        <w:lastRenderedPageBreak/>
        <w:t>Section </w:t>
      </w:r>
      <w:hyperlink w:anchor="sec:method">
        <w:r w:rsidRPr="00DC64F4">
          <w:rPr>
            <w:rStyle w:val="Hyperlink"/>
            <w:rFonts w:ascii="Times New Roman" w:hAnsi="Times New Roman" w:cs="Times New Roman"/>
            <w:color w:val="auto"/>
          </w:rPr>
          <w:t>4</w:t>
        </w:r>
      </w:hyperlink>
      <w:r w:rsidRPr="00DC64F4">
        <w:rPr>
          <w:rFonts w:ascii="Times New Roman" w:hAnsi="Times New Roman" w:cs="Times New Roman"/>
        </w:rPr>
        <w:t xml:space="preserve"> presents the connectedness framework and the tests for shock-related changes. Section </w:t>
      </w:r>
      <w:hyperlink w:anchor="sec:results">
        <w:r w:rsidRPr="00DC64F4">
          <w:rPr>
            <w:rStyle w:val="Hyperlink"/>
            <w:rFonts w:ascii="Times New Roman" w:hAnsi="Times New Roman" w:cs="Times New Roman"/>
            <w:color w:val="auto"/>
          </w:rPr>
          <w:t>5</w:t>
        </w:r>
      </w:hyperlink>
      <w:r w:rsidRPr="00DC64F4">
        <w:rPr>
          <w:rFonts w:ascii="Times New Roman" w:hAnsi="Times New Roman" w:cs="Times New Roman"/>
        </w:rPr>
        <w:t xml:space="preserve"> sets out the empirical analysis. Section </w:t>
      </w:r>
      <w:hyperlink w:anchor="sec:robustness">
        <w:r w:rsidRPr="00DC64F4">
          <w:rPr>
            <w:rStyle w:val="Hyperlink"/>
            <w:rFonts w:ascii="Times New Roman" w:hAnsi="Times New Roman" w:cs="Times New Roman"/>
            <w:color w:val="auto"/>
          </w:rPr>
          <w:t>6</w:t>
        </w:r>
      </w:hyperlink>
      <w:r w:rsidRPr="00DC64F4">
        <w:rPr>
          <w:rFonts w:ascii="Times New Roman" w:hAnsi="Times New Roman" w:cs="Times New Roman"/>
        </w:rPr>
        <w:t xml:space="preserve"> describes robustness tests, and Section </w:t>
      </w:r>
      <w:hyperlink w:anchor="sec:conclusion">
        <w:r w:rsidRPr="00DC64F4">
          <w:rPr>
            <w:rStyle w:val="Hyperlink"/>
            <w:rFonts w:ascii="Times New Roman" w:hAnsi="Times New Roman" w:cs="Times New Roman"/>
            <w:color w:val="auto"/>
          </w:rPr>
          <w:t>7</w:t>
        </w:r>
      </w:hyperlink>
      <w:r w:rsidRPr="00DC64F4">
        <w:rPr>
          <w:rFonts w:ascii="Times New Roman" w:hAnsi="Times New Roman" w:cs="Times New Roman"/>
        </w:rPr>
        <w:t xml:space="preserve"> concludes.</w:t>
      </w:r>
    </w:p>
    <w:p w14:paraId="684ED01F" w14:textId="77777777" w:rsidR="00FF5AEC" w:rsidRPr="00DC64F4" w:rsidRDefault="00000000" w:rsidP="002B6539">
      <w:pPr>
        <w:pStyle w:val="Heading1"/>
        <w:spacing w:line="360" w:lineRule="auto"/>
        <w:jc w:val="both"/>
        <w:rPr>
          <w:rFonts w:ascii="Times New Roman" w:hAnsi="Times New Roman" w:cs="Times New Roman"/>
          <w:b/>
          <w:bCs/>
          <w:color w:val="auto"/>
          <w:sz w:val="24"/>
          <w:szCs w:val="24"/>
        </w:rPr>
      </w:pPr>
      <w:bookmarkStart w:id="1" w:name="sec:literature"/>
      <w:bookmarkEnd w:id="0"/>
      <w:r w:rsidRPr="00DC64F4">
        <w:rPr>
          <w:rStyle w:val="SectionNumber"/>
          <w:rFonts w:ascii="Times New Roman" w:hAnsi="Times New Roman" w:cs="Times New Roman"/>
          <w:b/>
          <w:bCs/>
          <w:color w:val="auto"/>
          <w:sz w:val="24"/>
          <w:szCs w:val="24"/>
        </w:rPr>
        <w:t>2</w:t>
      </w:r>
      <w:r w:rsidRPr="00DC64F4">
        <w:rPr>
          <w:rFonts w:ascii="Times New Roman" w:hAnsi="Times New Roman" w:cs="Times New Roman"/>
          <w:b/>
          <w:bCs/>
          <w:color w:val="auto"/>
          <w:sz w:val="24"/>
          <w:szCs w:val="24"/>
        </w:rPr>
        <w:tab/>
        <w:t>Related Literature and Hypotheses</w:t>
      </w:r>
    </w:p>
    <w:p w14:paraId="32931BB1"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2" w:name="X5537ea6c8a0d1ba84a7ebf5018526c6c435b016"/>
      <w:r w:rsidRPr="00DC64F4">
        <w:rPr>
          <w:rStyle w:val="SectionNumber"/>
          <w:rFonts w:ascii="Times New Roman" w:hAnsi="Times New Roman" w:cs="Times New Roman"/>
          <w:b/>
          <w:bCs/>
          <w:color w:val="auto"/>
          <w:sz w:val="24"/>
          <w:szCs w:val="24"/>
        </w:rPr>
        <w:t>2.1</w:t>
      </w:r>
      <w:r w:rsidRPr="00DC64F4">
        <w:rPr>
          <w:rFonts w:ascii="Times New Roman" w:hAnsi="Times New Roman" w:cs="Times New Roman"/>
          <w:b/>
          <w:bCs/>
          <w:color w:val="auto"/>
          <w:sz w:val="24"/>
          <w:szCs w:val="24"/>
        </w:rPr>
        <w:tab/>
        <w:t>Financial integration, spillovers, and contagion</w:t>
      </w:r>
    </w:p>
    <w:p w14:paraId="509A1464" w14:textId="77777777"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International financial integration can improve risk sharing and price discovery, but it can also accelerate the transmission of adverse information. Spillovers arise when innovations in one market explain subsequent returns or volatility in another. When such connections are stable features of an integrated system, they represent interdependence. In contrast, Forbes and Rigobon (2002) define contagion in terms of a significant increase in cross-market linkages after a shock. This distinction is important because correlations often rise mechanically when volatility increases. The present study therefore uses “connectedness” and “spillover” for the general transmission of shocks and uses “contagion” only when the empirical analysis supports a discrete or statistically significant increase during a shock period.</w:t>
      </w:r>
    </w:p>
    <w:p w14:paraId="420D17EB"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ASEAN markets are likely to be linked through several channels. Common global investors can rebalance portfolios across the region; trade linkages can transmit changes in expected cash flows; exchange-rate and commodity-price movements can alter firm values; and global risk aversion can simultaneously tighten financing conditions. These mechanisms imply that regional volatility should increase when a global disturbance changes investors’ risk-bearing capacity or information set.</w:t>
      </w:r>
    </w:p>
    <w:p w14:paraId="1D7F96FD" w14:textId="77777777" w:rsidR="00D95E50" w:rsidRPr="00DC64F4" w:rsidRDefault="00D95E50" w:rsidP="002B6539">
      <w:pPr>
        <w:pStyle w:val="BodyText"/>
        <w:spacing w:line="360" w:lineRule="auto"/>
        <w:jc w:val="both"/>
        <w:rPr>
          <w:rFonts w:ascii="Times New Roman" w:hAnsi="Times New Roman" w:cs="Times New Roman"/>
        </w:rPr>
      </w:pPr>
    </w:p>
    <w:p w14:paraId="5C7DB0D5" w14:textId="4664721A" w:rsidR="00D95E50"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b/>
          <w:bCs/>
        </w:rPr>
        <w:t>H1:</w:t>
      </w:r>
      <w:r w:rsidRPr="00DC64F4">
        <w:rPr>
          <w:rFonts w:ascii="Times New Roman" w:hAnsi="Times New Roman" w:cs="Times New Roman"/>
        </w:rPr>
        <w:t xml:space="preserve"> Total volatility connectedness among ASEAN equity markets increases during periods of elevated global geopolitical or macroeconomic stress.</w:t>
      </w:r>
    </w:p>
    <w:p w14:paraId="296044E2" w14:textId="77777777" w:rsidR="00746509" w:rsidRPr="00DC64F4" w:rsidRDefault="00746509" w:rsidP="002B6539">
      <w:pPr>
        <w:pStyle w:val="BodyText"/>
        <w:spacing w:line="360" w:lineRule="auto"/>
        <w:jc w:val="both"/>
        <w:rPr>
          <w:rFonts w:ascii="Times New Roman" w:hAnsi="Times New Roman" w:cs="Times New Roman"/>
        </w:rPr>
      </w:pPr>
    </w:p>
    <w:p w14:paraId="4F446EEA"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3" w:name="Xef585b021837e87ee459f74e1a7d8d5f3c538fa"/>
      <w:bookmarkEnd w:id="2"/>
      <w:r w:rsidRPr="00DC64F4">
        <w:rPr>
          <w:rStyle w:val="SectionNumber"/>
          <w:rFonts w:ascii="Times New Roman" w:hAnsi="Times New Roman" w:cs="Times New Roman"/>
          <w:b/>
          <w:bCs/>
          <w:color w:val="auto"/>
          <w:sz w:val="24"/>
          <w:szCs w:val="24"/>
        </w:rPr>
        <w:t>2.2</w:t>
      </w:r>
      <w:r w:rsidRPr="00DC64F4">
        <w:rPr>
          <w:rFonts w:ascii="Times New Roman" w:hAnsi="Times New Roman" w:cs="Times New Roman"/>
          <w:b/>
          <w:bCs/>
          <w:color w:val="auto"/>
          <w:sz w:val="24"/>
          <w:szCs w:val="24"/>
        </w:rPr>
        <w:tab/>
        <w:t>Directional and time-varying transmission</w:t>
      </w:r>
    </w:p>
    <w:p w14:paraId="0F5FF05C" w14:textId="77777777"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Aggregate measures alone cannot identify the source of risk. A market can receive substantial volatility from the system while contributing little to other markets, or it can act as a regional </w:t>
      </w:r>
      <w:r w:rsidRPr="00DC64F4">
        <w:rPr>
          <w:rFonts w:ascii="Times New Roman" w:hAnsi="Times New Roman" w:cs="Times New Roman"/>
        </w:rPr>
        <w:lastRenderedPageBreak/>
        <w:t>transmission hub. Differences in capitalization, liquidity, openness, and information processing suggest that directional effects will be heterogeneous. Moreover, these roles need not be constant. A domestic policy event may temporarily turn a usual receiver into a transmitter, while a global shock may strengthen the influence of the most internationally integrated market.</w:t>
      </w:r>
    </w:p>
    <w:p w14:paraId="6E94BBBB"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The connectedness approach of Diebold and Yilmaz (2012) is well suited to this question because it separates shocks transmitted to a market from those transmitted from it. Its network interpretation also permits each market to be represented as a node joined by weighted, directed edges (Diebold and Yilmaz, 2014).</w:t>
      </w:r>
    </w:p>
    <w:p w14:paraId="5AF2EB9E"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Two recent ASEAN studies provide especially close benchmarks. Sethapramote et al. (2023) report that spillovers from global equity markets to ASEAN increased during COVID-19 and that the contribution of intraregional ASEAN spillovers also became more important. Using all six markets examined here, Al Anshari (2025) documents crisis-related changes in ASEAN-6 correlation and network structure between 2011 and 2024. The present study differs by modeling volatility rather than return-network similarity, deriving directional shares from generalized forecast-error variance decompositions, examining several distinct global episodes, and formally testing shock-window differences.</w:t>
      </w:r>
    </w:p>
    <w:p w14:paraId="571E8BCE" w14:textId="77777777" w:rsidR="00D95E50" w:rsidRPr="00DC64F4" w:rsidRDefault="00D95E50" w:rsidP="002B6539">
      <w:pPr>
        <w:pStyle w:val="BodyText"/>
        <w:spacing w:line="360" w:lineRule="auto"/>
        <w:jc w:val="both"/>
        <w:rPr>
          <w:rFonts w:ascii="Times New Roman" w:hAnsi="Times New Roman" w:cs="Times New Roman"/>
        </w:rPr>
      </w:pPr>
    </w:p>
    <w:p w14:paraId="344601D0"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b/>
          <w:bCs/>
        </w:rPr>
        <w:t>H2:</w:t>
      </w:r>
      <w:r w:rsidRPr="00DC64F4">
        <w:rPr>
          <w:rFonts w:ascii="Times New Roman" w:hAnsi="Times New Roman" w:cs="Times New Roman"/>
        </w:rPr>
        <w:t xml:space="preserve"> The magnitude and direction of volatility transmission are heterogeneous across ASEAN markets and vary over time.</w:t>
      </w:r>
    </w:p>
    <w:p w14:paraId="7CC0543D"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Vietnam is a particularly informative case. Its equity market has become more integrated with international markets, but differences in market depth, investor composition, and institutional structure may affect how it absorbs external information. Rather than assuming a fixed role for Vietnam, the analysis tests whether it is generally a net receiver and identifies periods in which that position changes.</w:t>
      </w:r>
    </w:p>
    <w:p w14:paraId="4F63CE88" w14:textId="77777777" w:rsidR="00D95E50" w:rsidRPr="00DC64F4" w:rsidRDefault="00D95E50" w:rsidP="002B6539">
      <w:pPr>
        <w:pStyle w:val="BodyText"/>
        <w:spacing w:line="360" w:lineRule="auto"/>
        <w:jc w:val="both"/>
        <w:rPr>
          <w:rFonts w:ascii="Times New Roman" w:hAnsi="Times New Roman" w:cs="Times New Roman"/>
        </w:rPr>
      </w:pPr>
    </w:p>
    <w:p w14:paraId="796C9387"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b/>
          <w:bCs/>
        </w:rPr>
        <w:t>H3:</w:t>
      </w:r>
      <w:r w:rsidRPr="00DC64F4">
        <w:rPr>
          <w:rFonts w:ascii="Times New Roman" w:hAnsi="Times New Roman" w:cs="Times New Roman"/>
        </w:rPr>
        <w:t xml:space="preserve"> Vietnam is, on average, a net receiver of volatility shocks within the ASEAN network, but its net connectedness changes across market regimes.</w:t>
      </w:r>
    </w:p>
    <w:p w14:paraId="141ED47C" w14:textId="77777777" w:rsidR="00D95E50" w:rsidRPr="00DC64F4" w:rsidRDefault="00D95E50" w:rsidP="002B6539">
      <w:pPr>
        <w:pStyle w:val="BodyText"/>
        <w:spacing w:line="360" w:lineRule="auto"/>
        <w:jc w:val="both"/>
        <w:rPr>
          <w:rFonts w:ascii="Times New Roman" w:hAnsi="Times New Roman" w:cs="Times New Roman"/>
        </w:rPr>
      </w:pPr>
    </w:p>
    <w:p w14:paraId="5564AD7C"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4" w:name="X31ffa286f13fb53894dfaf2e47b27179d8b89eb"/>
      <w:bookmarkEnd w:id="3"/>
      <w:r w:rsidRPr="00DC64F4">
        <w:rPr>
          <w:rStyle w:val="SectionNumber"/>
          <w:rFonts w:ascii="Times New Roman" w:hAnsi="Times New Roman" w:cs="Times New Roman"/>
          <w:b/>
          <w:bCs/>
          <w:color w:val="auto"/>
          <w:sz w:val="24"/>
          <w:szCs w:val="24"/>
        </w:rPr>
        <w:lastRenderedPageBreak/>
        <w:t>2.3</w:t>
      </w:r>
      <w:r w:rsidRPr="00DC64F4">
        <w:rPr>
          <w:rFonts w:ascii="Times New Roman" w:hAnsi="Times New Roman" w:cs="Times New Roman"/>
          <w:b/>
          <w:bCs/>
          <w:color w:val="auto"/>
          <w:sz w:val="24"/>
          <w:szCs w:val="24"/>
        </w:rPr>
        <w:tab/>
        <w:t>Global uncertainty and regional connectedness</w:t>
      </w:r>
    </w:p>
    <w:p w14:paraId="1260493D" w14:textId="77777777"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Geopolitical events and macroeconomic policy shifts can affect ASEAN equities through global risk aversion, interest-rate expectations, exchange rates, trade, and commodity markets. Prior studies find meaningful connections between Asian equity volatility and external shocks (Chow, 2017; Vo and Tran, 2020). These effects may be nonlinear: uncertainty can have modest consequences in normal conditions but large effects when market liquidity is limited or investors deleverage simultaneously.</w:t>
      </w:r>
    </w:p>
    <w:p w14:paraId="480A505B" w14:textId="77777777" w:rsidR="00D95E50" w:rsidRPr="00DC64F4" w:rsidRDefault="00D95E50" w:rsidP="00D95E50">
      <w:pPr>
        <w:pStyle w:val="BodyText"/>
        <w:rPr>
          <w:rFonts w:ascii="Times New Roman" w:hAnsi="Times New Roman" w:cs="Times New Roman"/>
        </w:rPr>
      </w:pPr>
    </w:p>
    <w:p w14:paraId="089E3EA1" w14:textId="7C0DCE8E" w:rsidR="00D95E50"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b/>
          <w:bCs/>
        </w:rPr>
        <w:t>H4:</w:t>
      </w:r>
      <w:r w:rsidRPr="00DC64F4">
        <w:rPr>
          <w:rFonts w:ascii="Times New Roman" w:hAnsi="Times New Roman" w:cs="Times New Roman"/>
        </w:rPr>
        <w:t xml:space="preserve"> Higher global uncertainty is associated with stronger ASEAN volatility connectedness after controlling for general financial-market conditions.</w:t>
      </w:r>
    </w:p>
    <w:p w14:paraId="065D9402" w14:textId="77777777" w:rsidR="00C37C08" w:rsidRPr="00DC64F4" w:rsidRDefault="00C37C08" w:rsidP="002B6539">
      <w:pPr>
        <w:pStyle w:val="BodyText"/>
        <w:spacing w:line="360" w:lineRule="auto"/>
        <w:jc w:val="both"/>
        <w:rPr>
          <w:rFonts w:ascii="Times New Roman" w:hAnsi="Times New Roman" w:cs="Times New Roman"/>
        </w:rPr>
      </w:pPr>
    </w:p>
    <w:p w14:paraId="2AD00723" w14:textId="77777777" w:rsidR="00FF5AEC" w:rsidRPr="00DC64F4" w:rsidRDefault="00000000" w:rsidP="002B6539">
      <w:pPr>
        <w:pStyle w:val="Heading1"/>
        <w:spacing w:line="360" w:lineRule="auto"/>
        <w:jc w:val="both"/>
        <w:rPr>
          <w:rFonts w:ascii="Times New Roman" w:hAnsi="Times New Roman" w:cs="Times New Roman"/>
          <w:b/>
          <w:bCs/>
          <w:color w:val="auto"/>
          <w:sz w:val="24"/>
          <w:szCs w:val="24"/>
        </w:rPr>
      </w:pPr>
      <w:bookmarkStart w:id="5" w:name="sec:data"/>
      <w:bookmarkEnd w:id="1"/>
      <w:bookmarkEnd w:id="4"/>
      <w:r w:rsidRPr="00DC64F4">
        <w:rPr>
          <w:rStyle w:val="SectionNumber"/>
          <w:rFonts w:ascii="Times New Roman" w:hAnsi="Times New Roman" w:cs="Times New Roman"/>
          <w:b/>
          <w:bCs/>
          <w:color w:val="auto"/>
          <w:sz w:val="24"/>
          <w:szCs w:val="24"/>
        </w:rPr>
        <w:t>3</w:t>
      </w:r>
      <w:r w:rsidRPr="00DC64F4">
        <w:rPr>
          <w:rFonts w:ascii="Times New Roman" w:hAnsi="Times New Roman" w:cs="Times New Roman"/>
          <w:b/>
          <w:bCs/>
          <w:color w:val="auto"/>
          <w:sz w:val="24"/>
          <w:szCs w:val="24"/>
        </w:rPr>
        <w:tab/>
        <w:t>Data and Variable Construction</w:t>
      </w:r>
    </w:p>
    <w:p w14:paraId="09AE9EB0"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6" w:name="equity-market-data"/>
      <w:r w:rsidRPr="00DC64F4">
        <w:rPr>
          <w:rStyle w:val="SectionNumber"/>
          <w:rFonts w:ascii="Times New Roman" w:hAnsi="Times New Roman" w:cs="Times New Roman"/>
          <w:b/>
          <w:bCs/>
          <w:color w:val="auto"/>
          <w:sz w:val="24"/>
          <w:szCs w:val="24"/>
        </w:rPr>
        <w:t>3.1</w:t>
      </w:r>
      <w:r w:rsidRPr="00DC64F4">
        <w:rPr>
          <w:rFonts w:ascii="Times New Roman" w:hAnsi="Times New Roman" w:cs="Times New Roman"/>
          <w:b/>
          <w:bCs/>
          <w:color w:val="auto"/>
          <w:sz w:val="24"/>
          <w:szCs w:val="24"/>
        </w:rPr>
        <w:tab/>
        <w:t>Equity-market data</w:t>
      </w:r>
    </w:p>
    <w:p w14:paraId="0B0A78AB" w14:textId="77777777"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The sample contains the principal broad equity indices for Indonesia, Malaysia, the Philippines, Singapore, Thailand, and Vietnam. Daily open, high, low, and closing index levels were collected from Yahoo Finance, with the VN-Index supplemented using VNStock. The raw sample runs from January 4, 2010 to July 17, 2026. Intersecting the six national trading calendars produces 3,366 common return observations. After requiring valid high and low prices, the baseline Parkinson-volatility panel contains 3,343 observations. Table </w:t>
      </w:r>
      <w:hyperlink w:anchor="tab:markets">
        <w:r w:rsidRPr="00DC64F4">
          <w:rPr>
            <w:rStyle w:val="Hyperlink"/>
            <w:rFonts w:ascii="Times New Roman" w:hAnsi="Times New Roman" w:cs="Times New Roman"/>
            <w:color w:val="auto"/>
          </w:rPr>
          <w:t>1</w:t>
        </w:r>
      </w:hyperlink>
      <w:r w:rsidRPr="00DC64F4">
        <w:rPr>
          <w:rFonts w:ascii="Times New Roman" w:hAnsi="Times New Roman" w:cs="Times New Roman"/>
        </w:rPr>
        <w:t xml:space="preserve"> records the market series.</w:t>
      </w:r>
    </w:p>
    <w:p w14:paraId="2BC3EA79" w14:textId="77D75BA9" w:rsidR="00FF5AEC" w:rsidRPr="00DC64F4" w:rsidRDefault="00DE4492" w:rsidP="00DE4492">
      <w:pPr>
        <w:pStyle w:val="TableCaption"/>
        <w:spacing w:line="360" w:lineRule="auto"/>
        <w:jc w:val="center"/>
        <w:rPr>
          <w:rFonts w:ascii="Times New Roman" w:hAnsi="Times New Roman" w:cs="Times New Roman"/>
          <w:i w:val="0"/>
        </w:rPr>
      </w:pPr>
      <w:bookmarkStart w:id="7" w:name="tab:markets"/>
      <w:r w:rsidRPr="00DC64F4">
        <w:rPr>
          <w:rFonts w:ascii="Times New Roman" w:hAnsi="Times New Roman" w:cs="Times New Roman"/>
          <w:b/>
          <w:bCs/>
          <w:i w:val="0"/>
        </w:rPr>
        <w:t>Table 1:</w:t>
      </w:r>
      <w:r w:rsidRPr="00DC64F4">
        <w:rPr>
          <w:rFonts w:ascii="Times New Roman" w:hAnsi="Times New Roman" w:cs="Times New Roman"/>
          <w:i w:val="0"/>
        </w:rPr>
        <w:t xml:space="preserve"> </w:t>
      </w:r>
      <w:r w:rsidR="00000000" w:rsidRPr="00DC64F4">
        <w:rPr>
          <w:rFonts w:ascii="Times New Roman" w:hAnsi="Times New Roman" w:cs="Times New Roman"/>
          <w:i w:val="0"/>
        </w:rPr>
        <w:t>Equity-market series</w:t>
      </w:r>
    </w:p>
    <w:tbl>
      <w:tblPr>
        <w:tblStyle w:val="Table"/>
        <w:tblW w:w="0" w:type="auto"/>
        <w:jc w:val="center"/>
        <w:tblLook w:val="0020" w:firstRow="1" w:lastRow="0" w:firstColumn="0" w:lastColumn="0" w:noHBand="0" w:noVBand="0"/>
      </w:tblPr>
      <w:tblGrid>
        <w:gridCol w:w="1297"/>
        <w:gridCol w:w="3549"/>
        <w:gridCol w:w="1703"/>
        <w:gridCol w:w="1109"/>
      </w:tblGrid>
      <w:tr w:rsidR="00FF5AEC" w:rsidRPr="00DC64F4" w14:paraId="7FC1820D" w14:textId="77777777" w:rsidTr="00101E0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16070032"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Country</w:t>
            </w:r>
          </w:p>
        </w:tc>
        <w:tc>
          <w:tcPr>
            <w:tcW w:w="0" w:type="auto"/>
            <w:tcBorders>
              <w:top w:val="single" w:sz="4" w:space="0" w:color="auto"/>
              <w:bottom w:val="single" w:sz="2" w:space="0" w:color="auto"/>
            </w:tcBorders>
          </w:tcPr>
          <w:p w14:paraId="259F48A5"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Index</w:t>
            </w:r>
          </w:p>
        </w:tc>
        <w:tc>
          <w:tcPr>
            <w:tcW w:w="0" w:type="auto"/>
            <w:tcBorders>
              <w:top w:val="single" w:sz="4" w:space="0" w:color="auto"/>
              <w:bottom w:val="single" w:sz="2" w:space="0" w:color="auto"/>
            </w:tcBorders>
          </w:tcPr>
          <w:p w14:paraId="6AB2AA8B"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Vendor symbol</w:t>
            </w:r>
          </w:p>
        </w:tc>
        <w:tc>
          <w:tcPr>
            <w:tcW w:w="0" w:type="auto"/>
            <w:tcBorders>
              <w:top w:val="single" w:sz="4" w:space="0" w:color="auto"/>
              <w:bottom w:val="single" w:sz="2" w:space="0" w:color="auto"/>
            </w:tcBorders>
          </w:tcPr>
          <w:p w14:paraId="63459712"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Currency</w:t>
            </w:r>
          </w:p>
        </w:tc>
      </w:tr>
      <w:tr w:rsidR="00FF5AEC" w:rsidRPr="00DC64F4" w14:paraId="450F90E7" w14:textId="77777777" w:rsidTr="00101E06">
        <w:trPr>
          <w:jc w:val="center"/>
        </w:trPr>
        <w:tc>
          <w:tcPr>
            <w:tcW w:w="0" w:type="auto"/>
            <w:tcBorders>
              <w:top w:val="single" w:sz="2" w:space="0" w:color="auto"/>
            </w:tcBorders>
          </w:tcPr>
          <w:p w14:paraId="3DA717DF"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Indonesia</w:t>
            </w:r>
          </w:p>
        </w:tc>
        <w:tc>
          <w:tcPr>
            <w:tcW w:w="0" w:type="auto"/>
            <w:tcBorders>
              <w:top w:val="single" w:sz="2" w:space="0" w:color="auto"/>
            </w:tcBorders>
          </w:tcPr>
          <w:p w14:paraId="4E4B9642"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Jakarta Composite Index</w:t>
            </w:r>
          </w:p>
        </w:tc>
        <w:tc>
          <w:tcPr>
            <w:tcW w:w="0" w:type="auto"/>
            <w:tcBorders>
              <w:top w:val="single" w:sz="2" w:space="0" w:color="auto"/>
            </w:tcBorders>
          </w:tcPr>
          <w:p w14:paraId="44D0506C"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JKSE</w:t>
            </w:r>
          </w:p>
        </w:tc>
        <w:tc>
          <w:tcPr>
            <w:tcW w:w="0" w:type="auto"/>
            <w:tcBorders>
              <w:top w:val="single" w:sz="2" w:space="0" w:color="auto"/>
            </w:tcBorders>
          </w:tcPr>
          <w:p w14:paraId="06AA0F09"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IDR</w:t>
            </w:r>
          </w:p>
        </w:tc>
      </w:tr>
      <w:tr w:rsidR="00FF5AEC" w:rsidRPr="00DC64F4" w14:paraId="468A9297" w14:textId="77777777" w:rsidTr="00DE4492">
        <w:trPr>
          <w:jc w:val="center"/>
        </w:trPr>
        <w:tc>
          <w:tcPr>
            <w:tcW w:w="0" w:type="auto"/>
          </w:tcPr>
          <w:p w14:paraId="0136D672"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Malaysia</w:t>
            </w:r>
          </w:p>
        </w:tc>
        <w:tc>
          <w:tcPr>
            <w:tcW w:w="0" w:type="auto"/>
          </w:tcPr>
          <w:p w14:paraId="2FCD95CD"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FTSE Bursa Malaysia KLCI</w:t>
            </w:r>
          </w:p>
        </w:tc>
        <w:tc>
          <w:tcPr>
            <w:tcW w:w="0" w:type="auto"/>
          </w:tcPr>
          <w:p w14:paraId="7CF8B0C3"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KLSE</w:t>
            </w:r>
          </w:p>
        </w:tc>
        <w:tc>
          <w:tcPr>
            <w:tcW w:w="0" w:type="auto"/>
          </w:tcPr>
          <w:p w14:paraId="6BA225A1"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MYR</w:t>
            </w:r>
          </w:p>
        </w:tc>
      </w:tr>
      <w:tr w:rsidR="00FF5AEC" w:rsidRPr="00DC64F4" w14:paraId="515CCC1D" w14:textId="77777777" w:rsidTr="00DE4492">
        <w:trPr>
          <w:jc w:val="center"/>
        </w:trPr>
        <w:tc>
          <w:tcPr>
            <w:tcW w:w="0" w:type="auto"/>
          </w:tcPr>
          <w:p w14:paraId="4D26837F"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Philippines</w:t>
            </w:r>
          </w:p>
        </w:tc>
        <w:tc>
          <w:tcPr>
            <w:tcW w:w="0" w:type="auto"/>
          </w:tcPr>
          <w:p w14:paraId="598F7467"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PSE Composite Index</w:t>
            </w:r>
          </w:p>
        </w:tc>
        <w:tc>
          <w:tcPr>
            <w:tcW w:w="0" w:type="auto"/>
          </w:tcPr>
          <w:p w14:paraId="6F718861"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PSEI</w:t>
            </w:r>
          </w:p>
        </w:tc>
        <w:tc>
          <w:tcPr>
            <w:tcW w:w="0" w:type="auto"/>
          </w:tcPr>
          <w:p w14:paraId="7189DFD4"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PHP</w:t>
            </w:r>
          </w:p>
        </w:tc>
      </w:tr>
      <w:tr w:rsidR="00FF5AEC" w:rsidRPr="00DC64F4" w14:paraId="394DB322" w14:textId="77777777" w:rsidTr="00DE4492">
        <w:trPr>
          <w:jc w:val="center"/>
        </w:trPr>
        <w:tc>
          <w:tcPr>
            <w:tcW w:w="0" w:type="auto"/>
          </w:tcPr>
          <w:p w14:paraId="700F575D"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Singapore</w:t>
            </w:r>
          </w:p>
        </w:tc>
        <w:tc>
          <w:tcPr>
            <w:tcW w:w="0" w:type="auto"/>
          </w:tcPr>
          <w:p w14:paraId="17977B08"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Straits Times Index</w:t>
            </w:r>
          </w:p>
        </w:tc>
        <w:tc>
          <w:tcPr>
            <w:tcW w:w="0" w:type="auto"/>
          </w:tcPr>
          <w:p w14:paraId="29579948"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STI</w:t>
            </w:r>
          </w:p>
        </w:tc>
        <w:tc>
          <w:tcPr>
            <w:tcW w:w="0" w:type="auto"/>
          </w:tcPr>
          <w:p w14:paraId="20A01B8D"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SGD</w:t>
            </w:r>
          </w:p>
        </w:tc>
      </w:tr>
      <w:tr w:rsidR="00FF5AEC" w:rsidRPr="00DC64F4" w14:paraId="55AE3656" w14:textId="77777777" w:rsidTr="00C10B2C">
        <w:trPr>
          <w:jc w:val="center"/>
        </w:trPr>
        <w:tc>
          <w:tcPr>
            <w:tcW w:w="0" w:type="auto"/>
          </w:tcPr>
          <w:p w14:paraId="74DE010E"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lastRenderedPageBreak/>
              <w:t>Thailand</w:t>
            </w:r>
          </w:p>
        </w:tc>
        <w:tc>
          <w:tcPr>
            <w:tcW w:w="0" w:type="auto"/>
          </w:tcPr>
          <w:p w14:paraId="03DB70E6"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Stock Exchange of Thailand Index</w:t>
            </w:r>
          </w:p>
        </w:tc>
        <w:tc>
          <w:tcPr>
            <w:tcW w:w="0" w:type="auto"/>
          </w:tcPr>
          <w:p w14:paraId="1486CFF2"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SET</w:t>
            </w:r>
          </w:p>
        </w:tc>
        <w:tc>
          <w:tcPr>
            <w:tcW w:w="0" w:type="auto"/>
          </w:tcPr>
          <w:p w14:paraId="12E426B9"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THB</w:t>
            </w:r>
          </w:p>
        </w:tc>
      </w:tr>
      <w:tr w:rsidR="00FF5AEC" w:rsidRPr="00DC64F4" w14:paraId="0D8D6443" w14:textId="77777777" w:rsidTr="00C10B2C">
        <w:trPr>
          <w:jc w:val="center"/>
        </w:trPr>
        <w:tc>
          <w:tcPr>
            <w:tcW w:w="0" w:type="auto"/>
            <w:tcBorders>
              <w:bottom w:val="single" w:sz="4" w:space="0" w:color="auto"/>
            </w:tcBorders>
          </w:tcPr>
          <w:p w14:paraId="176764C0"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Vietnam</w:t>
            </w:r>
          </w:p>
        </w:tc>
        <w:tc>
          <w:tcPr>
            <w:tcW w:w="0" w:type="auto"/>
            <w:tcBorders>
              <w:bottom w:val="single" w:sz="4" w:space="0" w:color="auto"/>
            </w:tcBorders>
          </w:tcPr>
          <w:p w14:paraId="7490D59D"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VN-Index</w:t>
            </w:r>
          </w:p>
        </w:tc>
        <w:tc>
          <w:tcPr>
            <w:tcW w:w="0" w:type="auto"/>
            <w:tcBorders>
              <w:bottom w:val="single" w:sz="4" w:space="0" w:color="auto"/>
            </w:tcBorders>
          </w:tcPr>
          <w:p w14:paraId="735FED41"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VNINDEX</w:t>
            </w:r>
          </w:p>
        </w:tc>
        <w:tc>
          <w:tcPr>
            <w:tcW w:w="0" w:type="auto"/>
            <w:tcBorders>
              <w:bottom w:val="single" w:sz="4" w:space="0" w:color="auto"/>
            </w:tcBorders>
          </w:tcPr>
          <w:p w14:paraId="421DD551"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VND</w:t>
            </w:r>
          </w:p>
        </w:tc>
      </w:tr>
    </w:tbl>
    <w:bookmarkEnd w:id="7"/>
    <w:p w14:paraId="044C1E08"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Note: Vendor symbols can vary across data services. The empirical files retain the original source, local currency, and raw trading date for every observation.</w:t>
      </w:r>
    </w:p>
    <w:p w14:paraId="424848DD" w14:textId="77777777" w:rsidR="00101E06" w:rsidRPr="00DC64F4" w:rsidRDefault="00101E06" w:rsidP="002B6539">
      <w:pPr>
        <w:pStyle w:val="BodyText"/>
        <w:spacing w:line="360" w:lineRule="auto"/>
        <w:jc w:val="both"/>
        <w:rPr>
          <w:rFonts w:ascii="Times New Roman" w:hAnsi="Times New Roman" w:cs="Times New Roman"/>
        </w:rPr>
      </w:pPr>
    </w:p>
    <w:p w14:paraId="7728DB84" w14:textId="1ADB086D"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 xml:space="preserve">Continuously compounded daily returns for market </w:t>
      </w:r>
      <m:oMath>
        <m:r>
          <m:rPr>
            <m:sty m:val="p"/>
          </m:rPr>
          <w:rPr>
            <w:rFonts w:ascii="Cambria Math" w:hAnsi="Cambria Math" w:cs="Times New Roman"/>
          </w:rPr>
          <m:t>i</m:t>
        </m:r>
      </m:oMath>
      <w:r w:rsidRPr="00DC64F4">
        <w:rPr>
          <w:rFonts w:ascii="Times New Roman" w:hAnsi="Times New Roman" w:cs="Times New Roman"/>
        </w:rPr>
        <w:t xml:space="preserve"> are calculated as</w:t>
      </w:r>
    </w:p>
    <w:p w14:paraId="757A4326" w14:textId="575A83EC" w:rsidR="00FF5AEC" w:rsidRPr="00DC64F4" w:rsidRDefault="00000000" w:rsidP="00101E06">
      <w:pPr>
        <w:pStyle w:val="BodyText"/>
        <w:tabs>
          <w:tab w:val="left" w:pos="5850"/>
        </w:tabs>
        <w:spacing w:line="360" w:lineRule="auto"/>
        <w:jc w:val="right"/>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i,t</m:t>
            </m:r>
          </m:sub>
        </m:sSub>
        <m:r>
          <m:rPr>
            <m:sty m:val="p"/>
          </m:rPr>
          <w:rPr>
            <w:rFonts w:ascii="Cambria Math" w:hAnsi="Cambria Math" w:cs="Times New Roman"/>
          </w:rPr>
          <m:t>=100</m:t>
        </m:r>
        <m:d>
          <m:dPr>
            <m:begChr m:val="["/>
            <m:endChr m:val="]"/>
            <m:ctrlPr>
              <w:rPr>
                <w:rFonts w:ascii="Cambria Math" w:hAnsi="Cambria Math" w:cs="Times New Roman"/>
              </w:rPr>
            </m:ctrlPr>
          </m:dPr>
          <m:e>
            <m:r>
              <m:rPr>
                <m:sty m:val="p"/>
              </m:rPr>
              <w:rPr>
                <w:rFonts w:ascii="Cambria Math" w:hAnsi="Cambria Math" w:cs="Times New Roman"/>
              </w:rPr>
              <m:t>ln(</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i,t</m:t>
                </m:r>
              </m:sub>
            </m:sSub>
            <m:r>
              <m:rPr>
                <m:sty m:val="p"/>
              </m:rPr>
              <w:rPr>
                <w:rFonts w:ascii="Cambria Math" w:hAnsi="Cambria Math" w:cs="Times New Roman"/>
              </w:rPr>
              <m:t>)-ln(</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i,t-1</m:t>
                </m:r>
              </m:sub>
            </m:sSub>
            <m:r>
              <m:rPr>
                <m:sty m:val="p"/>
              </m:rPr>
              <w:rPr>
                <w:rFonts w:ascii="Cambria Math" w:hAnsi="Cambria Math" w:cs="Times New Roman"/>
              </w:rPr>
              <m:t>)</m:t>
            </m:r>
          </m:e>
        </m:d>
        <m:r>
          <m:rPr>
            <m:sty m:val="p"/>
          </m:rPr>
          <w:rPr>
            <w:rFonts w:ascii="Cambria Math" w:hAnsi="Cambria Math" w:cs="Times New Roman"/>
          </w:rPr>
          <m:t>,</m:t>
        </m:r>
      </m:oMath>
      <w:r w:rsidR="00101E06" w:rsidRPr="00DC64F4">
        <w:rPr>
          <w:rFonts w:ascii="Times New Roman" w:hAnsi="Times New Roman" w:cs="Times New Roman"/>
        </w:rPr>
        <w:tab/>
        <w:t>(1)</w:t>
      </w:r>
    </w:p>
    <w:p w14:paraId="6E6EEDBB" w14:textId="25EECCE1"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i,t</m:t>
            </m:r>
          </m:sub>
        </m:sSub>
      </m:oMath>
      <w:r w:rsidRPr="00DC64F4">
        <w:rPr>
          <w:rFonts w:ascii="Times New Roman" w:hAnsi="Times New Roman" w:cs="Times New Roman"/>
        </w:rPr>
        <w:t xml:space="preserve"> is the closing index level. The baseline volatility proxy is the range-based estimator of Parkinson (1980):</w:t>
      </w:r>
    </w:p>
    <w:p w14:paraId="30A3128D" w14:textId="0E5C1E43" w:rsidR="00FF5AEC" w:rsidRPr="00DC64F4" w:rsidRDefault="00000000" w:rsidP="00CD1654">
      <w:pPr>
        <w:pStyle w:val="BodyText"/>
        <w:tabs>
          <w:tab w:val="left" w:pos="5490"/>
        </w:tabs>
        <w:spacing w:line="360" w:lineRule="auto"/>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4</m:t>
            </m:r>
            <m:r>
              <w:rPr>
                <w:rFonts w:ascii="Cambria Math" w:hAnsi="Cambria Math" w:cs="Times New Roman"/>
              </w:rPr>
              <m:t>ln</m:t>
            </m:r>
            <m:r>
              <m:rPr>
                <m:sty m:val="p"/>
              </m:rPr>
              <w:rPr>
                <w:rFonts w:ascii="Cambria Math" w:hAnsi="Cambria Math" w:cs="Times New Roman"/>
              </w:rPr>
              <m:t>(2)</m:t>
            </m:r>
          </m:den>
        </m:f>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ln</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den>
                    </m:f>
                  </m:e>
                </m:d>
              </m:e>
            </m:d>
          </m:e>
          <m:sup>
            <m:r>
              <m:rPr>
                <m:sty m:val="p"/>
              </m:rPr>
              <w:rPr>
                <w:rFonts w:ascii="Cambria Math" w:hAnsi="Cambria Math" w:cs="Times New Roman"/>
              </w:rPr>
              <m:t>2</m:t>
            </m:r>
          </m:sup>
        </m:sSup>
        <m:r>
          <m:rPr>
            <m:sty m:val="p"/>
          </m:rPr>
          <w:rPr>
            <w:rFonts w:ascii="Cambria Math" w:hAnsi="Cambria Math" w:cs="Times New Roman"/>
          </w:rPr>
          <m:t>,</m:t>
        </m:r>
      </m:oMath>
      <w:r w:rsidR="00101E06" w:rsidRPr="00DC64F4">
        <w:rPr>
          <w:rFonts w:ascii="Times New Roman" w:hAnsi="Times New Roman" w:cs="Times New Roman"/>
        </w:rPr>
        <w:tab/>
        <w:t>(2)</w:t>
      </w:r>
    </w:p>
    <w:p w14:paraId="1AE6E9AD" w14:textId="28079860" w:rsidR="00CD1654" w:rsidRPr="00DC64F4" w:rsidRDefault="00000000" w:rsidP="00F20FCC">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DC64F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DC64F4">
        <w:rPr>
          <w:rFonts w:ascii="Times New Roman" w:hAnsi="Times New Roman" w:cs="Times New Roman"/>
        </w:rPr>
        <w:t xml:space="preserve"> denote the daily high and low. The VAR is estimated using </w:t>
      </w:r>
      <m:oMath>
        <m:r>
          <w:rPr>
            <w:rFonts w:ascii="Cambria Math" w:hAnsi="Cambria Math" w:cs="Times New Roman"/>
          </w:rPr>
          <m:t>ln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oMath>
      <w:r w:rsidRPr="00DC64F4">
        <w:rPr>
          <w:rFonts w:ascii="Times New Roman" w:hAnsi="Times New Roman" w:cs="Times New Roman"/>
        </w:rPr>
        <w:t xml:space="preserve">, where </w:t>
      </w:r>
      <m:oMath>
        <m:r>
          <w:rPr>
            <w:rFonts w:ascii="Cambria Math" w:hAnsi="Cambria Math" w:cs="Times New Roman"/>
          </w:rPr>
          <m:t>ϵ</m:t>
        </m:r>
      </m:oMath>
      <w:r w:rsidRPr="00DC64F4">
        <w:rPr>
          <w:rFonts w:ascii="Times New Roman" w:hAnsi="Times New Roman" w:cs="Times New Roman"/>
        </w:rPr>
        <w:t xml:space="preserve"> is a small positive constant. Log squared returns and log absolute returns are used as alternative volatility proxies. Because national exchanges observe different holidays, the baseline panel retains only dates common to all six markets; prices are never carried forward and treated as new information. Local-currency measures form the baseline, while US-dollar return volatility and weekly observations provide robustness tests. Weekly high and low prices are respectively the maximum and minimum within each ISO week, and each week is assigned a common Friday date.</w:t>
      </w:r>
    </w:p>
    <w:p w14:paraId="7FCF3897"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8" w:name="shock-and-uncertainty-variables"/>
      <w:bookmarkEnd w:id="6"/>
      <w:r w:rsidRPr="00DC64F4">
        <w:rPr>
          <w:rStyle w:val="SectionNumber"/>
          <w:rFonts w:ascii="Times New Roman" w:hAnsi="Times New Roman" w:cs="Times New Roman"/>
          <w:b/>
          <w:bCs/>
          <w:color w:val="auto"/>
          <w:sz w:val="24"/>
          <w:szCs w:val="24"/>
        </w:rPr>
        <w:t>3.2</w:t>
      </w:r>
      <w:r w:rsidRPr="00DC64F4">
        <w:rPr>
          <w:rFonts w:ascii="Times New Roman" w:hAnsi="Times New Roman" w:cs="Times New Roman"/>
          <w:b/>
          <w:bCs/>
          <w:color w:val="auto"/>
          <w:sz w:val="24"/>
          <w:szCs w:val="24"/>
        </w:rPr>
        <w:tab/>
        <w:t>Shock and uncertainty variables</w:t>
      </w:r>
    </w:p>
    <w:p w14:paraId="4BBAF742" w14:textId="246150C2"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The dynamic analysis combines prespecified event windows with continuous global indicators. Monthly average VIX and geopolitical-risk (GPR) indices measure financial and geopolitical uncertainty. Brent crude oil prices, a broad US-dollar index, the S&amp;P 500, and the two-year US Treasury yield capture commodity, currency, equity, and monetary-policy conditions. VIX, Brent, Treasury</w:t>
      </w:r>
      <w:r w:rsidR="00CD1654" w:rsidRPr="00DC64F4">
        <w:rPr>
          <w:rFonts w:ascii="Times New Roman" w:hAnsi="Times New Roman" w:cs="Times New Roman"/>
        </w:rPr>
        <w:t xml:space="preserve"> </w:t>
      </w:r>
      <w:r w:rsidRPr="00DC64F4">
        <w:rPr>
          <w:rFonts w:ascii="Times New Roman" w:hAnsi="Times New Roman" w:cs="Times New Roman"/>
        </w:rPr>
        <w:t xml:space="preserve">yield, dollar, and S&amp;P 500 observations are obtained through the Federal Reserve Economic Data service; the GPR index is from Caldara and Iacoviello (2022). VIX and </w:t>
      </w:r>
      <w:r w:rsidRPr="00DC64F4">
        <w:rPr>
          <w:rFonts w:ascii="Times New Roman" w:hAnsi="Times New Roman" w:cs="Times New Roman"/>
        </w:rPr>
        <w:lastRenderedPageBreak/>
        <w:t>GPR enter as monthly averages. Oil, dollar, and S&amp;P 500 variables are end-of-month log changes in percent, while the Treasury yield is an end-of-month change in percentage points.</w:t>
      </w:r>
    </w:p>
    <w:p w14:paraId="5EAC894C" w14:textId="65E048FB"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Eight event windows were fixed before the final results were interpreted. Their start dates are anchored to contemporaneous institutional records: the intensification of euro-area sovereign stress from mid</w:t>
      </w:r>
      <w:r w:rsidR="00CD1654" w:rsidRPr="00DC64F4">
        <w:rPr>
          <w:rFonts w:ascii="Times New Roman" w:hAnsi="Times New Roman" w:cs="Times New Roman"/>
        </w:rPr>
        <w:t>-</w:t>
      </w:r>
      <w:r w:rsidRPr="00DC64F4">
        <w:rPr>
          <w:rFonts w:ascii="Times New Roman" w:hAnsi="Times New Roman" w:cs="Times New Roman"/>
        </w:rPr>
        <w:t>2011 (European Central Bank, 2012); Ben Bernanke’s May 22, 2013 congressional testimony, which initiated the taper-tantrum repricing (Bernanke, 2013); the mid-2015 plunge in Chinese equities (Bank for International Settlements, 2015); the March 22, 2018 announcement of US trade action against China (Office of the United States Trade Representative, 2018); the World Health Organization’s January 30, 2020 declaration of a Public Health Emergency of International Concern (World Health Organization, 2020); Russia’s February 24, 2022 invasion of Ukraine (United Nations General Assembly, 2022); the Federal Reserve’s sequence of 75-basis-point rate increases beginning in June 2022 (Board of Governors of the Federal Reserve System, 2023a); and the March 10, 2023 closure of Silicon Valley Bank (Board of Governors of the Federal Reserve System, 2023b). End dates were set to capture the initial or sustained market-adjustment phase while preventing overlap between the two 2022 episodes. Table </w:t>
      </w:r>
      <w:hyperlink w:anchor="tab:event-definitions">
        <w:r w:rsidR="00CD1654" w:rsidRPr="00DC64F4">
          <w:rPr>
            <w:rStyle w:val="Hyperlink"/>
            <w:rFonts w:ascii="Times New Roman" w:hAnsi="Times New Roman" w:cs="Times New Roman"/>
            <w:color w:val="auto"/>
          </w:rPr>
          <w:t>2</w:t>
        </w:r>
      </w:hyperlink>
      <w:r w:rsidRPr="00DC64F4">
        <w:rPr>
          <w:rFonts w:ascii="Times New Roman" w:hAnsi="Times New Roman" w:cs="Times New Roman"/>
        </w:rPr>
        <w:t xml:space="preserve"> reports the exact analysis windows and preceding benchmarks used in the replication files.</w:t>
      </w:r>
    </w:p>
    <w:p w14:paraId="7CCBE437" w14:textId="77777777" w:rsidR="006315D2" w:rsidRPr="00DC64F4" w:rsidRDefault="006315D2" w:rsidP="002B6539">
      <w:pPr>
        <w:pStyle w:val="BodyText"/>
        <w:spacing w:line="360" w:lineRule="auto"/>
        <w:jc w:val="both"/>
        <w:rPr>
          <w:rFonts w:ascii="Times New Roman" w:hAnsi="Times New Roman" w:cs="Times New Roman"/>
        </w:rPr>
      </w:pPr>
    </w:p>
    <w:p w14:paraId="19854D24" w14:textId="2503B60D" w:rsidR="00C10B2C" w:rsidRPr="00DC64F4" w:rsidRDefault="00C10B2C" w:rsidP="00C10B2C">
      <w:pPr>
        <w:pStyle w:val="TableCaption"/>
        <w:spacing w:line="360" w:lineRule="auto"/>
        <w:jc w:val="center"/>
        <w:rPr>
          <w:rFonts w:ascii="Times New Roman" w:hAnsi="Times New Roman" w:cs="Times New Roman"/>
          <w:i w:val="0"/>
        </w:rPr>
      </w:pPr>
      <w:r w:rsidRPr="00DC64F4">
        <w:rPr>
          <w:rFonts w:ascii="Times New Roman" w:hAnsi="Times New Roman" w:cs="Times New Roman"/>
          <w:b/>
          <w:bCs/>
          <w:i w:val="0"/>
        </w:rPr>
        <w:t xml:space="preserve">Table </w:t>
      </w:r>
      <w:r w:rsidRPr="00DC64F4">
        <w:rPr>
          <w:rFonts w:ascii="Times New Roman" w:hAnsi="Times New Roman" w:cs="Times New Roman"/>
          <w:b/>
          <w:bCs/>
          <w:i w:val="0"/>
        </w:rPr>
        <w:t>2</w:t>
      </w:r>
      <w:r w:rsidRPr="00DC64F4">
        <w:rPr>
          <w:rFonts w:ascii="Times New Roman" w:hAnsi="Times New Roman" w:cs="Times New Roman"/>
          <w:b/>
          <w:bCs/>
          <w:i w:val="0"/>
        </w:rPr>
        <w:t>:</w:t>
      </w:r>
      <w:r w:rsidRPr="00DC64F4">
        <w:rPr>
          <w:rFonts w:ascii="Times New Roman" w:hAnsi="Times New Roman" w:cs="Times New Roman"/>
          <w:i w:val="0"/>
        </w:rPr>
        <w:t xml:space="preserve"> </w:t>
      </w:r>
      <w:r w:rsidRPr="00DC64F4">
        <w:rPr>
          <w:rFonts w:ascii="Times New Roman" w:hAnsi="Times New Roman" w:cs="Times New Roman"/>
          <w:i w:val="0"/>
        </w:rPr>
        <w:t>Prespecified event and benchmark windows</w:t>
      </w:r>
    </w:p>
    <w:tbl>
      <w:tblPr>
        <w:tblStyle w:val="Table"/>
        <w:tblW w:w="0" w:type="auto"/>
        <w:jc w:val="center"/>
        <w:tblLook w:val="0020" w:firstRow="1" w:lastRow="0" w:firstColumn="0" w:lastColumn="0" w:noHBand="0" w:noVBand="0"/>
      </w:tblPr>
      <w:tblGrid>
        <w:gridCol w:w="1638"/>
        <w:gridCol w:w="2970"/>
        <w:gridCol w:w="2970"/>
        <w:gridCol w:w="1998"/>
      </w:tblGrid>
      <w:tr w:rsidR="00E05E2B" w:rsidRPr="00DC64F4" w14:paraId="52BF221B" w14:textId="77777777" w:rsidTr="006415FE">
        <w:trPr>
          <w:cnfStyle w:val="100000000000" w:firstRow="1" w:lastRow="0" w:firstColumn="0" w:lastColumn="0" w:oddVBand="0" w:evenVBand="0" w:oddHBand="0" w:evenHBand="0" w:firstRowFirstColumn="0" w:firstRowLastColumn="0" w:lastRowFirstColumn="0" w:lastRowLastColumn="0"/>
          <w:tblHeader/>
          <w:jc w:val="center"/>
        </w:trPr>
        <w:tc>
          <w:tcPr>
            <w:tcW w:w="1638" w:type="dxa"/>
            <w:tcBorders>
              <w:top w:val="single" w:sz="4" w:space="0" w:color="auto"/>
              <w:bottom w:val="single" w:sz="2" w:space="0" w:color="auto"/>
            </w:tcBorders>
          </w:tcPr>
          <w:p w14:paraId="3AEE9B7F" w14:textId="100E64B9"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t>Episode</w:t>
            </w:r>
          </w:p>
        </w:tc>
        <w:tc>
          <w:tcPr>
            <w:tcW w:w="2970" w:type="dxa"/>
            <w:tcBorders>
              <w:top w:val="single" w:sz="4" w:space="0" w:color="auto"/>
              <w:bottom w:val="single" w:sz="2" w:space="0" w:color="auto"/>
            </w:tcBorders>
          </w:tcPr>
          <w:p w14:paraId="6ED03685" w14:textId="2E2847D6"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t>Event window</w:t>
            </w:r>
          </w:p>
        </w:tc>
        <w:tc>
          <w:tcPr>
            <w:tcW w:w="2970" w:type="dxa"/>
            <w:tcBorders>
              <w:top w:val="single" w:sz="4" w:space="0" w:color="auto"/>
              <w:bottom w:val="single" w:sz="2" w:space="0" w:color="auto"/>
            </w:tcBorders>
          </w:tcPr>
          <w:p w14:paraId="44C86EEC" w14:textId="0914BC85"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t>Preceding benchmark</w:t>
            </w:r>
          </w:p>
        </w:tc>
        <w:tc>
          <w:tcPr>
            <w:tcW w:w="1998" w:type="dxa"/>
            <w:tcBorders>
              <w:top w:val="single" w:sz="4" w:space="0" w:color="auto"/>
              <w:bottom w:val="single" w:sz="2" w:space="0" w:color="auto"/>
            </w:tcBorders>
          </w:tcPr>
          <w:p w14:paraId="58542F12" w14:textId="09409798"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t>Data source</w:t>
            </w:r>
          </w:p>
        </w:tc>
      </w:tr>
      <w:tr w:rsidR="00E05E2B" w:rsidRPr="00DC64F4" w14:paraId="0DCC69D5" w14:textId="77777777" w:rsidTr="006415FE">
        <w:trPr>
          <w:jc w:val="center"/>
        </w:trPr>
        <w:tc>
          <w:tcPr>
            <w:tcW w:w="1638" w:type="dxa"/>
            <w:tcBorders>
              <w:top w:val="single" w:sz="2" w:space="0" w:color="auto"/>
            </w:tcBorders>
          </w:tcPr>
          <w:p w14:paraId="098C3B88" w14:textId="556CC6F3"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t>European debt crisis</w:t>
            </w:r>
          </w:p>
        </w:tc>
        <w:tc>
          <w:tcPr>
            <w:tcW w:w="2970" w:type="dxa"/>
            <w:tcBorders>
              <w:top w:val="single" w:sz="2" w:space="0" w:color="auto"/>
            </w:tcBorders>
          </w:tcPr>
          <w:p w14:paraId="63D47C16" w14:textId="0DA5B80F" w:rsidR="00E05E2B" w:rsidRPr="00DC64F4" w:rsidRDefault="0085266F" w:rsidP="008023C3">
            <w:pPr>
              <w:pStyle w:val="Compact"/>
              <w:spacing w:line="360" w:lineRule="auto"/>
              <w:rPr>
                <w:rFonts w:ascii="Times New Roman" w:hAnsi="Times New Roman" w:cs="Times New Roman"/>
              </w:rPr>
            </w:pPr>
            <w:r w:rsidRPr="00DC64F4">
              <w:rPr>
                <w:rFonts w:ascii="Times New Roman" w:hAnsi="Times New Roman" w:cs="Times New Roman"/>
              </w:rPr>
              <w:t>Jul. 1, 2011–Jun. 30, 2011</w:t>
            </w:r>
          </w:p>
        </w:tc>
        <w:tc>
          <w:tcPr>
            <w:tcW w:w="2970" w:type="dxa"/>
            <w:tcBorders>
              <w:top w:val="single" w:sz="2" w:space="0" w:color="auto"/>
            </w:tcBorders>
          </w:tcPr>
          <w:p w14:paraId="69A95439" w14:textId="0757EB6E" w:rsidR="00E05E2B" w:rsidRPr="00DC64F4" w:rsidRDefault="003F00C0" w:rsidP="008023C3">
            <w:pPr>
              <w:pStyle w:val="Compact"/>
              <w:spacing w:line="360" w:lineRule="auto"/>
              <w:rPr>
                <w:rFonts w:ascii="Times New Roman" w:hAnsi="Times New Roman" w:cs="Times New Roman"/>
              </w:rPr>
            </w:pPr>
            <w:r w:rsidRPr="00DC64F4">
              <w:rPr>
                <w:rFonts w:ascii="Times New Roman" w:hAnsi="Times New Roman" w:cs="Times New Roman"/>
              </w:rPr>
              <w:t>Mar. 30–Jun. 30, 2011</w:t>
            </w:r>
          </w:p>
        </w:tc>
        <w:tc>
          <w:tcPr>
            <w:tcW w:w="1998" w:type="dxa"/>
            <w:tcBorders>
              <w:top w:val="single" w:sz="2" w:space="0" w:color="auto"/>
            </w:tcBorders>
          </w:tcPr>
          <w:p w14:paraId="2010EEB1" w14:textId="4C97A7C0" w:rsidR="00E05E2B" w:rsidRPr="00DC64F4" w:rsidRDefault="00287AD7" w:rsidP="008023C3">
            <w:pPr>
              <w:pStyle w:val="Compact"/>
              <w:spacing w:line="360" w:lineRule="auto"/>
              <w:rPr>
                <w:rFonts w:ascii="Times New Roman" w:hAnsi="Times New Roman" w:cs="Times New Roman"/>
              </w:rPr>
            </w:pPr>
            <w:r w:rsidRPr="00DC64F4">
              <w:rPr>
                <w:rFonts w:ascii="Times New Roman" w:hAnsi="Times New Roman" w:cs="Times New Roman"/>
              </w:rPr>
              <w:t>European Central Bank (2012)</w:t>
            </w:r>
          </w:p>
        </w:tc>
      </w:tr>
      <w:tr w:rsidR="00E05E2B" w:rsidRPr="00DC64F4" w14:paraId="7A9D1018" w14:textId="77777777" w:rsidTr="00C67171">
        <w:trPr>
          <w:jc w:val="center"/>
        </w:trPr>
        <w:tc>
          <w:tcPr>
            <w:tcW w:w="1638" w:type="dxa"/>
          </w:tcPr>
          <w:p w14:paraId="7604D6F5" w14:textId="598A34F7"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t>Taper tantrum</w:t>
            </w:r>
          </w:p>
        </w:tc>
        <w:tc>
          <w:tcPr>
            <w:tcW w:w="2970" w:type="dxa"/>
          </w:tcPr>
          <w:p w14:paraId="32B77941" w14:textId="52D5FF2B" w:rsidR="00E05E2B" w:rsidRPr="00DC64F4" w:rsidRDefault="0085266F" w:rsidP="008023C3">
            <w:pPr>
              <w:pStyle w:val="Compact"/>
              <w:spacing w:line="360" w:lineRule="auto"/>
              <w:rPr>
                <w:rFonts w:ascii="Times New Roman" w:hAnsi="Times New Roman" w:cs="Times New Roman"/>
              </w:rPr>
            </w:pPr>
            <w:r w:rsidRPr="00DC64F4">
              <w:rPr>
                <w:rFonts w:ascii="Times New Roman" w:hAnsi="Times New Roman" w:cs="Times New Roman"/>
              </w:rPr>
              <w:t>May. 22</w:t>
            </w:r>
            <w:r w:rsidRPr="00DC64F4">
              <w:rPr>
                <w:rFonts w:ascii="Times New Roman" w:hAnsi="Times New Roman" w:cs="Times New Roman"/>
              </w:rPr>
              <w:t>–</w:t>
            </w:r>
            <w:r w:rsidRPr="00DC64F4">
              <w:rPr>
                <w:rFonts w:ascii="Times New Roman" w:hAnsi="Times New Roman" w:cs="Times New Roman"/>
              </w:rPr>
              <w:t>Sep. 30, 2013</w:t>
            </w:r>
          </w:p>
        </w:tc>
        <w:tc>
          <w:tcPr>
            <w:tcW w:w="2970" w:type="dxa"/>
          </w:tcPr>
          <w:p w14:paraId="43B37D04" w14:textId="49BCC16E" w:rsidR="00E05E2B" w:rsidRPr="00DC64F4" w:rsidRDefault="001A7C6C" w:rsidP="008023C3">
            <w:pPr>
              <w:pStyle w:val="Compact"/>
              <w:spacing w:line="360" w:lineRule="auto"/>
              <w:rPr>
                <w:rFonts w:ascii="Times New Roman" w:hAnsi="Times New Roman" w:cs="Times New Roman"/>
              </w:rPr>
            </w:pPr>
            <w:r w:rsidRPr="00DC64F4">
              <w:rPr>
                <w:rFonts w:ascii="Times New Roman" w:hAnsi="Times New Roman" w:cs="Times New Roman"/>
              </w:rPr>
              <w:t>Jan. 2–May 21, 20213</w:t>
            </w:r>
          </w:p>
        </w:tc>
        <w:tc>
          <w:tcPr>
            <w:tcW w:w="1998" w:type="dxa"/>
          </w:tcPr>
          <w:p w14:paraId="57CFEA74" w14:textId="100C7A83" w:rsidR="00E05E2B" w:rsidRPr="00DC64F4" w:rsidRDefault="00287AD7" w:rsidP="008023C3">
            <w:pPr>
              <w:pStyle w:val="Compact"/>
              <w:spacing w:line="360" w:lineRule="auto"/>
              <w:rPr>
                <w:rFonts w:ascii="Times New Roman" w:hAnsi="Times New Roman" w:cs="Times New Roman"/>
              </w:rPr>
            </w:pPr>
            <w:r w:rsidRPr="00DC64F4">
              <w:rPr>
                <w:rFonts w:ascii="Times New Roman" w:hAnsi="Times New Roman" w:cs="Times New Roman"/>
              </w:rPr>
              <w:t>Bernake (2013)</w:t>
            </w:r>
          </w:p>
        </w:tc>
      </w:tr>
      <w:tr w:rsidR="00E05E2B" w:rsidRPr="00DC64F4" w14:paraId="3B3966F4" w14:textId="77777777" w:rsidTr="00C67171">
        <w:trPr>
          <w:jc w:val="center"/>
        </w:trPr>
        <w:tc>
          <w:tcPr>
            <w:tcW w:w="1638" w:type="dxa"/>
          </w:tcPr>
          <w:p w14:paraId="767F5763" w14:textId="27F1B0FD"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t>China market crash</w:t>
            </w:r>
          </w:p>
        </w:tc>
        <w:tc>
          <w:tcPr>
            <w:tcW w:w="2970" w:type="dxa"/>
          </w:tcPr>
          <w:p w14:paraId="0E4855BF" w14:textId="2C67F0FB" w:rsidR="00E05E2B" w:rsidRPr="00DC64F4" w:rsidRDefault="0085266F" w:rsidP="008023C3">
            <w:pPr>
              <w:pStyle w:val="Compact"/>
              <w:spacing w:line="360" w:lineRule="auto"/>
              <w:rPr>
                <w:rFonts w:ascii="Times New Roman" w:hAnsi="Times New Roman" w:cs="Times New Roman"/>
              </w:rPr>
            </w:pPr>
            <w:r w:rsidRPr="00DC64F4">
              <w:rPr>
                <w:rFonts w:ascii="Times New Roman" w:hAnsi="Times New Roman" w:cs="Times New Roman"/>
              </w:rPr>
              <w:t>Jun. 12, 2015–Feb. 29, 2016</w:t>
            </w:r>
          </w:p>
        </w:tc>
        <w:tc>
          <w:tcPr>
            <w:tcW w:w="2970" w:type="dxa"/>
          </w:tcPr>
          <w:p w14:paraId="080E3FB4" w14:textId="71DF8E02" w:rsidR="00E05E2B" w:rsidRPr="00DC64F4" w:rsidRDefault="001A7C6C" w:rsidP="008023C3">
            <w:pPr>
              <w:pStyle w:val="Compact"/>
              <w:spacing w:line="360" w:lineRule="auto"/>
              <w:rPr>
                <w:rFonts w:ascii="Times New Roman" w:hAnsi="Times New Roman" w:cs="Times New Roman"/>
              </w:rPr>
            </w:pPr>
            <w:r w:rsidRPr="00DC64F4">
              <w:rPr>
                <w:rFonts w:ascii="Times New Roman" w:hAnsi="Times New Roman" w:cs="Times New Roman"/>
              </w:rPr>
              <w:t>Dec. 1, 2014–Jun. 11, 2015</w:t>
            </w:r>
          </w:p>
        </w:tc>
        <w:tc>
          <w:tcPr>
            <w:tcW w:w="1998" w:type="dxa"/>
          </w:tcPr>
          <w:p w14:paraId="25AEA287" w14:textId="476BFAC6" w:rsidR="00E05E2B" w:rsidRPr="00DC64F4" w:rsidRDefault="00287AD7" w:rsidP="008023C3">
            <w:pPr>
              <w:pStyle w:val="Compact"/>
              <w:spacing w:line="360" w:lineRule="auto"/>
              <w:rPr>
                <w:rFonts w:ascii="Times New Roman" w:hAnsi="Times New Roman" w:cs="Times New Roman"/>
              </w:rPr>
            </w:pPr>
            <w:r w:rsidRPr="00DC64F4">
              <w:rPr>
                <w:rFonts w:ascii="Times New Roman" w:hAnsi="Times New Roman" w:cs="Times New Roman"/>
              </w:rPr>
              <w:t>Bank for International Settlements (2015)</w:t>
            </w:r>
          </w:p>
        </w:tc>
      </w:tr>
      <w:tr w:rsidR="00E05E2B" w:rsidRPr="00DC64F4" w14:paraId="02C012B4" w14:textId="77777777" w:rsidTr="00C67171">
        <w:trPr>
          <w:jc w:val="center"/>
        </w:trPr>
        <w:tc>
          <w:tcPr>
            <w:tcW w:w="1638" w:type="dxa"/>
          </w:tcPr>
          <w:p w14:paraId="242F7D6D" w14:textId="4412916E"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t xml:space="preserve">US-China </w:t>
            </w:r>
            <w:r w:rsidRPr="00DC64F4">
              <w:rPr>
                <w:rFonts w:ascii="Times New Roman" w:hAnsi="Times New Roman" w:cs="Times New Roman"/>
              </w:rPr>
              <w:lastRenderedPageBreak/>
              <w:t>trade war</w:t>
            </w:r>
          </w:p>
        </w:tc>
        <w:tc>
          <w:tcPr>
            <w:tcW w:w="2970" w:type="dxa"/>
          </w:tcPr>
          <w:p w14:paraId="4CEB8FD2" w14:textId="76AB0709" w:rsidR="00E05E2B" w:rsidRPr="00DC64F4" w:rsidRDefault="0085266F" w:rsidP="008023C3">
            <w:pPr>
              <w:pStyle w:val="Compact"/>
              <w:spacing w:line="360" w:lineRule="auto"/>
              <w:rPr>
                <w:rFonts w:ascii="Times New Roman" w:hAnsi="Times New Roman" w:cs="Times New Roman"/>
              </w:rPr>
            </w:pPr>
            <w:r w:rsidRPr="00DC64F4">
              <w:rPr>
                <w:rFonts w:ascii="Times New Roman" w:hAnsi="Times New Roman" w:cs="Times New Roman"/>
              </w:rPr>
              <w:lastRenderedPageBreak/>
              <w:t>Mar. 22</w:t>
            </w:r>
            <w:r w:rsidRPr="00DC64F4">
              <w:rPr>
                <w:rFonts w:ascii="Times New Roman" w:hAnsi="Times New Roman" w:cs="Times New Roman"/>
              </w:rPr>
              <w:t>–</w:t>
            </w:r>
            <w:r w:rsidRPr="00DC64F4">
              <w:rPr>
                <w:rFonts w:ascii="Times New Roman" w:hAnsi="Times New Roman" w:cs="Times New Roman"/>
              </w:rPr>
              <w:t>Dec. 31, 2018</w:t>
            </w:r>
          </w:p>
        </w:tc>
        <w:tc>
          <w:tcPr>
            <w:tcW w:w="2970" w:type="dxa"/>
          </w:tcPr>
          <w:p w14:paraId="03F9413C" w14:textId="4AAD240B" w:rsidR="00E05E2B" w:rsidRPr="00DC64F4" w:rsidRDefault="001A7C6C" w:rsidP="008023C3">
            <w:pPr>
              <w:pStyle w:val="Compact"/>
              <w:spacing w:line="360" w:lineRule="auto"/>
              <w:rPr>
                <w:rFonts w:ascii="Times New Roman" w:hAnsi="Times New Roman" w:cs="Times New Roman"/>
              </w:rPr>
            </w:pPr>
            <w:r w:rsidRPr="00DC64F4">
              <w:rPr>
                <w:rFonts w:ascii="Times New Roman" w:hAnsi="Times New Roman" w:cs="Times New Roman"/>
              </w:rPr>
              <w:t xml:space="preserve">Sep. 1, 2017–Mar. 21, 2018 </w:t>
            </w:r>
          </w:p>
        </w:tc>
        <w:tc>
          <w:tcPr>
            <w:tcW w:w="1998" w:type="dxa"/>
          </w:tcPr>
          <w:p w14:paraId="0C485B63" w14:textId="09F9621D" w:rsidR="00E05E2B" w:rsidRPr="00DC64F4" w:rsidRDefault="00287AD7" w:rsidP="008023C3">
            <w:pPr>
              <w:pStyle w:val="Compact"/>
              <w:spacing w:line="360" w:lineRule="auto"/>
              <w:rPr>
                <w:rFonts w:ascii="Times New Roman" w:hAnsi="Times New Roman" w:cs="Times New Roman"/>
              </w:rPr>
            </w:pPr>
            <w:r w:rsidRPr="00DC64F4">
              <w:rPr>
                <w:rFonts w:ascii="Times New Roman" w:hAnsi="Times New Roman" w:cs="Times New Roman"/>
              </w:rPr>
              <w:t xml:space="preserve">Office of the </w:t>
            </w:r>
            <w:r w:rsidRPr="00DC64F4">
              <w:rPr>
                <w:rFonts w:ascii="Times New Roman" w:hAnsi="Times New Roman" w:cs="Times New Roman"/>
              </w:rPr>
              <w:lastRenderedPageBreak/>
              <w:t>United States Trade Representative (2018)</w:t>
            </w:r>
          </w:p>
        </w:tc>
      </w:tr>
      <w:tr w:rsidR="00E05E2B" w:rsidRPr="00DC64F4" w14:paraId="75EA5350" w14:textId="77777777" w:rsidTr="00C67171">
        <w:trPr>
          <w:jc w:val="center"/>
        </w:trPr>
        <w:tc>
          <w:tcPr>
            <w:tcW w:w="1638" w:type="dxa"/>
          </w:tcPr>
          <w:p w14:paraId="1D9A4674" w14:textId="7FCD7FAF"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lastRenderedPageBreak/>
              <w:t>COVID-19 pandemic</w:t>
            </w:r>
          </w:p>
        </w:tc>
        <w:tc>
          <w:tcPr>
            <w:tcW w:w="2970" w:type="dxa"/>
          </w:tcPr>
          <w:p w14:paraId="428D996C" w14:textId="1A268556" w:rsidR="00E05E2B" w:rsidRPr="00DC64F4" w:rsidRDefault="0085266F" w:rsidP="008023C3">
            <w:pPr>
              <w:pStyle w:val="Compact"/>
              <w:spacing w:line="360" w:lineRule="auto"/>
              <w:rPr>
                <w:rFonts w:ascii="Times New Roman" w:hAnsi="Times New Roman" w:cs="Times New Roman"/>
              </w:rPr>
            </w:pPr>
            <w:r w:rsidRPr="00DC64F4">
              <w:rPr>
                <w:rFonts w:ascii="Times New Roman" w:hAnsi="Times New Roman" w:cs="Times New Roman"/>
              </w:rPr>
              <w:t>Jan. 30–Jun. 30, 2020</w:t>
            </w:r>
          </w:p>
        </w:tc>
        <w:tc>
          <w:tcPr>
            <w:tcW w:w="2970" w:type="dxa"/>
          </w:tcPr>
          <w:p w14:paraId="4D43A770" w14:textId="68856244" w:rsidR="00E05E2B" w:rsidRPr="00DC64F4" w:rsidRDefault="001A7C6C" w:rsidP="008023C3">
            <w:pPr>
              <w:pStyle w:val="Compact"/>
              <w:spacing w:line="360" w:lineRule="auto"/>
              <w:rPr>
                <w:rFonts w:ascii="Times New Roman" w:hAnsi="Times New Roman" w:cs="Times New Roman"/>
              </w:rPr>
            </w:pPr>
            <w:r w:rsidRPr="00DC64F4">
              <w:rPr>
                <w:rFonts w:ascii="Times New Roman" w:hAnsi="Times New Roman" w:cs="Times New Roman"/>
              </w:rPr>
              <w:t>Jul. 1, 2019–Jan. 29. 2020</w:t>
            </w:r>
          </w:p>
        </w:tc>
        <w:tc>
          <w:tcPr>
            <w:tcW w:w="1998" w:type="dxa"/>
          </w:tcPr>
          <w:p w14:paraId="377B6069" w14:textId="0DAD0DAC" w:rsidR="00E05E2B" w:rsidRPr="00DC64F4" w:rsidRDefault="00287AD7" w:rsidP="008023C3">
            <w:pPr>
              <w:pStyle w:val="Compact"/>
              <w:spacing w:line="360" w:lineRule="auto"/>
              <w:rPr>
                <w:rFonts w:ascii="Times New Roman" w:hAnsi="Times New Roman" w:cs="Times New Roman"/>
              </w:rPr>
            </w:pPr>
            <w:r w:rsidRPr="00DC64F4">
              <w:rPr>
                <w:rFonts w:ascii="Times New Roman" w:hAnsi="Times New Roman" w:cs="Times New Roman"/>
              </w:rPr>
              <w:t>World Health Organization (2020)</w:t>
            </w:r>
          </w:p>
        </w:tc>
      </w:tr>
      <w:tr w:rsidR="00E05E2B" w:rsidRPr="00DC64F4" w14:paraId="2461A362" w14:textId="77777777" w:rsidTr="00C67171">
        <w:trPr>
          <w:jc w:val="center"/>
        </w:trPr>
        <w:tc>
          <w:tcPr>
            <w:tcW w:w="1638" w:type="dxa"/>
          </w:tcPr>
          <w:p w14:paraId="398B2A56" w14:textId="33EC0416"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t>Russia-Ukraine war</w:t>
            </w:r>
          </w:p>
        </w:tc>
        <w:tc>
          <w:tcPr>
            <w:tcW w:w="2970" w:type="dxa"/>
          </w:tcPr>
          <w:p w14:paraId="2AE3EBE7" w14:textId="365891D0" w:rsidR="00E05E2B" w:rsidRPr="00DC64F4" w:rsidRDefault="0085266F" w:rsidP="008023C3">
            <w:pPr>
              <w:pStyle w:val="Compact"/>
              <w:spacing w:line="360" w:lineRule="auto"/>
              <w:rPr>
                <w:rFonts w:ascii="Times New Roman" w:hAnsi="Times New Roman" w:cs="Times New Roman"/>
              </w:rPr>
            </w:pPr>
            <w:r w:rsidRPr="00DC64F4">
              <w:rPr>
                <w:rFonts w:ascii="Times New Roman" w:hAnsi="Times New Roman" w:cs="Times New Roman"/>
              </w:rPr>
              <w:t>Feb. 24–May 31, 2022</w:t>
            </w:r>
          </w:p>
        </w:tc>
        <w:tc>
          <w:tcPr>
            <w:tcW w:w="2970" w:type="dxa"/>
          </w:tcPr>
          <w:p w14:paraId="04DDBB69" w14:textId="27CED6A6" w:rsidR="00E05E2B" w:rsidRPr="00DC64F4" w:rsidRDefault="001A7C6C" w:rsidP="008023C3">
            <w:pPr>
              <w:pStyle w:val="Compact"/>
              <w:spacing w:line="360" w:lineRule="auto"/>
              <w:rPr>
                <w:rFonts w:ascii="Times New Roman" w:hAnsi="Times New Roman" w:cs="Times New Roman"/>
              </w:rPr>
            </w:pPr>
            <w:r w:rsidRPr="00DC64F4">
              <w:rPr>
                <w:rFonts w:ascii="Times New Roman" w:hAnsi="Times New Roman" w:cs="Times New Roman"/>
              </w:rPr>
              <w:t>Sep. 1, 2021–Feb. 23. 2022</w:t>
            </w:r>
          </w:p>
        </w:tc>
        <w:tc>
          <w:tcPr>
            <w:tcW w:w="1998" w:type="dxa"/>
          </w:tcPr>
          <w:p w14:paraId="496B715A" w14:textId="287E426D" w:rsidR="00E05E2B" w:rsidRPr="00DC64F4" w:rsidRDefault="00287AD7" w:rsidP="008023C3">
            <w:pPr>
              <w:pStyle w:val="Compact"/>
              <w:spacing w:line="360" w:lineRule="auto"/>
              <w:rPr>
                <w:rFonts w:ascii="Times New Roman" w:hAnsi="Times New Roman" w:cs="Times New Roman"/>
              </w:rPr>
            </w:pPr>
            <w:r w:rsidRPr="00DC64F4">
              <w:rPr>
                <w:rFonts w:ascii="Times New Roman" w:hAnsi="Times New Roman" w:cs="Times New Roman"/>
              </w:rPr>
              <w:t>United Nations General Assembly (2022)</w:t>
            </w:r>
          </w:p>
        </w:tc>
      </w:tr>
      <w:tr w:rsidR="00E05E2B" w:rsidRPr="00DC64F4" w14:paraId="2366D7E1" w14:textId="77777777" w:rsidTr="00C10B2C">
        <w:trPr>
          <w:jc w:val="center"/>
        </w:trPr>
        <w:tc>
          <w:tcPr>
            <w:tcW w:w="1638" w:type="dxa"/>
          </w:tcPr>
          <w:p w14:paraId="50C59F66" w14:textId="1D0A183D" w:rsidR="00E05E2B" w:rsidRPr="00DC64F4" w:rsidRDefault="00E05E2B" w:rsidP="008023C3">
            <w:pPr>
              <w:pStyle w:val="Compact"/>
              <w:spacing w:line="360" w:lineRule="auto"/>
              <w:rPr>
                <w:rFonts w:ascii="Times New Roman" w:hAnsi="Times New Roman" w:cs="Times New Roman"/>
              </w:rPr>
            </w:pPr>
            <w:r w:rsidRPr="00DC64F4">
              <w:rPr>
                <w:rFonts w:ascii="Times New Roman" w:hAnsi="Times New Roman" w:cs="Times New Roman"/>
              </w:rPr>
              <w:t>Global monetary</w:t>
            </w:r>
            <w:r w:rsidR="008023C3" w:rsidRPr="00DC64F4">
              <w:rPr>
                <w:rFonts w:ascii="Times New Roman" w:hAnsi="Times New Roman" w:cs="Times New Roman"/>
              </w:rPr>
              <w:t xml:space="preserve"> t</w:t>
            </w:r>
            <w:r w:rsidRPr="00DC64F4">
              <w:rPr>
                <w:rFonts w:ascii="Times New Roman" w:hAnsi="Times New Roman" w:cs="Times New Roman"/>
              </w:rPr>
              <w:t>ightening</w:t>
            </w:r>
          </w:p>
        </w:tc>
        <w:tc>
          <w:tcPr>
            <w:tcW w:w="2970" w:type="dxa"/>
          </w:tcPr>
          <w:p w14:paraId="4880D9C1" w14:textId="3C333BD9" w:rsidR="00E05E2B" w:rsidRPr="00DC64F4" w:rsidRDefault="0085266F" w:rsidP="008023C3">
            <w:pPr>
              <w:pStyle w:val="Compact"/>
              <w:spacing w:line="360" w:lineRule="auto"/>
              <w:rPr>
                <w:rFonts w:ascii="Times New Roman" w:hAnsi="Times New Roman" w:cs="Times New Roman"/>
              </w:rPr>
            </w:pPr>
            <w:r w:rsidRPr="00DC64F4">
              <w:rPr>
                <w:rFonts w:ascii="Times New Roman" w:hAnsi="Times New Roman" w:cs="Times New Roman"/>
              </w:rPr>
              <w:t>Jun. 1–Dec. 31, 2022</w:t>
            </w:r>
          </w:p>
        </w:tc>
        <w:tc>
          <w:tcPr>
            <w:tcW w:w="2970" w:type="dxa"/>
          </w:tcPr>
          <w:p w14:paraId="122EA8D1" w14:textId="2B49545B" w:rsidR="00E05E2B" w:rsidRPr="00DC64F4" w:rsidRDefault="001A7C6C" w:rsidP="008023C3">
            <w:pPr>
              <w:pStyle w:val="Compact"/>
              <w:spacing w:line="360" w:lineRule="auto"/>
              <w:rPr>
                <w:rFonts w:ascii="Times New Roman" w:hAnsi="Times New Roman" w:cs="Times New Roman"/>
              </w:rPr>
            </w:pPr>
            <w:r w:rsidRPr="00DC64F4">
              <w:rPr>
                <w:rFonts w:ascii="Times New Roman" w:hAnsi="Times New Roman" w:cs="Times New Roman"/>
              </w:rPr>
              <w:t>Sep. 1, 2021</w:t>
            </w:r>
            <w:r w:rsidR="007840C8" w:rsidRPr="00DC64F4">
              <w:rPr>
                <w:rFonts w:ascii="Times New Roman" w:hAnsi="Times New Roman" w:cs="Times New Roman"/>
              </w:rPr>
              <w:t>–Feb. 23, 2022</w:t>
            </w:r>
          </w:p>
        </w:tc>
        <w:tc>
          <w:tcPr>
            <w:tcW w:w="1998" w:type="dxa"/>
          </w:tcPr>
          <w:p w14:paraId="230F1C64" w14:textId="65CBB1C1" w:rsidR="00E05E2B" w:rsidRPr="00DC64F4" w:rsidRDefault="00287AD7" w:rsidP="008023C3">
            <w:pPr>
              <w:pStyle w:val="Compact"/>
              <w:spacing w:line="360" w:lineRule="auto"/>
              <w:rPr>
                <w:rFonts w:ascii="Times New Roman" w:hAnsi="Times New Roman" w:cs="Times New Roman"/>
              </w:rPr>
            </w:pPr>
            <w:r w:rsidRPr="00DC64F4">
              <w:rPr>
                <w:rFonts w:ascii="Times New Roman" w:hAnsi="Times New Roman" w:cs="Times New Roman"/>
              </w:rPr>
              <w:t>Board of Governors of the Federal Reserve System (2023a)</w:t>
            </w:r>
          </w:p>
        </w:tc>
      </w:tr>
      <w:tr w:rsidR="0085266F" w:rsidRPr="00DC64F4" w14:paraId="2733D2A1" w14:textId="77777777" w:rsidTr="00C10B2C">
        <w:trPr>
          <w:jc w:val="center"/>
        </w:trPr>
        <w:tc>
          <w:tcPr>
            <w:tcW w:w="1638" w:type="dxa"/>
            <w:tcBorders>
              <w:bottom w:val="single" w:sz="4" w:space="0" w:color="auto"/>
            </w:tcBorders>
          </w:tcPr>
          <w:p w14:paraId="4FB0A610" w14:textId="066F9890" w:rsidR="0085266F" w:rsidRPr="00DC64F4" w:rsidRDefault="0085266F" w:rsidP="008023C3">
            <w:pPr>
              <w:pStyle w:val="Compact"/>
              <w:spacing w:line="360" w:lineRule="auto"/>
              <w:rPr>
                <w:rFonts w:ascii="Times New Roman" w:hAnsi="Times New Roman" w:cs="Times New Roman"/>
              </w:rPr>
            </w:pPr>
            <w:r w:rsidRPr="00DC64F4">
              <w:rPr>
                <w:rFonts w:ascii="Times New Roman" w:hAnsi="Times New Roman" w:cs="Times New Roman"/>
              </w:rPr>
              <w:t>US banking crisis</w:t>
            </w:r>
          </w:p>
        </w:tc>
        <w:tc>
          <w:tcPr>
            <w:tcW w:w="2970" w:type="dxa"/>
            <w:tcBorders>
              <w:bottom w:val="single" w:sz="4" w:space="0" w:color="auto"/>
            </w:tcBorders>
          </w:tcPr>
          <w:p w14:paraId="46DF978B" w14:textId="4F6CF30A" w:rsidR="0085266F" w:rsidRPr="00DC64F4" w:rsidRDefault="0085266F" w:rsidP="008023C3">
            <w:pPr>
              <w:pStyle w:val="Compact"/>
              <w:spacing w:line="360" w:lineRule="auto"/>
              <w:rPr>
                <w:rFonts w:ascii="Times New Roman" w:hAnsi="Times New Roman" w:cs="Times New Roman"/>
              </w:rPr>
            </w:pPr>
            <w:r w:rsidRPr="00DC64F4">
              <w:rPr>
                <w:rFonts w:ascii="Times New Roman" w:hAnsi="Times New Roman" w:cs="Times New Roman"/>
              </w:rPr>
              <w:t>Mar. 10–May 31, 2023</w:t>
            </w:r>
          </w:p>
        </w:tc>
        <w:tc>
          <w:tcPr>
            <w:tcW w:w="2970" w:type="dxa"/>
            <w:tcBorders>
              <w:bottom w:val="single" w:sz="4" w:space="0" w:color="auto"/>
            </w:tcBorders>
          </w:tcPr>
          <w:p w14:paraId="0AC58046" w14:textId="2B07492C" w:rsidR="0085266F" w:rsidRPr="00DC64F4" w:rsidRDefault="007840C8" w:rsidP="008023C3">
            <w:pPr>
              <w:pStyle w:val="Compact"/>
              <w:spacing w:line="360" w:lineRule="auto"/>
              <w:rPr>
                <w:rFonts w:ascii="Times New Roman" w:hAnsi="Times New Roman" w:cs="Times New Roman"/>
              </w:rPr>
            </w:pPr>
            <w:r w:rsidRPr="00DC64F4">
              <w:rPr>
                <w:rFonts w:ascii="Times New Roman" w:hAnsi="Times New Roman" w:cs="Times New Roman"/>
              </w:rPr>
              <w:t>Dec. 1, 2022–Mar. 9, 2023</w:t>
            </w:r>
          </w:p>
        </w:tc>
        <w:tc>
          <w:tcPr>
            <w:tcW w:w="1998" w:type="dxa"/>
            <w:tcBorders>
              <w:bottom w:val="single" w:sz="4" w:space="0" w:color="auto"/>
            </w:tcBorders>
          </w:tcPr>
          <w:p w14:paraId="55D6A990" w14:textId="08CDD5F2" w:rsidR="0085266F" w:rsidRPr="00DC64F4" w:rsidRDefault="00287AD7" w:rsidP="008023C3">
            <w:pPr>
              <w:pStyle w:val="Compact"/>
              <w:spacing w:line="360" w:lineRule="auto"/>
              <w:rPr>
                <w:rFonts w:ascii="Times New Roman" w:hAnsi="Times New Roman" w:cs="Times New Roman"/>
              </w:rPr>
            </w:pPr>
            <w:r w:rsidRPr="00DC64F4">
              <w:rPr>
                <w:rFonts w:ascii="Times New Roman" w:hAnsi="Times New Roman" w:cs="Times New Roman"/>
              </w:rPr>
              <w:t>Board of Governors of the Federal Reserve System (2023</w:t>
            </w:r>
            <w:r w:rsidRPr="00DC64F4">
              <w:rPr>
                <w:rFonts w:ascii="Times New Roman" w:hAnsi="Times New Roman" w:cs="Times New Roman"/>
              </w:rPr>
              <w:t>b</w:t>
            </w:r>
            <w:r w:rsidRPr="00DC64F4">
              <w:rPr>
                <w:rFonts w:ascii="Times New Roman" w:hAnsi="Times New Roman" w:cs="Times New Roman"/>
              </w:rPr>
              <w:t>)</w:t>
            </w:r>
          </w:p>
        </w:tc>
      </w:tr>
    </w:tbl>
    <w:p w14:paraId="41050905" w14:textId="77777777" w:rsidR="00C10B2C" w:rsidRPr="00DC64F4" w:rsidRDefault="00C10B2C" w:rsidP="002B6539">
      <w:pPr>
        <w:pStyle w:val="BodyText"/>
        <w:spacing w:line="360" w:lineRule="auto"/>
        <w:jc w:val="both"/>
        <w:rPr>
          <w:rFonts w:ascii="Times New Roman" w:hAnsi="Times New Roman" w:cs="Times New Roman"/>
        </w:rPr>
      </w:pPr>
    </w:p>
    <w:p w14:paraId="1721B90F" w14:textId="4AA32F8B" w:rsidR="00DE32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Each event is compared with its preceding benchmark, and inference uses moving-block bootstrap intervals with feasible block lengths of 10 and 20 trading days.</w:t>
      </w:r>
    </w:p>
    <w:p w14:paraId="70960816" w14:textId="77777777" w:rsidR="00906234" w:rsidRPr="00DC64F4" w:rsidRDefault="00906234" w:rsidP="002B6539">
      <w:pPr>
        <w:pStyle w:val="BodyText"/>
        <w:spacing w:line="360" w:lineRule="auto"/>
        <w:jc w:val="both"/>
        <w:rPr>
          <w:rFonts w:ascii="Times New Roman" w:hAnsi="Times New Roman" w:cs="Times New Roman"/>
        </w:rPr>
      </w:pPr>
    </w:p>
    <w:p w14:paraId="7A3BFF0E" w14:textId="77777777" w:rsidR="00906234" w:rsidRPr="00DC64F4" w:rsidRDefault="00906234" w:rsidP="002B6539">
      <w:pPr>
        <w:pStyle w:val="BodyText"/>
        <w:spacing w:line="360" w:lineRule="auto"/>
        <w:jc w:val="both"/>
        <w:rPr>
          <w:rFonts w:ascii="Times New Roman" w:hAnsi="Times New Roman" w:cs="Times New Roman"/>
        </w:rPr>
      </w:pPr>
    </w:p>
    <w:p w14:paraId="23C6CC4B" w14:textId="19A0C8D7" w:rsidR="00FF5AEC" w:rsidRPr="00DC64F4" w:rsidRDefault="00F15ABF" w:rsidP="00AD5897">
      <w:pPr>
        <w:pStyle w:val="TableCaption"/>
        <w:spacing w:line="360" w:lineRule="auto"/>
        <w:jc w:val="center"/>
        <w:rPr>
          <w:rFonts w:ascii="Times New Roman" w:hAnsi="Times New Roman" w:cs="Times New Roman"/>
          <w:i w:val="0"/>
        </w:rPr>
      </w:pPr>
      <w:bookmarkStart w:id="9" w:name="tab:variables"/>
      <w:r w:rsidRPr="00DC64F4">
        <w:rPr>
          <w:rFonts w:ascii="Times New Roman" w:hAnsi="Times New Roman" w:cs="Times New Roman"/>
          <w:b/>
          <w:bCs/>
          <w:i w:val="0"/>
        </w:rPr>
        <w:t xml:space="preserve">Table 3: </w:t>
      </w:r>
      <w:r w:rsidR="00000000" w:rsidRPr="00DC64F4">
        <w:rPr>
          <w:rFonts w:ascii="Times New Roman" w:hAnsi="Times New Roman" w:cs="Times New Roman"/>
          <w:i w:val="0"/>
        </w:rPr>
        <w:t>Variables, transformations, and sample coverage</w:t>
      </w:r>
    </w:p>
    <w:tbl>
      <w:tblPr>
        <w:tblStyle w:val="Table"/>
        <w:tblW w:w="0" w:type="auto"/>
        <w:tblLook w:val="0020" w:firstRow="1" w:lastRow="0" w:firstColumn="0" w:lastColumn="0" w:noHBand="0" w:noVBand="0"/>
      </w:tblPr>
      <w:tblGrid>
        <w:gridCol w:w="2308"/>
        <w:gridCol w:w="4035"/>
        <w:gridCol w:w="3233"/>
      </w:tblGrid>
      <w:tr w:rsidR="00FF5AEC" w:rsidRPr="00DC64F4" w14:paraId="3A5730A2" w14:textId="77777777" w:rsidTr="00444BC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1C981D82"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Variable</w:t>
            </w:r>
          </w:p>
        </w:tc>
        <w:tc>
          <w:tcPr>
            <w:tcW w:w="0" w:type="auto"/>
            <w:tcBorders>
              <w:top w:val="single" w:sz="4" w:space="0" w:color="auto"/>
              <w:bottom w:val="single" w:sz="2" w:space="0" w:color="auto"/>
            </w:tcBorders>
          </w:tcPr>
          <w:p w14:paraId="12B0C9EA"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Transformation</w:t>
            </w:r>
          </w:p>
        </w:tc>
        <w:tc>
          <w:tcPr>
            <w:tcW w:w="0" w:type="auto"/>
            <w:tcBorders>
              <w:top w:val="single" w:sz="4" w:space="0" w:color="auto"/>
              <w:bottom w:val="single" w:sz="2" w:space="0" w:color="auto"/>
            </w:tcBorders>
          </w:tcPr>
          <w:p w14:paraId="233EC6A3"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Source/frequency</w:t>
            </w:r>
          </w:p>
        </w:tc>
      </w:tr>
      <w:tr w:rsidR="00FF5AEC" w:rsidRPr="00DC64F4" w14:paraId="498D9E6E" w14:textId="77777777" w:rsidTr="00444BC6">
        <w:tc>
          <w:tcPr>
            <w:tcW w:w="0" w:type="auto"/>
            <w:tcBorders>
              <w:top w:val="single" w:sz="2" w:space="0" w:color="auto"/>
            </w:tcBorders>
          </w:tcPr>
          <w:p w14:paraId="3DF19363"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ASEAN volatility</w:t>
            </w:r>
          </w:p>
        </w:tc>
        <w:tc>
          <w:tcPr>
            <w:tcW w:w="0" w:type="auto"/>
            <w:tcBorders>
              <w:top w:val="single" w:sz="2" w:space="0" w:color="auto"/>
            </w:tcBorders>
          </w:tcPr>
          <w:p w14:paraId="77B02350" w14:textId="4B767992" w:rsidR="00FF5AEC" w:rsidRPr="00DC64F4" w:rsidRDefault="00D95E50" w:rsidP="002B6539">
            <w:pPr>
              <w:pStyle w:val="Compact"/>
              <w:spacing w:line="360" w:lineRule="auto"/>
              <w:jc w:val="both"/>
              <w:rPr>
                <w:rFonts w:ascii="Times New Roman" w:hAnsi="Times New Roman" w:cs="Times New Roman"/>
              </w:rPr>
            </w:pPr>
            <m:oMath>
              <m:r>
                <w:rPr>
                  <w:rFonts w:ascii="Cambria Math" w:hAnsi="Cambria Math" w:cs="Times New Roman"/>
                </w:rPr>
                <m:t>ln</m:t>
              </m:r>
              <m:r>
                <m:rPr>
                  <m:sty m:val="p"/>
                </m:rPr>
                <w:rPr>
                  <w:rFonts w:ascii="Cambria Math" w:hAnsi="Cambria Math" w:cs="Times New Roman"/>
                </w:rPr>
                <m:t>{[4</m:t>
              </m:r>
              <m:r>
                <w:rPr>
                  <w:rFonts w:ascii="Cambria Math" w:hAnsi="Cambria Math" w:cs="Times New Roman"/>
                </w:rPr>
                <m:t>ln</m:t>
              </m:r>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ln</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oMath>
            <w:r w:rsidR="00000000" w:rsidRPr="00DC64F4">
              <w:rPr>
                <w:rFonts w:ascii="Times New Roman" w:hAnsi="Times New Roman" w:cs="Times New Roman"/>
              </w:rPr>
              <w:t>​</w:t>
            </w:r>
          </w:p>
        </w:tc>
        <w:tc>
          <w:tcPr>
            <w:tcW w:w="0" w:type="auto"/>
            <w:tcBorders>
              <w:top w:val="single" w:sz="2" w:space="0" w:color="auto"/>
            </w:tcBorders>
          </w:tcPr>
          <w:p w14:paraId="3B47B8E9"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 xml:space="preserve">Yahoo Finance and VNStock; </w:t>
            </w:r>
            <w:r w:rsidRPr="00DC64F4">
              <w:rPr>
                <w:rFonts w:ascii="Times New Roman" w:hAnsi="Times New Roman" w:cs="Times New Roman"/>
              </w:rPr>
              <w:lastRenderedPageBreak/>
              <w:t>daily</w:t>
            </w:r>
          </w:p>
        </w:tc>
      </w:tr>
      <w:tr w:rsidR="00FF5AEC" w:rsidRPr="00DC64F4" w14:paraId="40BCD387" w14:textId="77777777">
        <w:tc>
          <w:tcPr>
            <w:tcW w:w="0" w:type="auto"/>
          </w:tcPr>
          <w:p w14:paraId="5903CF5B"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lastRenderedPageBreak/>
              <w:t>Squared-return volatility</w:t>
            </w:r>
          </w:p>
        </w:tc>
        <w:tc>
          <w:tcPr>
            <w:tcW w:w="0" w:type="auto"/>
          </w:tcPr>
          <w:p w14:paraId="0236B765" w14:textId="01198F9D" w:rsidR="00FF5AEC" w:rsidRPr="00DC64F4" w:rsidRDefault="00D95E50" w:rsidP="002B6539">
            <w:pPr>
              <w:pStyle w:val="Compact"/>
              <w:spacing w:line="360" w:lineRule="auto"/>
              <w:jc w:val="both"/>
              <w:rPr>
                <w:rFonts w:ascii="Times New Roman" w:hAnsi="Times New Roman" w:cs="Times New Roman"/>
              </w:rPr>
            </w:pPr>
            <m:oMath>
              <m:r>
                <w:rPr>
                  <w:rFonts w:ascii="Cambria Math" w:hAnsi="Cambria Math" w:cs="Times New Roman"/>
                </w:rPr>
                <m:t>ln</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oMath>
            <w:r w:rsidR="00000000" w:rsidRPr="00DC64F4">
              <w:rPr>
                <w:rFonts w:ascii="Times New Roman" w:hAnsi="Times New Roman" w:cs="Times New Roman"/>
              </w:rPr>
              <w:t>​</w:t>
            </w:r>
          </w:p>
        </w:tc>
        <w:tc>
          <w:tcPr>
            <w:tcW w:w="0" w:type="auto"/>
          </w:tcPr>
          <w:p w14:paraId="08264F4C"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Constructed; daily and weekly</w:t>
            </w:r>
          </w:p>
        </w:tc>
      </w:tr>
      <w:tr w:rsidR="00FF5AEC" w:rsidRPr="00DC64F4" w14:paraId="0B6E61AC" w14:textId="77777777">
        <w:tc>
          <w:tcPr>
            <w:tcW w:w="0" w:type="auto"/>
          </w:tcPr>
          <w:p w14:paraId="270BC65D"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Absolute-return volatility</w:t>
            </w:r>
          </w:p>
        </w:tc>
        <w:tc>
          <w:tcPr>
            <w:tcW w:w="0" w:type="auto"/>
          </w:tcPr>
          <w:p w14:paraId="09C5B0A9" w14:textId="3D232849" w:rsidR="00FF5AEC" w:rsidRPr="00DC64F4" w:rsidRDefault="00D95E50" w:rsidP="002B6539">
            <w:pPr>
              <w:pStyle w:val="Compact"/>
              <w:spacing w:line="360" w:lineRule="auto"/>
              <w:jc w:val="both"/>
              <w:rPr>
                <w:rFonts w:ascii="Times New Roman" w:hAnsi="Times New Roman" w:cs="Times New Roman"/>
              </w:rPr>
            </w:pPr>
            <m:oMath>
              <m:r>
                <w:rPr>
                  <w:rFonts w:ascii="Cambria Math" w:hAnsi="Cambria Math" w:cs="Times New Roman"/>
                </w:rPr>
                <m:t>ln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oMath>
            <w:r w:rsidR="00000000" w:rsidRPr="00DC64F4">
              <w:rPr>
                <w:rFonts w:ascii="Times New Roman" w:hAnsi="Times New Roman" w:cs="Times New Roman"/>
              </w:rPr>
              <w:t>​</w:t>
            </w:r>
          </w:p>
        </w:tc>
        <w:tc>
          <w:tcPr>
            <w:tcW w:w="0" w:type="auto"/>
          </w:tcPr>
          <w:p w14:paraId="0016F2D4"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Constructed; daily and weekly</w:t>
            </w:r>
          </w:p>
        </w:tc>
      </w:tr>
      <w:tr w:rsidR="00FF5AEC" w:rsidRPr="00DC64F4" w14:paraId="768A531C" w14:textId="77777777">
        <w:tc>
          <w:tcPr>
            <w:tcW w:w="0" w:type="auto"/>
          </w:tcPr>
          <w:p w14:paraId="24A5AEDF"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VIX</w:t>
            </w:r>
          </w:p>
        </w:tc>
        <w:tc>
          <w:tcPr>
            <w:tcW w:w="0" w:type="auto"/>
          </w:tcPr>
          <w:p w14:paraId="033268AA"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Monthly average of daily level</w:t>
            </w:r>
          </w:p>
        </w:tc>
        <w:tc>
          <w:tcPr>
            <w:tcW w:w="0" w:type="auto"/>
          </w:tcPr>
          <w:p w14:paraId="3FE6063E"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FRED; monthly</w:t>
            </w:r>
          </w:p>
        </w:tc>
      </w:tr>
      <w:tr w:rsidR="00FF5AEC" w:rsidRPr="00DC64F4" w14:paraId="6597F974" w14:textId="77777777">
        <w:tc>
          <w:tcPr>
            <w:tcW w:w="0" w:type="auto"/>
          </w:tcPr>
          <w:p w14:paraId="33A3612B"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GPR</w:t>
            </w:r>
          </w:p>
        </w:tc>
        <w:tc>
          <w:tcPr>
            <w:tcW w:w="0" w:type="auto"/>
          </w:tcPr>
          <w:p w14:paraId="1DD37C2D"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Monthly average of daily index</w:t>
            </w:r>
          </w:p>
        </w:tc>
        <w:tc>
          <w:tcPr>
            <w:tcW w:w="0" w:type="auto"/>
          </w:tcPr>
          <w:p w14:paraId="554F7DBF"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Caldara–Iacoviello; monthly</w:t>
            </w:r>
          </w:p>
        </w:tc>
      </w:tr>
      <w:tr w:rsidR="00FF5AEC" w:rsidRPr="00DC64F4" w14:paraId="085E2271" w14:textId="77777777" w:rsidTr="00444BC6">
        <w:tc>
          <w:tcPr>
            <w:tcW w:w="0" w:type="auto"/>
          </w:tcPr>
          <w:p w14:paraId="1249B4A7"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Oil, dollar, S&amp;P 500</w:t>
            </w:r>
          </w:p>
        </w:tc>
        <w:tc>
          <w:tcPr>
            <w:tcW w:w="0" w:type="auto"/>
          </w:tcPr>
          <w:p w14:paraId="30A43885" w14:textId="5F68A1D4" w:rsidR="00FF5AEC" w:rsidRPr="00DC64F4" w:rsidRDefault="00D95E50" w:rsidP="002B6539">
            <w:pPr>
              <w:pStyle w:val="Compact"/>
              <w:spacing w:line="360" w:lineRule="auto"/>
              <w:jc w:val="both"/>
              <w:rPr>
                <w:rFonts w:ascii="Times New Roman" w:hAnsi="Times New Roman" w:cs="Times New Roman"/>
              </w:rPr>
            </w:pPr>
            <m:oMath>
              <m:r>
                <m:rPr>
                  <m:sty m:val="p"/>
                </m:rPr>
                <w:rPr>
                  <w:rFonts w:ascii="Cambria Math" w:hAnsi="Cambria Math" w:cs="Times New Roman"/>
                </w:rPr>
                <m:t>100</m:t>
              </m:r>
              <m:r>
                <w:rPr>
                  <w:rFonts w:ascii="Cambria Math" w:hAnsi="Cambria Math" w:cs="Times New Roman"/>
                </w:rPr>
                <m:t>Δln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oMath>
            <w:r w:rsidR="00000000" w:rsidRPr="00DC64F4">
              <w:rPr>
                <w:rFonts w:ascii="Times New Roman" w:hAnsi="Times New Roman" w:cs="Times New Roman"/>
              </w:rPr>
              <w:t xml:space="preserve"> using month-end levels</w:t>
            </w:r>
          </w:p>
        </w:tc>
        <w:tc>
          <w:tcPr>
            <w:tcW w:w="0" w:type="auto"/>
          </w:tcPr>
          <w:p w14:paraId="27191598"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FRED; monthly</w:t>
            </w:r>
          </w:p>
        </w:tc>
      </w:tr>
      <w:tr w:rsidR="00FF5AEC" w:rsidRPr="00DC64F4" w14:paraId="2619403B" w14:textId="77777777" w:rsidTr="00444BC6">
        <w:tc>
          <w:tcPr>
            <w:tcW w:w="0" w:type="auto"/>
            <w:tcBorders>
              <w:bottom w:val="single" w:sz="4" w:space="0" w:color="auto"/>
            </w:tcBorders>
          </w:tcPr>
          <w:p w14:paraId="1E5C01B3"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US two-year yield</w:t>
            </w:r>
          </w:p>
        </w:tc>
        <w:tc>
          <w:tcPr>
            <w:tcW w:w="0" w:type="auto"/>
            <w:tcBorders>
              <w:bottom w:val="single" w:sz="4" w:space="0" w:color="auto"/>
            </w:tcBorders>
          </w:tcPr>
          <w:p w14:paraId="4AB9EFCA"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Month-end first difference, percentage points</w:t>
            </w:r>
          </w:p>
        </w:tc>
        <w:tc>
          <w:tcPr>
            <w:tcW w:w="0" w:type="auto"/>
            <w:tcBorders>
              <w:bottom w:val="single" w:sz="4" w:space="0" w:color="auto"/>
            </w:tcBorders>
          </w:tcPr>
          <w:p w14:paraId="5A310853"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FRED; monthly</w:t>
            </w:r>
          </w:p>
        </w:tc>
      </w:tr>
    </w:tbl>
    <w:bookmarkEnd w:id="9"/>
    <w:p w14:paraId="31C1D660"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Note: The common daily return panel contains 3,366 observations from January 4, 2010 to July 17, 2026; the baseline volatility panel contains 3,343 observations. The rolling analysis produces 3,094 estimates with a 250-observation window.</w:t>
      </w:r>
    </w:p>
    <w:p w14:paraId="39C09184" w14:textId="77777777" w:rsidR="00444BC6" w:rsidRPr="00DC64F4" w:rsidRDefault="00444BC6" w:rsidP="002B6539">
      <w:pPr>
        <w:pStyle w:val="BodyText"/>
        <w:spacing w:line="360" w:lineRule="auto"/>
        <w:jc w:val="both"/>
        <w:rPr>
          <w:rFonts w:ascii="Times New Roman" w:hAnsi="Times New Roman" w:cs="Times New Roman"/>
        </w:rPr>
      </w:pPr>
    </w:p>
    <w:p w14:paraId="7449EA87" w14:textId="77777777" w:rsidR="00FF5AEC" w:rsidRPr="00DC64F4" w:rsidRDefault="00000000" w:rsidP="002B6539">
      <w:pPr>
        <w:pStyle w:val="Heading1"/>
        <w:spacing w:line="360" w:lineRule="auto"/>
        <w:jc w:val="both"/>
        <w:rPr>
          <w:rFonts w:ascii="Times New Roman" w:hAnsi="Times New Roman" w:cs="Times New Roman"/>
          <w:b/>
          <w:bCs/>
          <w:color w:val="auto"/>
          <w:sz w:val="24"/>
          <w:szCs w:val="24"/>
        </w:rPr>
      </w:pPr>
      <w:bookmarkStart w:id="10" w:name="sec:method"/>
      <w:bookmarkEnd w:id="5"/>
      <w:bookmarkEnd w:id="8"/>
      <w:r w:rsidRPr="00DC64F4">
        <w:rPr>
          <w:rStyle w:val="SectionNumber"/>
          <w:rFonts w:ascii="Times New Roman" w:hAnsi="Times New Roman" w:cs="Times New Roman"/>
          <w:b/>
          <w:bCs/>
          <w:color w:val="auto"/>
          <w:sz w:val="24"/>
          <w:szCs w:val="24"/>
        </w:rPr>
        <w:t>4</w:t>
      </w:r>
      <w:r w:rsidRPr="00DC64F4">
        <w:rPr>
          <w:rFonts w:ascii="Times New Roman" w:hAnsi="Times New Roman" w:cs="Times New Roman"/>
          <w:b/>
          <w:bCs/>
          <w:color w:val="auto"/>
          <w:sz w:val="24"/>
          <w:szCs w:val="24"/>
        </w:rPr>
        <w:tab/>
        <w:t>Methodology</w:t>
      </w:r>
    </w:p>
    <w:p w14:paraId="52B72C16"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11" w:name="generalized-var-connectedness"/>
      <w:r w:rsidRPr="00DC64F4">
        <w:rPr>
          <w:rStyle w:val="SectionNumber"/>
          <w:rFonts w:ascii="Times New Roman" w:hAnsi="Times New Roman" w:cs="Times New Roman"/>
          <w:b/>
          <w:bCs/>
          <w:color w:val="auto"/>
          <w:sz w:val="24"/>
          <w:szCs w:val="24"/>
        </w:rPr>
        <w:t>4.1</w:t>
      </w:r>
      <w:r w:rsidRPr="00DC64F4">
        <w:rPr>
          <w:rFonts w:ascii="Times New Roman" w:hAnsi="Times New Roman" w:cs="Times New Roman"/>
          <w:b/>
          <w:bCs/>
          <w:color w:val="auto"/>
          <w:sz w:val="24"/>
          <w:szCs w:val="24"/>
        </w:rPr>
        <w:tab/>
        <w:t>Generalized VAR connectedness</w:t>
      </w:r>
    </w:p>
    <w:p w14:paraId="58232953" w14:textId="27F12FC4"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oMath>
      <w:r w:rsidRPr="00DC64F4">
        <w:rPr>
          <w:rFonts w:ascii="Times New Roman" w:hAnsi="Times New Roman" w:cs="Times New Roman"/>
        </w:rPr>
        <w:t xml:space="preserve"> denote the vector of volatility measures for the </w:t>
      </w:r>
      <m:oMath>
        <m:r>
          <w:rPr>
            <w:rFonts w:ascii="Cambria Math" w:hAnsi="Cambria Math" w:cs="Times New Roman"/>
          </w:rPr>
          <m:t>N</m:t>
        </m:r>
        <m:r>
          <m:rPr>
            <m:sty m:val="p"/>
          </m:rPr>
          <w:rPr>
            <w:rFonts w:ascii="Cambria Math" w:hAnsi="Cambria Math" w:cs="Times New Roman"/>
          </w:rPr>
          <m:t>=6</m:t>
        </m:r>
      </m:oMath>
      <w:r w:rsidRPr="00DC64F4">
        <w:rPr>
          <w:rFonts w:ascii="Times New Roman" w:hAnsi="Times New Roman" w:cs="Times New Roman"/>
        </w:rPr>
        <w:t xml:space="preserve"> markets. Consider a covariance-stationary VAR(</w:t>
      </w:r>
      <m:oMath>
        <m:r>
          <w:rPr>
            <w:rFonts w:ascii="Cambria Math" w:hAnsi="Cambria Math" w:cs="Times New Roman"/>
          </w:rPr>
          <m:t>p</m:t>
        </m:r>
      </m:oMath>
      <w:r w:rsidRPr="00DC64F4">
        <w:rPr>
          <w:rFonts w:ascii="Times New Roman" w:hAnsi="Times New Roman" w:cs="Times New Roman"/>
        </w:rPr>
        <w:t>):</w:t>
      </w:r>
    </w:p>
    <w:p w14:paraId="57F52D1E" w14:textId="6AF5E20E" w:rsidR="00FF5AEC" w:rsidRPr="00DC64F4" w:rsidRDefault="00000000" w:rsidP="00AA4E34">
      <w:pPr>
        <w:pStyle w:val="BodyText"/>
        <w:spacing w:line="360" w:lineRule="auto"/>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k</m:t>
                </m:r>
              </m:sub>
            </m:sSub>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t</m:t>
            </m:r>
          </m:sub>
        </m:sSub>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t</m:t>
            </m:r>
          </m:sub>
        </m:sSub>
        <m:r>
          <m:rPr>
            <m:sty m:val="p"/>
          </m:rPr>
          <w:rPr>
            <w:rFonts w:ascii="Cambria Math" w:hAnsi="Cambria Math" w:cs="Times New Roman"/>
          </w:rPr>
          <m:t>∼(0,</m:t>
        </m:r>
        <m:r>
          <w:rPr>
            <w:rFonts w:ascii="Cambria Math" w:hAnsi="Cambria Math" w:cs="Times New Roman"/>
          </w:rPr>
          <m:t>Σ</m:t>
        </m:r>
        <m:r>
          <m:rPr>
            <m:sty m:val="p"/>
          </m:rPr>
          <w:rPr>
            <w:rFonts w:ascii="Cambria Math" w:hAnsi="Cambria Math" w:cs="Times New Roman"/>
          </w:rPr>
          <m:t>),</m:t>
        </m:r>
      </m:oMath>
      <w:r w:rsidR="00AA4E34" w:rsidRPr="00DC64F4">
        <w:rPr>
          <w:rFonts w:ascii="Times New Roman" w:hAnsi="Times New Roman" w:cs="Times New Roman"/>
        </w:rPr>
        <w:t xml:space="preserve"> </w:t>
      </w:r>
      <w:r w:rsidR="00AA4E34" w:rsidRPr="00DC64F4">
        <w:rPr>
          <w:rFonts w:ascii="Times New Roman" w:hAnsi="Times New Roman" w:cs="Times New Roman"/>
        </w:rPr>
        <w:tab/>
      </w:r>
      <w:r w:rsidR="00AA4E34" w:rsidRPr="00DC64F4">
        <w:rPr>
          <w:rFonts w:ascii="Times New Roman" w:hAnsi="Times New Roman" w:cs="Times New Roman"/>
        </w:rPr>
        <w:tab/>
      </w:r>
      <w:r w:rsidR="00AA4E34" w:rsidRPr="00DC64F4">
        <w:rPr>
          <w:rFonts w:ascii="Times New Roman" w:hAnsi="Times New Roman" w:cs="Times New Roman"/>
        </w:rPr>
        <w:tab/>
      </w:r>
      <w:r w:rsidR="00AA4E34" w:rsidRPr="00DC64F4">
        <w:rPr>
          <w:rFonts w:ascii="Times New Roman" w:hAnsi="Times New Roman" w:cs="Times New Roman"/>
        </w:rPr>
        <w:tab/>
        <w:t>(3)</w:t>
      </w:r>
    </w:p>
    <w:p w14:paraId="73D0BB2D" w14:textId="4ECEEF7B"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where the lag length </w:t>
      </w:r>
      <m:oMath>
        <m:r>
          <w:rPr>
            <w:rFonts w:ascii="Cambria Math" w:hAnsi="Cambria Math" w:cs="Times New Roman"/>
          </w:rPr>
          <m:t>p</m:t>
        </m:r>
      </m:oMath>
      <w:r w:rsidRPr="00DC64F4">
        <w:rPr>
          <w:rFonts w:ascii="Times New Roman" w:hAnsi="Times New Roman" w:cs="Times New Roman"/>
        </w:rPr>
        <w:t xml:space="preserve"> is selected using a prespecified information criterion and residual diagnostics. The moving-average representation is</w:t>
      </w:r>
    </w:p>
    <w:p w14:paraId="29A9A10A" w14:textId="6C4D12A3" w:rsidR="00FF5AEC" w:rsidRPr="00DC64F4" w:rsidRDefault="00000000" w:rsidP="009108AE">
      <w:pPr>
        <w:pStyle w:val="BodyText"/>
        <w:tabs>
          <w:tab w:val="left" w:pos="5310"/>
        </w:tabs>
        <w:spacing w:line="360" w:lineRule="auto"/>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=0</m:t>
            </m:r>
          </m:sub>
          <m:sup>
            <m:r>
              <m:rPr>
                <m:sty m:val="p"/>
              </m:rP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h</m:t>
                </m:r>
              </m:sub>
            </m:sSub>
          </m:e>
        </m:nary>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r>
          <m:rPr>
            <m:sty m:val="p"/>
          </m:rPr>
          <w:rPr>
            <w:rFonts w:ascii="Cambria Math" w:hAnsi="Cambria Math" w:cs="Times New Roman"/>
          </w:rPr>
          <m:t>,</m:t>
        </m:r>
      </m:oMath>
      <w:r w:rsidR="009108AE" w:rsidRPr="00DC64F4">
        <w:rPr>
          <w:rFonts w:ascii="Times New Roman" w:hAnsi="Times New Roman" w:cs="Times New Roman"/>
        </w:rPr>
        <w:tab/>
        <w:t>(4)</w:t>
      </w:r>
    </w:p>
    <w:p w14:paraId="6B93C17D" w14:textId="510D5BD5"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with </w:t>
      </w: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I</m:t>
        </m:r>
      </m:oMath>
      <w:r w:rsidRPr="00DC64F4">
        <w:rPr>
          <w:rFonts w:ascii="Times New Roman" w:hAnsi="Times New Roman" w:cs="Times New Roman"/>
        </w:rPr>
        <w:t xml:space="preserve"> and recursively defined coefficient matrices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h</m:t>
            </m:r>
          </m:sub>
        </m:sSub>
      </m:oMath>
      <w:r w:rsidRPr="00DC64F4">
        <w:rPr>
          <w:rFonts w:ascii="Times New Roman" w:hAnsi="Times New Roman" w:cs="Times New Roman"/>
        </w:rPr>
        <w:t>.</w:t>
      </w:r>
    </w:p>
    <w:p w14:paraId="1E72D5D8" w14:textId="711B527C"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lastRenderedPageBreak/>
        <w:t xml:space="preserve">Following Pesaran and Shin (1998) and Diebold and Yilmaz (2012), the generalized </w:t>
      </w:r>
      <m:oMath>
        <m:r>
          <w:rPr>
            <w:rFonts w:ascii="Cambria Math" w:hAnsi="Cambria Math" w:cs="Times New Roman"/>
          </w:rPr>
          <m:t>H</m:t>
        </m:r>
      </m:oMath>
      <w:r w:rsidRPr="00DC64F4">
        <w:rPr>
          <w:rFonts w:ascii="Times New Roman" w:hAnsi="Times New Roman" w:cs="Times New Roman"/>
        </w:rPr>
        <w:t xml:space="preserve">-step-ahead forecast-error variance contribution of shocks in market </w:t>
      </w:r>
      <m:oMath>
        <m:r>
          <w:rPr>
            <w:rFonts w:ascii="Cambria Math" w:hAnsi="Cambria Math" w:cs="Times New Roman"/>
          </w:rPr>
          <m:t>j</m:t>
        </m:r>
      </m:oMath>
      <w:r w:rsidRPr="00DC64F4">
        <w:rPr>
          <w:rFonts w:ascii="Times New Roman" w:hAnsi="Times New Roman" w:cs="Times New Roman"/>
        </w:rPr>
        <w:t xml:space="preserve"> to the forecast-error variance of market </w:t>
      </w:r>
      <m:oMath>
        <m:r>
          <w:rPr>
            <w:rFonts w:ascii="Cambria Math" w:hAnsi="Cambria Math" w:cs="Times New Roman"/>
          </w:rPr>
          <m:t>i</m:t>
        </m:r>
      </m:oMath>
      <w:r w:rsidRPr="00DC64F4">
        <w:rPr>
          <w:rFonts w:ascii="Times New Roman" w:hAnsi="Times New Roman" w:cs="Times New Roman"/>
        </w:rPr>
        <w:t xml:space="preserve"> is</w:t>
      </w:r>
    </w:p>
    <w:p w14:paraId="368275A5" w14:textId="458A5828" w:rsidR="00FF5AEC" w:rsidRPr="00DC64F4" w:rsidRDefault="00000000" w:rsidP="009108AE">
      <w:pPr>
        <w:pStyle w:val="BodyText"/>
        <w:tabs>
          <w:tab w:val="left" w:pos="5760"/>
        </w:tabs>
        <w:spacing w:line="360" w:lineRule="auto"/>
        <w:jc w:val="right"/>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ij</m:t>
            </m:r>
          </m:sub>
          <m:sup>
            <m:r>
              <w:rPr>
                <w:rFonts w:ascii="Cambria Math" w:hAnsi="Cambria Math" w:cs="Times New Roman"/>
              </w:rPr>
              <m:t>g</m:t>
            </m:r>
          </m:sup>
        </m:sSubSup>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jj</m:t>
                </m:r>
              </m:sub>
              <m:sup>
                <m:r>
                  <m:rPr>
                    <m:sty m:val="p"/>
                  </m:rPr>
                  <w:rPr>
                    <w:rFonts w:ascii="Cambria Math" w:hAnsi="Cambria Math" w:cs="Times New Roman"/>
                  </w:rPr>
                  <m:t>-1</m:t>
                </m:r>
              </m:sup>
            </m:sSubSup>
            <m:nary>
              <m:naryPr>
                <m:chr m:val="∑"/>
                <m:limLoc m:val="undOvr"/>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=0</m:t>
                </m:r>
              </m:sub>
              <m:sup>
                <m:r>
                  <w:rPr>
                    <w:rFonts w:ascii="Cambria Math" w:hAnsi="Cambria Math" w:cs="Times New Roman"/>
                  </w:rPr>
                  <m:t>H</m:t>
                </m:r>
                <m:r>
                  <m:rPr>
                    <m:sty m:val="p"/>
                  </m:rPr>
                  <w:rPr>
                    <w:rFonts w:ascii="Cambria Math" w:hAnsi="Cambria Math" w:cs="Times New Roman"/>
                  </w:rPr>
                  <m:t>-1</m:t>
                </m:r>
              </m:sup>
              <m:e>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r>
                              <m:rPr>
                                <m:sty m:val="p"/>
                              </m:rP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h</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e>
                    </m:d>
                  </m:e>
                  <m:sup>
                    <m:r>
                      <m:rPr>
                        <m:sty m:val="p"/>
                      </m:rPr>
                      <w:rPr>
                        <w:rFonts w:ascii="Cambria Math" w:hAnsi="Cambria Math" w:cs="Times New Roman"/>
                      </w:rPr>
                      <m:t>2</m:t>
                    </m:r>
                  </m:sup>
                </m:sSup>
              </m:e>
            </m:nary>
          </m:num>
          <m:den>
            <m:nary>
              <m:naryPr>
                <m:chr m:val="∑"/>
                <m:limLoc m:val="undOvr"/>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=0</m:t>
                </m:r>
              </m:sub>
              <m:sup>
                <m:r>
                  <w:rPr>
                    <w:rFonts w:ascii="Cambria Math" w:hAnsi="Cambria Math" w:cs="Times New Roman"/>
                  </w:rPr>
                  <m:t>H</m:t>
                </m:r>
                <m:r>
                  <m:rPr>
                    <m:sty m:val="p"/>
                  </m:rPr>
                  <w:rPr>
                    <w:rFonts w:ascii="Cambria Math" w:hAnsi="Cambria Math" w:cs="Times New Roman"/>
                  </w:rPr>
                  <m:t>-1</m:t>
                </m:r>
              </m:sup>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m:t>
                    </m:r>
                  </m:sub>
                  <m:sup>
                    <m:r>
                      <m:rPr>
                        <m:sty m:val="p"/>
                      </m:rPr>
                      <w:rPr>
                        <w:rFonts w:ascii="Cambria Math" w:hAnsi="Cambria Math" w:cs="Times New Roman"/>
                      </w:rPr>
                      <m:t>'</m:t>
                    </m:r>
                  </m:sup>
                </m:sSubSup>
              </m:e>
            </m:nary>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h</m:t>
                </m:r>
              </m:sub>
            </m:sSub>
            <m:r>
              <w:rPr>
                <w:rFonts w:ascii="Cambria Math" w:hAnsi="Cambria Math" w:cs="Times New Roman"/>
              </w:rPr>
              <m:t>Σ</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h</m:t>
                </m:r>
              </m:sub>
              <m:sup>
                <m:r>
                  <m:rPr>
                    <m:sty m:val="p"/>
                  </m:rP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den>
        </m:f>
        <m:r>
          <m:rPr>
            <m:sty m:val="p"/>
          </m:rPr>
          <w:rPr>
            <w:rFonts w:ascii="Cambria Math" w:hAnsi="Cambria Math" w:cs="Times New Roman"/>
          </w:rPr>
          <m:t>,</m:t>
        </m:r>
      </m:oMath>
      <w:r w:rsidR="009108AE" w:rsidRPr="00DC64F4">
        <w:rPr>
          <w:rFonts w:ascii="Times New Roman" w:hAnsi="Times New Roman" w:cs="Times New Roman"/>
        </w:rPr>
        <w:tab/>
        <w:t>(5)</w:t>
      </w:r>
    </w:p>
    <w:p w14:paraId="45E7FAEE" w14:textId="523E9BBA"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Pr="00DC64F4">
        <w:rPr>
          <w:rFonts w:ascii="Times New Roman" w:hAnsi="Times New Roman" w:cs="Times New Roman"/>
        </w:rPr>
        <w:t xml:space="preserve"> is a selection vector with one in position </w:t>
      </w:r>
      <m:oMath>
        <m:r>
          <w:rPr>
            <w:rFonts w:ascii="Cambria Math" w:hAnsi="Cambria Math" w:cs="Times New Roman"/>
          </w:rPr>
          <m:t>i</m:t>
        </m:r>
      </m:oMath>
      <w:r w:rsidRPr="00DC64F4">
        <w:rPr>
          <w:rFonts w:ascii="Times New Roman" w:hAnsi="Times New Roman" w:cs="Times New Roman"/>
        </w:rPr>
        <w:t xml:space="preserve"> and zeros elsewhere, and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jj</m:t>
            </m:r>
          </m:sub>
        </m:sSub>
      </m:oMath>
      <w:r w:rsidRPr="00DC64F4">
        <w:rPr>
          <w:rFonts w:ascii="Times New Roman" w:hAnsi="Times New Roman" w:cs="Times New Roman"/>
        </w:rPr>
        <w:t xml:space="preserve"> is the </w:t>
      </w:r>
      <m:oMath>
        <m:r>
          <w:rPr>
            <w:rFonts w:ascii="Cambria Math" w:hAnsi="Cambria Math" w:cs="Times New Roman"/>
          </w:rPr>
          <m:t>j</m:t>
        </m:r>
      </m:oMath>
      <w:r w:rsidRPr="00DC64F4">
        <w:rPr>
          <w:rFonts w:ascii="Times New Roman" w:hAnsi="Times New Roman" w:cs="Times New Roman"/>
        </w:rPr>
        <w:t xml:space="preserve">th diagonal element of </w:t>
      </w:r>
      <m:oMath>
        <m:r>
          <w:rPr>
            <w:rFonts w:ascii="Cambria Math" w:hAnsi="Cambria Math" w:cs="Times New Roman"/>
          </w:rPr>
          <m:t>Σ</m:t>
        </m:r>
      </m:oMath>
      <w:r w:rsidRPr="00DC64F4">
        <w:rPr>
          <w:rFonts w:ascii="Times New Roman" w:hAnsi="Times New Roman" w:cs="Times New Roman"/>
        </w:rPr>
        <w:t>. Generalized shocks are not orthogonal, so row sums need not equal one. The contributions are normalized as</w:t>
      </w:r>
    </w:p>
    <w:p w14:paraId="6F925AF1" w14:textId="61027D51" w:rsidR="00FF5AEC" w:rsidRPr="00DC64F4" w:rsidRDefault="00000000" w:rsidP="009108AE">
      <w:pPr>
        <w:pStyle w:val="BodyText"/>
        <w:tabs>
          <w:tab w:val="left" w:pos="5400"/>
        </w:tabs>
        <w:spacing w:line="360" w:lineRule="auto"/>
        <w:jc w:val="right"/>
        <w:rPr>
          <w:rFonts w:ascii="Times New Roman" w:hAnsi="Times New Roman" w:cs="Times New Roman"/>
        </w:rPr>
      </w:pP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ij</m:t>
            </m:r>
          </m:sub>
          <m:sup>
            <m:r>
              <w:rPr>
                <w:rFonts w:ascii="Cambria Math" w:hAnsi="Cambria Math" w:cs="Times New Roman"/>
              </w:rPr>
              <m:t>g</m:t>
            </m:r>
          </m:sup>
        </m:sSubSup>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ij</m:t>
                </m:r>
              </m:sub>
              <m:sup>
                <m:r>
                  <w:rPr>
                    <w:rFonts w:ascii="Cambria Math" w:hAnsi="Cambria Math" w:cs="Times New Roman"/>
                  </w:rPr>
                  <m:t>g</m:t>
                </m:r>
              </m:sup>
            </m:sSubSup>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num>
          <m:den>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ij</m:t>
                    </m:r>
                  </m:sub>
                  <m:sup>
                    <m:r>
                      <w:rPr>
                        <w:rFonts w:ascii="Cambria Math" w:hAnsi="Cambria Math" w:cs="Times New Roman"/>
                      </w:rPr>
                      <m:t>g</m:t>
                    </m:r>
                  </m:sup>
                </m:sSubSup>
              </m:e>
            </m:nary>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den>
        </m:f>
        <m:r>
          <m:rPr>
            <m:sty m:val="p"/>
          </m:rPr>
          <w:rPr>
            <w:rFonts w:ascii="Cambria Math" w:hAnsi="Cambria Math" w:cs="Times New Roman"/>
          </w:rPr>
          <m:t>.</m:t>
        </m:r>
      </m:oMath>
      <w:r w:rsidR="009108AE" w:rsidRPr="00DC64F4">
        <w:rPr>
          <w:rFonts w:ascii="Times New Roman" w:hAnsi="Times New Roman" w:cs="Times New Roman"/>
        </w:rPr>
        <w:tab/>
        <w:t>(6)</w:t>
      </w:r>
    </w:p>
    <w:p w14:paraId="5CB7D1A0" w14:textId="77777777"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The total connectedness index (TCI) is the average share of forecast-error variation originating outside the market itself:</w:t>
      </w:r>
    </w:p>
    <w:p w14:paraId="12F1CD8E" w14:textId="51EEC209" w:rsidR="00FF5AEC" w:rsidRPr="00DC64F4" w:rsidRDefault="00D95E50" w:rsidP="00346139">
      <w:pPr>
        <w:pStyle w:val="BodyText"/>
        <w:tabs>
          <w:tab w:val="left" w:pos="5940"/>
        </w:tabs>
        <w:spacing w:line="360" w:lineRule="auto"/>
        <w:jc w:val="right"/>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)=100×</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m>
              <m:mPr>
                <m:plcHide m:val="1"/>
                <m:mcs>
                  <m:mc>
                    <m:mcPr>
                      <m:count m:val="1"/>
                      <m:mcJc m:val="center"/>
                    </m:mcPr>
                  </m:mc>
                </m:mcs>
                <m:ctrlPr>
                  <w:rPr>
                    <w:rFonts w:ascii="Cambria Math" w:hAnsi="Cambria Math" w:cs="Times New Roman"/>
                  </w:rPr>
                </m:ctrlPr>
              </m:mPr>
              <m:m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m:t>
                  </m:r>
                </m:e>
              </m:mr>
              <m:m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e>
              </m:mr>
            </m:m>
          </m:sub>
          <m:sup>
            <m:r>
              <w:rPr>
                <w:rFonts w:ascii="Cambria Math" w:hAnsi="Cambria Math" w:cs="Times New Roman"/>
              </w:rPr>
              <m:t>N</m:t>
            </m:r>
          </m:sup>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ij</m:t>
                </m:r>
              </m:sub>
              <m:sup>
                <m:r>
                  <w:rPr>
                    <w:rFonts w:ascii="Cambria Math" w:hAnsi="Cambria Math" w:cs="Times New Roman"/>
                  </w:rPr>
                  <m:t>g</m:t>
                </m:r>
              </m:sup>
            </m:sSubSup>
          </m:e>
        </m:nary>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oMath>
      <w:r w:rsidR="00346139" w:rsidRPr="00DC64F4">
        <w:rPr>
          <w:rFonts w:ascii="Times New Roman" w:hAnsi="Times New Roman" w:cs="Times New Roman"/>
        </w:rPr>
        <w:tab/>
        <w:t>(7)</w:t>
      </w:r>
    </w:p>
    <w:p w14:paraId="61677FAD" w14:textId="656869FB"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Directional connectedness received by market </w:t>
      </w:r>
      <m:oMath>
        <m:r>
          <w:rPr>
            <w:rFonts w:ascii="Cambria Math" w:hAnsi="Cambria Math" w:cs="Times New Roman"/>
          </w:rPr>
          <m:t>i</m:t>
        </m:r>
      </m:oMath>
      <w:r w:rsidRPr="00DC64F4">
        <w:rPr>
          <w:rFonts w:ascii="Times New Roman" w:hAnsi="Times New Roman" w:cs="Times New Roman"/>
        </w:rPr>
        <w:t xml:space="preserve"> from all other markets is</w:t>
      </w:r>
    </w:p>
    <w:p w14:paraId="5A99E770" w14:textId="481CD9C9" w:rsidR="00FF5AEC" w:rsidRPr="00DC64F4" w:rsidRDefault="00000000" w:rsidP="00A9659F">
      <w:pPr>
        <w:pStyle w:val="BodyText"/>
        <w:tabs>
          <w:tab w:val="left" w:pos="5940"/>
        </w:tabs>
        <w:spacing w:line="360" w:lineRule="auto"/>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)=100×</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r>
              <m:rPr>
                <m:sty m:val="p"/>
              </m:rPr>
              <w:rPr>
                <w:rFonts w:ascii="Cambria Math" w:hAnsi="Cambria Math" w:cs="Times New Roman"/>
              </w:rPr>
              <m:t>​</m:t>
            </m:r>
          </m:sup>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ij</m:t>
                </m:r>
              </m:sub>
              <m:sup>
                <m:r>
                  <w:rPr>
                    <w:rFonts w:ascii="Cambria Math" w:hAnsi="Cambria Math" w:cs="Times New Roman"/>
                  </w:rPr>
                  <m:t>g</m:t>
                </m:r>
              </m:sup>
            </m:sSubSup>
          </m:e>
        </m:nary>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oMath>
      <w:r w:rsidR="00A9659F" w:rsidRPr="00DC64F4">
        <w:rPr>
          <w:rFonts w:ascii="Times New Roman" w:hAnsi="Times New Roman" w:cs="Times New Roman"/>
        </w:rPr>
        <w:tab/>
        <w:t>(8)</w:t>
      </w:r>
    </w:p>
    <w:p w14:paraId="5D509A7D" w14:textId="5972BEF9"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and directional connectedness transmitted to all other markets by market </w:t>
      </w:r>
      <m:oMath>
        <m:r>
          <w:rPr>
            <w:rFonts w:ascii="Cambria Math" w:hAnsi="Cambria Math" w:cs="Times New Roman"/>
          </w:rPr>
          <m:t>i</m:t>
        </m:r>
      </m:oMath>
      <w:r w:rsidRPr="00DC64F4">
        <w:rPr>
          <w:rFonts w:ascii="Times New Roman" w:hAnsi="Times New Roman" w:cs="Times New Roman"/>
        </w:rPr>
        <w:t xml:space="preserve"> is</w:t>
      </w:r>
    </w:p>
    <w:p w14:paraId="78438F57" w14:textId="4D541693" w:rsidR="00FF5AEC" w:rsidRPr="00DC64F4" w:rsidRDefault="00000000" w:rsidP="00A9659F">
      <w:pPr>
        <w:pStyle w:val="BodyText"/>
        <w:tabs>
          <w:tab w:val="left" w:pos="5940"/>
        </w:tabs>
        <w:spacing w:line="360" w:lineRule="auto"/>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)=100×</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r>
              <m:rPr>
                <m:sty m:val="p"/>
              </m:rPr>
              <w:rPr>
                <w:rFonts w:ascii="Cambria Math" w:hAnsi="Cambria Math" w:cs="Times New Roman"/>
              </w:rPr>
              <m:t>​</m:t>
            </m:r>
          </m:sup>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ji</m:t>
                </m:r>
              </m:sub>
              <m:sup>
                <m:r>
                  <w:rPr>
                    <w:rFonts w:ascii="Cambria Math" w:hAnsi="Cambria Math" w:cs="Times New Roman"/>
                  </w:rPr>
                  <m:t>g</m:t>
                </m:r>
              </m:sup>
            </m:sSubSup>
          </m:e>
        </m:nary>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oMath>
      <w:r w:rsidR="00A9659F" w:rsidRPr="00DC64F4">
        <w:rPr>
          <w:rFonts w:ascii="Times New Roman" w:hAnsi="Times New Roman" w:cs="Times New Roman"/>
        </w:rPr>
        <w:tab/>
        <w:t>(9)</w:t>
      </w:r>
    </w:p>
    <w:p w14:paraId="52DEE5F4" w14:textId="77777777"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Net directional connectedness is</w:t>
      </w:r>
    </w:p>
    <w:p w14:paraId="4C28AA77" w14:textId="62CF7A07" w:rsidR="00FF5AEC" w:rsidRPr="00DC64F4" w:rsidRDefault="00000000" w:rsidP="00C24D66">
      <w:pPr>
        <w:pStyle w:val="BodyText"/>
        <w:tabs>
          <w:tab w:val="left" w:pos="5670"/>
        </w:tabs>
        <w:spacing w:line="360" w:lineRule="auto"/>
        <w:jc w:val="right"/>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i</m:t>
            </m:r>
          </m:sub>
          <m:sup>
            <m:r>
              <w:rPr>
                <w:rFonts w:ascii="Cambria Math" w:hAnsi="Cambria Math" w:cs="Times New Roman"/>
              </w:rPr>
              <m:t>net</m:t>
            </m:r>
          </m:sup>
        </m:sSubSup>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oMath>
      <w:r w:rsidR="00C24D66" w:rsidRPr="00DC64F4">
        <w:rPr>
          <w:rFonts w:ascii="Times New Roman" w:hAnsi="Times New Roman" w:cs="Times New Roman"/>
        </w:rPr>
        <w:tab/>
        <w:t>(10)</w:t>
      </w:r>
    </w:p>
    <w:p w14:paraId="4F20757D" w14:textId="68158BED"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A positive value identifies a net transmitter of volatility, whereas a negative value identifies a net receiver. Net pairwise directional connectedness between markets </w:t>
      </w:r>
      <m:oMath>
        <m:r>
          <w:rPr>
            <w:rFonts w:ascii="Cambria Math" w:hAnsi="Cambria Math" w:cs="Times New Roman"/>
          </w:rPr>
          <m:t>i</m:t>
        </m:r>
      </m:oMath>
      <w:r w:rsidRPr="00DC64F4">
        <w:rPr>
          <w:rFonts w:ascii="Times New Roman" w:hAnsi="Times New Roman" w:cs="Times New Roman"/>
        </w:rPr>
        <w:t xml:space="preserve"> and </w:t>
      </w:r>
      <m:oMath>
        <m:r>
          <w:rPr>
            <w:rFonts w:ascii="Cambria Math" w:hAnsi="Cambria Math" w:cs="Times New Roman"/>
          </w:rPr>
          <m:t>j</m:t>
        </m:r>
      </m:oMath>
      <w:r w:rsidRPr="00DC64F4">
        <w:rPr>
          <w:rFonts w:ascii="Times New Roman" w:hAnsi="Times New Roman" w:cs="Times New Roman"/>
        </w:rPr>
        <w:t xml:space="preserve"> will also be reported to identify the strongest bilateral channels.</w:t>
      </w:r>
    </w:p>
    <w:p w14:paraId="2B482995"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12" w:name="dynamic-estimation"/>
      <w:bookmarkEnd w:id="11"/>
      <w:r w:rsidRPr="00DC64F4">
        <w:rPr>
          <w:rStyle w:val="SectionNumber"/>
          <w:rFonts w:ascii="Times New Roman" w:hAnsi="Times New Roman" w:cs="Times New Roman"/>
          <w:b/>
          <w:bCs/>
          <w:color w:val="auto"/>
          <w:sz w:val="24"/>
          <w:szCs w:val="24"/>
        </w:rPr>
        <w:lastRenderedPageBreak/>
        <w:t>4.2</w:t>
      </w:r>
      <w:r w:rsidRPr="00DC64F4">
        <w:rPr>
          <w:rFonts w:ascii="Times New Roman" w:hAnsi="Times New Roman" w:cs="Times New Roman"/>
          <w:b/>
          <w:bCs/>
          <w:color w:val="auto"/>
          <w:sz w:val="24"/>
          <w:szCs w:val="24"/>
        </w:rPr>
        <w:tab/>
        <w:t>Dynamic estimation</w:t>
      </w:r>
    </w:p>
    <w:p w14:paraId="5F1508D6" w14:textId="24EFE3E0" w:rsidR="00860252" w:rsidRPr="00DC64F4" w:rsidRDefault="00000000" w:rsidP="00A02F06">
      <w:pPr>
        <w:pStyle w:val="FirstParagraph"/>
        <w:spacing w:line="360" w:lineRule="auto"/>
        <w:jc w:val="both"/>
        <w:rPr>
          <w:rFonts w:ascii="Times New Roman" w:hAnsi="Times New Roman" w:cs="Times New Roman"/>
        </w:rPr>
      </w:pPr>
      <w:r w:rsidRPr="00DC64F4">
        <w:rPr>
          <w:rFonts w:ascii="Times New Roman" w:hAnsi="Times New Roman" w:cs="Times New Roman"/>
        </w:rPr>
        <w:t>The baseline VAR uses the Bayesian information criterion, which selects three lags for log Parkinson volatility. Dynamic connectedness is estimated over a 250-observation rolling window with a 10-day forecast horizon, producing 3,094 daily TCI observations. Robustness tests use 200 and 300-day windows, 5 and 20-day horizons, and fixed lag orders of one through three. Weekly models use equivalent windows of 40, 50, and 60 weeks and horizons of one, two, and four weeks.</w:t>
      </w:r>
    </w:p>
    <w:p w14:paraId="0691FCEB"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13" w:name="testing-shock-related-changes"/>
      <w:bookmarkEnd w:id="12"/>
      <w:r w:rsidRPr="00DC64F4">
        <w:rPr>
          <w:rStyle w:val="SectionNumber"/>
          <w:rFonts w:ascii="Times New Roman" w:hAnsi="Times New Roman" w:cs="Times New Roman"/>
          <w:b/>
          <w:bCs/>
          <w:color w:val="auto"/>
          <w:sz w:val="24"/>
          <w:szCs w:val="24"/>
        </w:rPr>
        <w:t>4.3</w:t>
      </w:r>
      <w:r w:rsidRPr="00DC64F4">
        <w:rPr>
          <w:rFonts w:ascii="Times New Roman" w:hAnsi="Times New Roman" w:cs="Times New Roman"/>
          <w:b/>
          <w:bCs/>
          <w:color w:val="auto"/>
          <w:sz w:val="24"/>
          <w:szCs w:val="24"/>
        </w:rPr>
        <w:tab/>
        <w:t>Testing shock-related changes</w:t>
      </w:r>
    </w:p>
    <w:p w14:paraId="29A07F2A" w14:textId="77777777"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The first test compares the mean and median TCI during each prespecified shock window with its tranquil-period benchmark. Statistical uncertainty is evaluated with moving-block bootstrap intervals using feasible block lengths of 10 and 20 trading days (Künsch, 1989). A positive difference whose bootstrap interval excludes zero is described as a shock-associated increase in connectedness. This terminology is deliberately more cautious than claiming that the event causally generated contagion.</w:t>
      </w:r>
    </w:p>
    <w:p w14:paraId="0D3B4627"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The second analysis relates the dynamic TCI to continuous uncertainty measures:</w:t>
      </w:r>
    </w:p>
    <w:p w14:paraId="35FEFC1E" w14:textId="4E3A8282" w:rsidR="00FF5AEC" w:rsidRPr="00DC64F4" w:rsidRDefault="00000000" w:rsidP="001D2CB6">
      <w:pPr>
        <w:pStyle w:val="BodyText"/>
        <w:tabs>
          <w:tab w:val="left" w:pos="6750"/>
        </w:tabs>
        <w:spacing w:line="360" w:lineRule="auto"/>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GPR</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VIX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3</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Oil</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4</m:t>
            </m:r>
          </m:sub>
        </m:sSub>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m:rPr>
            <m:sty m:val="p"/>
          </m:rPr>
          <w:rPr>
            <w:rFonts w:ascii="Cambria Math" w:hAnsi="Cambria Math" w:cs="Times New Roman"/>
          </w:rPr>
          <m:t>,</m:t>
        </m:r>
      </m:oMath>
      <w:r w:rsidR="001D2CB6" w:rsidRPr="00DC64F4">
        <w:rPr>
          <w:rFonts w:ascii="Times New Roman" w:hAnsi="Times New Roman" w:cs="Times New Roman"/>
        </w:rPr>
        <w:tab/>
        <w:t>(11)</w:t>
      </w:r>
    </w:p>
    <w:p w14:paraId="4B5F58EB" w14:textId="40550CFD" w:rsidR="00661C75" w:rsidRPr="00DC64F4" w:rsidRDefault="00000000" w:rsidP="00573C2D">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oMath>
      <w:r w:rsidRPr="00DC64F4">
        <w:rPr>
          <w:rFonts w:ascii="Times New Roman" w:hAnsi="Times New Roman" w:cs="Times New Roman"/>
        </w:rPr>
        <w:t xml:space="preserve"> contains monthly changes in the broad dollar index, S&amp;P 500, and two-year US Treasury yield. Equation</w:t>
      </w:r>
      <w:r w:rsidR="001D2CB6" w:rsidRPr="00DC64F4">
        <w:rPr>
          <w:rFonts w:ascii="Times New Roman" w:hAnsi="Times New Roman" w:cs="Times New Roman"/>
        </w:rPr>
        <w:t xml:space="preserve"> (11)</w:t>
      </w:r>
      <w:r w:rsidRPr="00DC64F4">
        <w:rPr>
          <w:rFonts w:ascii="Times New Roman" w:hAnsi="Times New Roman" w:cs="Times New Roman"/>
        </w:rPr>
        <w:t xml:space="preserve"> is estimated on 185 month-end observations. Heteroskedasticity- and autocorrelation-consistent standard errors use 12 Newey–West lags to accommodate the dependence induced by overlapping rolling windows (Newey and West, 1987). The coefficients are interpreted as conditional associations rather than causal effects.</w:t>
      </w:r>
    </w:p>
    <w:p w14:paraId="2B8406D1" w14:textId="77777777" w:rsidR="00FF5AEC" w:rsidRPr="00DC64F4" w:rsidRDefault="00000000" w:rsidP="002B6539">
      <w:pPr>
        <w:pStyle w:val="Heading1"/>
        <w:spacing w:line="360" w:lineRule="auto"/>
        <w:jc w:val="both"/>
        <w:rPr>
          <w:rFonts w:ascii="Times New Roman" w:hAnsi="Times New Roman" w:cs="Times New Roman"/>
          <w:b/>
          <w:bCs/>
          <w:color w:val="auto"/>
          <w:sz w:val="24"/>
          <w:szCs w:val="24"/>
        </w:rPr>
      </w:pPr>
      <w:bookmarkStart w:id="14" w:name="sec:results"/>
      <w:bookmarkEnd w:id="10"/>
      <w:bookmarkEnd w:id="13"/>
      <w:r w:rsidRPr="00DC64F4">
        <w:rPr>
          <w:rStyle w:val="SectionNumber"/>
          <w:rFonts w:ascii="Times New Roman" w:hAnsi="Times New Roman" w:cs="Times New Roman"/>
          <w:b/>
          <w:bCs/>
          <w:color w:val="auto"/>
          <w:sz w:val="24"/>
          <w:szCs w:val="24"/>
        </w:rPr>
        <w:t>5</w:t>
      </w:r>
      <w:r w:rsidRPr="00DC64F4">
        <w:rPr>
          <w:rFonts w:ascii="Times New Roman" w:hAnsi="Times New Roman" w:cs="Times New Roman"/>
          <w:b/>
          <w:bCs/>
          <w:color w:val="auto"/>
          <w:sz w:val="24"/>
          <w:szCs w:val="24"/>
        </w:rPr>
        <w:tab/>
        <w:t>Results and Discussion</w:t>
      </w:r>
    </w:p>
    <w:p w14:paraId="03065A85"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15" w:name="preliminary-analysis"/>
      <w:r w:rsidRPr="00DC64F4">
        <w:rPr>
          <w:rStyle w:val="SectionNumber"/>
          <w:rFonts w:ascii="Times New Roman" w:hAnsi="Times New Roman" w:cs="Times New Roman"/>
          <w:b/>
          <w:bCs/>
          <w:color w:val="auto"/>
          <w:sz w:val="24"/>
          <w:szCs w:val="24"/>
        </w:rPr>
        <w:t>5.1</w:t>
      </w:r>
      <w:r w:rsidRPr="00DC64F4">
        <w:rPr>
          <w:rFonts w:ascii="Times New Roman" w:hAnsi="Times New Roman" w:cs="Times New Roman"/>
          <w:b/>
          <w:bCs/>
          <w:color w:val="auto"/>
          <w:sz w:val="24"/>
          <w:szCs w:val="24"/>
        </w:rPr>
        <w:tab/>
        <w:t>Preliminary analysis</w:t>
      </w:r>
    </w:p>
    <w:p w14:paraId="25CB4495" w14:textId="569A9D29"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Table </w:t>
      </w:r>
      <w:hyperlink w:anchor="tab:descriptive">
        <w:r w:rsidR="00661C75" w:rsidRPr="00DC64F4">
          <w:rPr>
            <w:rStyle w:val="Hyperlink"/>
            <w:rFonts w:ascii="Times New Roman" w:hAnsi="Times New Roman" w:cs="Times New Roman"/>
            <w:color w:val="auto"/>
          </w:rPr>
          <w:t>4</w:t>
        </w:r>
      </w:hyperlink>
      <w:r w:rsidRPr="00DC64F4">
        <w:rPr>
          <w:rFonts w:ascii="Times New Roman" w:hAnsi="Times New Roman" w:cs="Times New Roman"/>
        </w:rPr>
        <w:t xml:space="preserve"> summarizes daily local-currency returns. Average returns are positive in all six markets, ranging from 0.009% in Malaysia to 0.037% in Vietnam. Vietnam also has the largest unconditional standard deviation (1.331%), followed by the Philippines (1.281%) and Indonesia (1.210%). Every return series is negatively skewed and strongly leptokurtic. Jarque–Bera tests </w:t>
      </w:r>
      <w:r w:rsidRPr="00DC64F4">
        <w:rPr>
          <w:rFonts w:ascii="Times New Roman" w:hAnsi="Times New Roman" w:cs="Times New Roman"/>
        </w:rPr>
        <w:lastRenderedPageBreak/>
        <w:t>reject normality, while augmented Dickey–Fuller tests reject a unit root at conventional levels. The large negative returns observed in each market and the excess kurtosis estimates between 9.13 and 21.04 confirm the importance of modeling volatility rather than relying on Gaussian return assumptions.</w:t>
      </w:r>
    </w:p>
    <w:p w14:paraId="08C5F4F1" w14:textId="77777777" w:rsidR="00F813C3" w:rsidRPr="00DC64F4" w:rsidRDefault="00F813C3" w:rsidP="00F813C3">
      <w:pPr>
        <w:pStyle w:val="BodyText"/>
        <w:rPr>
          <w:rFonts w:ascii="Times New Roman" w:hAnsi="Times New Roman" w:cs="Times New Roman"/>
        </w:rPr>
      </w:pPr>
    </w:p>
    <w:p w14:paraId="007A38F7" w14:textId="760F905C" w:rsidR="002108D9" w:rsidRPr="00DC64F4" w:rsidRDefault="002108D9" w:rsidP="002108D9">
      <w:pPr>
        <w:pStyle w:val="TableCaption"/>
        <w:spacing w:line="360" w:lineRule="auto"/>
        <w:jc w:val="center"/>
        <w:rPr>
          <w:rFonts w:ascii="Times New Roman" w:hAnsi="Times New Roman" w:cs="Times New Roman"/>
        </w:rPr>
      </w:pPr>
      <w:r w:rsidRPr="00DC64F4">
        <w:rPr>
          <w:rFonts w:ascii="Times New Roman" w:hAnsi="Times New Roman" w:cs="Times New Roman"/>
          <w:b/>
          <w:bCs/>
          <w:i w:val="0"/>
        </w:rPr>
        <w:t xml:space="preserve">Table </w:t>
      </w:r>
      <w:r w:rsidRPr="00DC64F4">
        <w:rPr>
          <w:rFonts w:ascii="Times New Roman" w:hAnsi="Times New Roman" w:cs="Times New Roman"/>
          <w:b/>
          <w:bCs/>
          <w:i w:val="0"/>
        </w:rPr>
        <w:t>4</w:t>
      </w:r>
      <w:r w:rsidRPr="00DC64F4">
        <w:rPr>
          <w:rFonts w:ascii="Times New Roman" w:hAnsi="Times New Roman" w:cs="Times New Roman"/>
          <w:b/>
          <w:bCs/>
          <w:i w:val="0"/>
        </w:rPr>
        <w:t xml:space="preserve">: </w:t>
      </w:r>
      <w:r w:rsidRPr="00DC64F4">
        <w:rPr>
          <w:rFonts w:ascii="Times New Roman" w:hAnsi="Times New Roman" w:cs="Times New Roman"/>
          <w:i w:val="0"/>
        </w:rPr>
        <w:t>Descriptive statistics for daily local-currency returns</w:t>
      </w:r>
    </w:p>
    <w:tbl>
      <w:tblPr>
        <w:tblStyle w:val="Table"/>
        <w:tblW w:w="0" w:type="auto"/>
        <w:jc w:val="center"/>
        <w:tblLook w:val="0020" w:firstRow="1" w:lastRow="0" w:firstColumn="0" w:lastColumn="0" w:noHBand="0" w:noVBand="0"/>
      </w:tblPr>
      <w:tblGrid>
        <w:gridCol w:w="1703"/>
        <w:gridCol w:w="1150"/>
        <w:gridCol w:w="1096"/>
        <w:gridCol w:w="1297"/>
        <w:gridCol w:w="1190"/>
        <w:gridCol w:w="1070"/>
        <w:gridCol w:w="1043"/>
      </w:tblGrid>
      <w:tr w:rsidR="00416B1B" w:rsidRPr="00DC64F4" w14:paraId="435A930E" w14:textId="77777777" w:rsidTr="006D793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57247001" w14:textId="77777777" w:rsidR="00416B1B" w:rsidRPr="00DC64F4" w:rsidRDefault="00416B1B" w:rsidP="000E2391">
            <w:pPr>
              <w:pStyle w:val="Compact"/>
              <w:spacing w:line="360" w:lineRule="auto"/>
              <w:jc w:val="center"/>
              <w:rPr>
                <w:rFonts w:ascii="Times New Roman" w:hAnsi="Times New Roman" w:cs="Times New Roman"/>
              </w:rPr>
            </w:pPr>
          </w:p>
        </w:tc>
        <w:tc>
          <w:tcPr>
            <w:tcW w:w="0" w:type="auto"/>
            <w:tcBorders>
              <w:top w:val="single" w:sz="4" w:space="0" w:color="auto"/>
              <w:bottom w:val="single" w:sz="2" w:space="0" w:color="auto"/>
            </w:tcBorders>
          </w:tcPr>
          <w:p w14:paraId="2BE9B5F9" w14:textId="3B4C371B"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I</w:t>
            </w:r>
            <w:r w:rsidRPr="00DC64F4">
              <w:rPr>
                <w:rFonts w:ascii="Times New Roman" w:hAnsi="Times New Roman" w:cs="Times New Roman"/>
              </w:rPr>
              <w:t>ndonesia</w:t>
            </w:r>
          </w:p>
        </w:tc>
        <w:tc>
          <w:tcPr>
            <w:tcW w:w="0" w:type="auto"/>
            <w:tcBorders>
              <w:top w:val="single" w:sz="4" w:space="0" w:color="auto"/>
              <w:bottom w:val="single" w:sz="2" w:space="0" w:color="auto"/>
            </w:tcBorders>
          </w:tcPr>
          <w:p w14:paraId="3FF6E29B" w14:textId="25F8BD9F"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M</w:t>
            </w:r>
            <w:r w:rsidRPr="00DC64F4">
              <w:rPr>
                <w:rFonts w:ascii="Times New Roman" w:hAnsi="Times New Roman" w:cs="Times New Roman"/>
              </w:rPr>
              <w:t>alaysia</w:t>
            </w:r>
          </w:p>
        </w:tc>
        <w:tc>
          <w:tcPr>
            <w:tcW w:w="0" w:type="auto"/>
            <w:tcBorders>
              <w:top w:val="single" w:sz="4" w:space="0" w:color="auto"/>
              <w:bottom w:val="single" w:sz="2" w:space="0" w:color="auto"/>
            </w:tcBorders>
          </w:tcPr>
          <w:p w14:paraId="7D602348" w14:textId="223807C5"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P</w:t>
            </w:r>
            <w:r w:rsidRPr="00DC64F4">
              <w:rPr>
                <w:rFonts w:ascii="Times New Roman" w:hAnsi="Times New Roman" w:cs="Times New Roman"/>
              </w:rPr>
              <w:t>hilippines</w:t>
            </w:r>
          </w:p>
        </w:tc>
        <w:tc>
          <w:tcPr>
            <w:tcW w:w="0" w:type="auto"/>
            <w:tcBorders>
              <w:top w:val="single" w:sz="4" w:space="0" w:color="auto"/>
              <w:bottom w:val="single" w:sz="2" w:space="0" w:color="auto"/>
            </w:tcBorders>
          </w:tcPr>
          <w:p w14:paraId="6C366C3A" w14:textId="0FD6D8C9"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S</w:t>
            </w:r>
            <w:r w:rsidRPr="00DC64F4">
              <w:rPr>
                <w:rFonts w:ascii="Times New Roman" w:hAnsi="Times New Roman" w:cs="Times New Roman"/>
              </w:rPr>
              <w:t>ingapore</w:t>
            </w:r>
          </w:p>
        </w:tc>
        <w:tc>
          <w:tcPr>
            <w:tcW w:w="0" w:type="auto"/>
            <w:tcBorders>
              <w:top w:val="single" w:sz="4" w:space="0" w:color="auto"/>
              <w:bottom w:val="single" w:sz="2" w:space="0" w:color="auto"/>
            </w:tcBorders>
          </w:tcPr>
          <w:p w14:paraId="7EE2DCA3" w14:textId="17698E16"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T</w:t>
            </w:r>
            <w:r w:rsidRPr="00DC64F4">
              <w:rPr>
                <w:rFonts w:ascii="Times New Roman" w:hAnsi="Times New Roman" w:cs="Times New Roman"/>
              </w:rPr>
              <w:t>hailand</w:t>
            </w:r>
          </w:p>
        </w:tc>
        <w:tc>
          <w:tcPr>
            <w:tcW w:w="0" w:type="auto"/>
            <w:tcBorders>
              <w:top w:val="single" w:sz="4" w:space="0" w:color="auto"/>
              <w:bottom w:val="single" w:sz="2" w:space="0" w:color="auto"/>
            </w:tcBorders>
          </w:tcPr>
          <w:p w14:paraId="603744E3" w14:textId="5E2DA1B9"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V</w:t>
            </w:r>
            <w:r w:rsidRPr="00DC64F4">
              <w:rPr>
                <w:rFonts w:ascii="Times New Roman" w:hAnsi="Times New Roman" w:cs="Times New Roman"/>
              </w:rPr>
              <w:t>ietnam</w:t>
            </w:r>
          </w:p>
        </w:tc>
      </w:tr>
      <w:tr w:rsidR="00416B1B" w:rsidRPr="00DC64F4" w14:paraId="78319174" w14:textId="77777777" w:rsidTr="006D7933">
        <w:trPr>
          <w:jc w:val="center"/>
        </w:trPr>
        <w:tc>
          <w:tcPr>
            <w:tcW w:w="0" w:type="auto"/>
            <w:tcBorders>
              <w:top w:val="single" w:sz="2" w:space="0" w:color="auto"/>
            </w:tcBorders>
          </w:tcPr>
          <w:p w14:paraId="04C84AB8" w14:textId="76CA57F0" w:rsidR="00416B1B" w:rsidRPr="00DC64F4" w:rsidRDefault="00416B1B" w:rsidP="000E2391">
            <w:pPr>
              <w:pStyle w:val="Compact"/>
              <w:spacing w:line="360" w:lineRule="auto"/>
              <w:rPr>
                <w:rFonts w:ascii="Times New Roman" w:hAnsi="Times New Roman" w:cs="Times New Roman"/>
              </w:rPr>
            </w:pPr>
            <w:r w:rsidRPr="00DC64F4">
              <w:rPr>
                <w:rFonts w:ascii="Times New Roman" w:hAnsi="Times New Roman" w:cs="Times New Roman"/>
              </w:rPr>
              <w:t>Observations</w:t>
            </w:r>
          </w:p>
        </w:tc>
        <w:tc>
          <w:tcPr>
            <w:tcW w:w="0" w:type="auto"/>
            <w:tcBorders>
              <w:top w:val="single" w:sz="2" w:space="0" w:color="auto"/>
            </w:tcBorders>
          </w:tcPr>
          <w:p w14:paraId="12E72507" w14:textId="46FE3498"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3,366</w:t>
            </w:r>
          </w:p>
        </w:tc>
        <w:tc>
          <w:tcPr>
            <w:tcW w:w="0" w:type="auto"/>
            <w:tcBorders>
              <w:top w:val="single" w:sz="2" w:space="0" w:color="auto"/>
            </w:tcBorders>
          </w:tcPr>
          <w:p w14:paraId="48842927" w14:textId="2134733A"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3,366</w:t>
            </w:r>
          </w:p>
        </w:tc>
        <w:tc>
          <w:tcPr>
            <w:tcW w:w="0" w:type="auto"/>
            <w:tcBorders>
              <w:top w:val="single" w:sz="2" w:space="0" w:color="auto"/>
            </w:tcBorders>
          </w:tcPr>
          <w:p w14:paraId="112B8C12" w14:textId="743540E6"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3,366</w:t>
            </w:r>
          </w:p>
        </w:tc>
        <w:tc>
          <w:tcPr>
            <w:tcW w:w="0" w:type="auto"/>
            <w:tcBorders>
              <w:top w:val="single" w:sz="2" w:space="0" w:color="auto"/>
            </w:tcBorders>
          </w:tcPr>
          <w:p w14:paraId="4EA94C48" w14:textId="3A07A6AD"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3,366</w:t>
            </w:r>
          </w:p>
        </w:tc>
        <w:tc>
          <w:tcPr>
            <w:tcW w:w="0" w:type="auto"/>
            <w:tcBorders>
              <w:top w:val="single" w:sz="2" w:space="0" w:color="auto"/>
            </w:tcBorders>
          </w:tcPr>
          <w:p w14:paraId="4FE03368" w14:textId="5291FCB5"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3,366</w:t>
            </w:r>
          </w:p>
        </w:tc>
        <w:tc>
          <w:tcPr>
            <w:tcW w:w="0" w:type="auto"/>
            <w:tcBorders>
              <w:top w:val="single" w:sz="2" w:space="0" w:color="auto"/>
            </w:tcBorders>
          </w:tcPr>
          <w:p w14:paraId="67210109" w14:textId="45989EFE"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3,366</w:t>
            </w:r>
          </w:p>
        </w:tc>
      </w:tr>
      <w:tr w:rsidR="00416B1B" w:rsidRPr="00DC64F4" w14:paraId="0B122E66" w14:textId="77777777" w:rsidTr="00416B1B">
        <w:trPr>
          <w:jc w:val="center"/>
        </w:trPr>
        <w:tc>
          <w:tcPr>
            <w:tcW w:w="0" w:type="auto"/>
          </w:tcPr>
          <w:p w14:paraId="20A61185" w14:textId="5328705E" w:rsidR="00416B1B" w:rsidRPr="00DC64F4" w:rsidRDefault="00416B1B" w:rsidP="000E2391">
            <w:pPr>
              <w:pStyle w:val="Compact"/>
              <w:spacing w:line="360" w:lineRule="auto"/>
              <w:rPr>
                <w:rFonts w:ascii="Times New Roman" w:hAnsi="Times New Roman" w:cs="Times New Roman"/>
              </w:rPr>
            </w:pPr>
            <w:r w:rsidRPr="00DC64F4">
              <w:rPr>
                <w:rFonts w:ascii="Times New Roman" w:hAnsi="Times New Roman" w:cs="Times New Roman"/>
              </w:rPr>
              <w:t>Mean</w:t>
            </w:r>
          </w:p>
        </w:tc>
        <w:tc>
          <w:tcPr>
            <w:tcW w:w="0" w:type="auto"/>
          </w:tcPr>
          <w:p w14:paraId="1DFAD0E4" w14:textId="1265DC29"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0.026</w:t>
            </w:r>
          </w:p>
        </w:tc>
        <w:tc>
          <w:tcPr>
            <w:tcW w:w="0" w:type="auto"/>
          </w:tcPr>
          <w:p w14:paraId="3A2C8FCC" w14:textId="1CD9DB62"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0.009</w:t>
            </w:r>
          </w:p>
        </w:tc>
        <w:tc>
          <w:tcPr>
            <w:tcW w:w="0" w:type="auto"/>
          </w:tcPr>
          <w:p w14:paraId="5A955E33" w14:textId="1938277C"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0.023</w:t>
            </w:r>
          </w:p>
        </w:tc>
        <w:tc>
          <w:tcPr>
            <w:tcW w:w="0" w:type="auto"/>
          </w:tcPr>
          <w:p w14:paraId="2F4BA33E" w14:textId="76BBA461"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0.019</w:t>
            </w:r>
          </w:p>
        </w:tc>
        <w:tc>
          <w:tcPr>
            <w:tcW w:w="0" w:type="auto"/>
          </w:tcPr>
          <w:p w14:paraId="03C25DC4" w14:textId="4A31AF60"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0.024</w:t>
            </w:r>
          </w:p>
        </w:tc>
        <w:tc>
          <w:tcPr>
            <w:tcW w:w="0" w:type="auto"/>
          </w:tcPr>
          <w:p w14:paraId="5293CC51" w14:textId="50287DEF"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0.037</w:t>
            </w:r>
          </w:p>
        </w:tc>
      </w:tr>
      <w:tr w:rsidR="00416B1B" w:rsidRPr="00DC64F4" w14:paraId="04B72B2E" w14:textId="77777777" w:rsidTr="00416B1B">
        <w:trPr>
          <w:jc w:val="center"/>
        </w:trPr>
        <w:tc>
          <w:tcPr>
            <w:tcW w:w="0" w:type="auto"/>
          </w:tcPr>
          <w:p w14:paraId="538AB2E7" w14:textId="0DB5C365" w:rsidR="00416B1B" w:rsidRPr="00DC64F4" w:rsidRDefault="00416B1B" w:rsidP="000E2391">
            <w:pPr>
              <w:pStyle w:val="Compact"/>
              <w:spacing w:line="360" w:lineRule="auto"/>
              <w:rPr>
                <w:rFonts w:ascii="Times New Roman" w:hAnsi="Times New Roman" w:cs="Times New Roman"/>
              </w:rPr>
            </w:pPr>
            <w:r w:rsidRPr="00DC64F4">
              <w:rPr>
                <w:rFonts w:ascii="Times New Roman" w:hAnsi="Times New Roman" w:cs="Times New Roman"/>
              </w:rPr>
              <w:t>Std. deviation</w:t>
            </w:r>
          </w:p>
        </w:tc>
        <w:tc>
          <w:tcPr>
            <w:tcW w:w="0" w:type="auto"/>
          </w:tcPr>
          <w:p w14:paraId="0AFE3C6F" w14:textId="230CC114"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1.210</w:t>
            </w:r>
          </w:p>
        </w:tc>
        <w:tc>
          <w:tcPr>
            <w:tcW w:w="0" w:type="auto"/>
          </w:tcPr>
          <w:p w14:paraId="5661331B" w14:textId="4FE0D374"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0.724</w:t>
            </w:r>
          </w:p>
        </w:tc>
        <w:tc>
          <w:tcPr>
            <w:tcW w:w="0" w:type="auto"/>
          </w:tcPr>
          <w:p w14:paraId="69F28945" w14:textId="6CE00776"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1.281</w:t>
            </w:r>
          </w:p>
        </w:tc>
        <w:tc>
          <w:tcPr>
            <w:tcW w:w="0" w:type="auto"/>
          </w:tcPr>
          <w:p w14:paraId="1888FC94" w14:textId="32C1D124"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0.933</w:t>
            </w:r>
          </w:p>
        </w:tc>
        <w:tc>
          <w:tcPr>
            <w:tcW w:w="0" w:type="auto"/>
          </w:tcPr>
          <w:p w14:paraId="5A4E6B71" w14:textId="03D811D8"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1.110</w:t>
            </w:r>
          </w:p>
        </w:tc>
        <w:tc>
          <w:tcPr>
            <w:tcW w:w="0" w:type="auto"/>
          </w:tcPr>
          <w:p w14:paraId="0D7CB84D" w14:textId="787226BA"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1.331</w:t>
            </w:r>
          </w:p>
        </w:tc>
      </w:tr>
      <w:tr w:rsidR="00416B1B" w:rsidRPr="00DC64F4" w14:paraId="4D67A124" w14:textId="77777777" w:rsidTr="00416B1B">
        <w:trPr>
          <w:jc w:val="center"/>
        </w:trPr>
        <w:tc>
          <w:tcPr>
            <w:tcW w:w="0" w:type="auto"/>
          </w:tcPr>
          <w:p w14:paraId="020048F3" w14:textId="554AA4D3" w:rsidR="00416B1B" w:rsidRPr="00DC64F4" w:rsidRDefault="00416B1B" w:rsidP="000E2391">
            <w:pPr>
              <w:pStyle w:val="Compact"/>
              <w:spacing w:line="360" w:lineRule="auto"/>
              <w:rPr>
                <w:rFonts w:ascii="Times New Roman" w:hAnsi="Times New Roman" w:cs="Times New Roman"/>
              </w:rPr>
            </w:pPr>
            <w:r w:rsidRPr="00DC64F4">
              <w:rPr>
                <w:rFonts w:ascii="Times New Roman" w:hAnsi="Times New Roman" w:cs="Times New Roman"/>
              </w:rPr>
              <w:t>Minimum</w:t>
            </w:r>
          </w:p>
        </w:tc>
        <w:tc>
          <w:tcPr>
            <w:tcW w:w="0" w:type="auto"/>
          </w:tcPr>
          <w:p w14:paraId="5FFB3F75" w14:textId="3A1D4543"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-13.326</w:t>
            </w:r>
          </w:p>
        </w:tc>
        <w:tc>
          <w:tcPr>
            <w:tcW w:w="0" w:type="auto"/>
          </w:tcPr>
          <w:p w14:paraId="44BE59A7" w14:textId="46C6A229"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-6.189</w:t>
            </w:r>
          </w:p>
        </w:tc>
        <w:tc>
          <w:tcPr>
            <w:tcW w:w="0" w:type="auto"/>
          </w:tcPr>
          <w:p w14:paraId="55822698" w14:textId="3198F181"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-14.322</w:t>
            </w:r>
          </w:p>
        </w:tc>
        <w:tc>
          <w:tcPr>
            <w:tcW w:w="0" w:type="auto"/>
          </w:tcPr>
          <w:p w14:paraId="7D0F87A1" w14:textId="0BB4A51E"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-13.767</w:t>
            </w:r>
          </w:p>
        </w:tc>
        <w:tc>
          <w:tcPr>
            <w:tcW w:w="0" w:type="auto"/>
          </w:tcPr>
          <w:p w14:paraId="57D339B3" w14:textId="16BCEE11"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-11.428</w:t>
            </w:r>
          </w:p>
        </w:tc>
        <w:tc>
          <w:tcPr>
            <w:tcW w:w="0" w:type="auto"/>
          </w:tcPr>
          <w:p w14:paraId="5D597EF0" w14:textId="2CE8460B"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-15.583</w:t>
            </w:r>
          </w:p>
        </w:tc>
      </w:tr>
      <w:tr w:rsidR="00416B1B" w:rsidRPr="00DC64F4" w14:paraId="370AD689" w14:textId="77777777" w:rsidTr="00416B1B">
        <w:trPr>
          <w:jc w:val="center"/>
        </w:trPr>
        <w:tc>
          <w:tcPr>
            <w:tcW w:w="0" w:type="auto"/>
          </w:tcPr>
          <w:p w14:paraId="1B9DC7C2" w14:textId="606CFE1D" w:rsidR="00416B1B" w:rsidRPr="00DC64F4" w:rsidRDefault="00416B1B" w:rsidP="000E2391">
            <w:pPr>
              <w:pStyle w:val="Compact"/>
              <w:spacing w:line="360" w:lineRule="auto"/>
              <w:rPr>
                <w:rFonts w:ascii="Times New Roman" w:hAnsi="Times New Roman" w:cs="Times New Roman"/>
              </w:rPr>
            </w:pPr>
            <w:r w:rsidRPr="00DC64F4">
              <w:rPr>
                <w:rFonts w:ascii="Times New Roman" w:hAnsi="Times New Roman" w:cs="Times New Roman"/>
              </w:rPr>
              <w:t>Maximum</w:t>
            </w:r>
          </w:p>
        </w:tc>
        <w:tc>
          <w:tcPr>
            <w:tcW w:w="0" w:type="auto"/>
          </w:tcPr>
          <w:p w14:paraId="0F05239D" w14:textId="75C499DC"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9.704</w:t>
            </w:r>
          </w:p>
        </w:tc>
        <w:tc>
          <w:tcPr>
            <w:tcW w:w="0" w:type="auto"/>
          </w:tcPr>
          <w:p w14:paraId="5333F21C" w14:textId="4785A496"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6.626</w:t>
            </w:r>
          </w:p>
        </w:tc>
        <w:tc>
          <w:tcPr>
            <w:tcW w:w="0" w:type="auto"/>
          </w:tcPr>
          <w:p w14:paraId="0ADBFF3B" w14:textId="223C0F09"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12.345</w:t>
            </w:r>
          </w:p>
        </w:tc>
        <w:tc>
          <w:tcPr>
            <w:tcW w:w="0" w:type="auto"/>
          </w:tcPr>
          <w:p w14:paraId="34DB32DB" w14:textId="7AA1BF9F"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7.365</w:t>
            </w:r>
          </w:p>
        </w:tc>
        <w:tc>
          <w:tcPr>
            <w:tcW w:w="0" w:type="auto"/>
          </w:tcPr>
          <w:p w14:paraId="583ACCC8" w14:textId="3855C717"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7.653</w:t>
            </w:r>
          </w:p>
        </w:tc>
        <w:tc>
          <w:tcPr>
            <w:tcW w:w="0" w:type="auto"/>
          </w:tcPr>
          <w:p w14:paraId="62CEEA99" w14:textId="422C6923"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7.462</w:t>
            </w:r>
          </w:p>
        </w:tc>
      </w:tr>
      <w:tr w:rsidR="00416B1B" w:rsidRPr="00DC64F4" w14:paraId="561A11DB" w14:textId="77777777" w:rsidTr="00416B1B">
        <w:trPr>
          <w:jc w:val="center"/>
        </w:trPr>
        <w:tc>
          <w:tcPr>
            <w:tcW w:w="0" w:type="auto"/>
          </w:tcPr>
          <w:p w14:paraId="35D50F46" w14:textId="09DC83E4" w:rsidR="00416B1B" w:rsidRPr="00DC64F4" w:rsidRDefault="00416B1B" w:rsidP="000E2391">
            <w:pPr>
              <w:pStyle w:val="Compact"/>
              <w:spacing w:line="360" w:lineRule="auto"/>
              <w:rPr>
                <w:rFonts w:ascii="Times New Roman" w:hAnsi="Times New Roman" w:cs="Times New Roman"/>
              </w:rPr>
            </w:pPr>
            <w:r w:rsidRPr="00DC64F4">
              <w:rPr>
                <w:rFonts w:ascii="Times New Roman" w:hAnsi="Times New Roman" w:cs="Times New Roman"/>
              </w:rPr>
              <w:t>Skewness</w:t>
            </w:r>
          </w:p>
        </w:tc>
        <w:tc>
          <w:tcPr>
            <w:tcW w:w="0" w:type="auto"/>
          </w:tcPr>
          <w:p w14:paraId="49B7D189" w14:textId="5D8E9B99"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-0.966</w:t>
            </w:r>
          </w:p>
        </w:tc>
        <w:tc>
          <w:tcPr>
            <w:tcW w:w="0" w:type="auto"/>
          </w:tcPr>
          <w:p w14:paraId="2BEE5E32" w14:textId="6F5EC5D1"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-0.501</w:t>
            </w:r>
          </w:p>
        </w:tc>
        <w:tc>
          <w:tcPr>
            <w:tcW w:w="0" w:type="auto"/>
          </w:tcPr>
          <w:p w14:paraId="72A06D71" w14:textId="0C68FBD7"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-0.565</w:t>
            </w:r>
          </w:p>
        </w:tc>
        <w:tc>
          <w:tcPr>
            <w:tcW w:w="0" w:type="auto"/>
          </w:tcPr>
          <w:p w14:paraId="0F937A9F" w14:textId="1E7C370F"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-1.335</w:t>
            </w:r>
          </w:p>
        </w:tc>
        <w:tc>
          <w:tcPr>
            <w:tcW w:w="0" w:type="auto"/>
          </w:tcPr>
          <w:p w14:paraId="27D3CEE6" w14:textId="467302C4"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-1.011</w:t>
            </w:r>
          </w:p>
        </w:tc>
        <w:tc>
          <w:tcPr>
            <w:tcW w:w="0" w:type="auto"/>
          </w:tcPr>
          <w:p w14:paraId="03B51CAF" w14:textId="617E6ED4"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-1.040</w:t>
            </w:r>
          </w:p>
        </w:tc>
      </w:tr>
      <w:tr w:rsidR="00416B1B" w:rsidRPr="00DC64F4" w14:paraId="059FC86D" w14:textId="77777777" w:rsidTr="007229BF">
        <w:trPr>
          <w:jc w:val="center"/>
        </w:trPr>
        <w:tc>
          <w:tcPr>
            <w:tcW w:w="0" w:type="auto"/>
          </w:tcPr>
          <w:p w14:paraId="190A9308" w14:textId="2EF2DAC0" w:rsidR="00416B1B" w:rsidRPr="00DC64F4" w:rsidRDefault="00416B1B" w:rsidP="000E2391">
            <w:pPr>
              <w:pStyle w:val="Compact"/>
              <w:spacing w:line="360" w:lineRule="auto"/>
              <w:rPr>
                <w:rFonts w:ascii="Times New Roman" w:hAnsi="Times New Roman" w:cs="Times New Roman"/>
              </w:rPr>
            </w:pPr>
            <w:r w:rsidRPr="00DC64F4">
              <w:rPr>
                <w:rFonts w:ascii="Times New Roman" w:hAnsi="Times New Roman" w:cs="Times New Roman"/>
              </w:rPr>
              <w:t>Excess kurtosis</w:t>
            </w:r>
          </w:p>
        </w:tc>
        <w:tc>
          <w:tcPr>
            <w:tcW w:w="0" w:type="auto"/>
          </w:tcPr>
          <w:p w14:paraId="45B76582" w14:textId="16BE83CB"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11.880</w:t>
            </w:r>
          </w:p>
        </w:tc>
        <w:tc>
          <w:tcPr>
            <w:tcW w:w="0" w:type="auto"/>
          </w:tcPr>
          <w:p w14:paraId="27BE10A2" w14:textId="2B39BFB1"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9.127</w:t>
            </w:r>
          </w:p>
        </w:tc>
        <w:tc>
          <w:tcPr>
            <w:tcW w:w="0" w:type="auto"/>
          </w:tcPr>
          <w:p w14:paraId="4190D99D" w14:textId="620E200E"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11.740</w:t>
            </w:r>
          </w:p>
        </w:tc>
        <w:tc>
          <w:tcPr>
            <w:tcW w:w="0" w:type="auto"/>
          </w:tcPr>
          <w:p w14:paraId="6CF92FCD" w14:textId="01FAD076"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21.035</w:t>
            </w:r>
          </w:p>
        </w:tc>
        <w:tc>
          <w:tcPr>
            <w:tcW w:w="0" w:type="auto"/>
          </w:tcPr>
          <w:p w14:paraId="2EABCE86" w14:textId="456A4F9C"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12.222</w:t>
            </w:r>
          </w:p>
        </w:tc>
        <w:tc>
          <w:tcPr>
            <w:tcW w:w="0" w:type="auto"/>
          </w:tcPr>
          <w:p w14:paraId="101EB8AF" w14:textId="0A3EFC89"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9.751</w:t>
            </w:r>
          </w:p>
        </w:tc>
      </w:tr>
      <w:tr w:rsidR="00416B1B" w:rsidRPr="00DC64F4" w14:paraId="08DDB233" w14:textId="77777777" w:rsidTr="007229BF">
        <w:trPr>
          <w:jc w:val="center"/>
        </w:trPr>
        <w:tc>
          <w:tcPr>
            <w:tcW w:w="0" w:type="auto"/>
            <w:tcBorders>
              <w:bottom w:val="single" w:sz="4" w:space="0" w:color="auto"/>
            </w:tcBorders>
          </w:tcPr>
          <w:p w14:paraId="7ED2C3C2" w14:textId="55CE5A86" w:rsidR="00416B1B" w:rsidRPr="00DC64F4" w:rsidRDefault="00416B1B" w:rsidP="000E2391">
            <w:pPr>
              <w:pStyle w:val="Compact"/>
              <w:spacing w:line="360" w:lineRule="auto"/>
              <w:rPr>
                <w:rFonts w:ascii="Times New Roman" w:hAnsi="Times New Roman" w:cs="Times New Roman"/>
              </w:rPr>
            </w:pPr>
            <w:r w:rsidRPr="00DC64F4">
              <w:rPr>
                <w:rFonts w:ascii="Times New Roman" w:hAnsi="Times New Roman" w:cs="Times New Roman"/>
              </w:rPr>
              <w:t>ADF statistic</w:t>
            </w:r>
          </w:p>
        </w:tc>
        <w:tc>
          <w:tcPr>
            <w:tcW w:w="0" w:type="auto"/>
            <w:tcBorders>
              <w:bottom w:val="single" w:sz="4" w:space="0" w:color="auto"/>
            </w:tcBorders>
          </w:tcPr>
          <w:p w14:paraId="76ACD79E" w14:textId="007CB995"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-10.918</w:t>
            </w:r>
          </w:p>
        </w:tc>
        <w:tc>
          <w:tcPr>
            <w:tcW w:w="0" w:type="auto"/>
            <w:tcBorders>
              <w:bottom w:val="single" w:sz="4" w:space="0" w:color="auto"/>
            </w:tcBorders>
          </w:tcPr>
          <w:p w14:paraId="5FD8C933" w14:textId="64C0999A"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-39.326</w:t>
            </w:r>
          </w:p>
        </w:tc>
        <w:tc>
          <w:tcPr>
            <w:tcW w:w="0" w:type="auto"/>
            <w:tcBorders>
              <w:bottom w:val="single" w:sz="4" w:space="0" w:color="auto"/>
            </w:tcBorders>
          </w:tcPr>
          <w:p w14:paraId="1AAB8CA9" w14:textId="4ABCE70C"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-23.966</w:t>
            </w:r>
          </w:p>
        </w:tc>
        <w:tc>
          <w:tcPr>
            <w:tcW w:w="0" w:type="auto"/>
            <w:tcBorders>
              <w:bottom w:val="single" w:sz="4" w:space="0" w:color="auto"/>
            </w:tcBorders>
          </w:tcPr>
          <w:p w14:paraId="423FEEC9" w14:textId="18BF903D"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-14.348</w:t>
            </w:r>
          </w:p>
        </w:tc>
        <w:tc>
          <w:tcPr>
            <w:tcW w:w="0" w:type="auto"/>
            <w:tcBorders>
              <w:bottom w:val="single" w:sz="4" w:space="0" w:color="auto"/>
            </w:tcBorders>
          </w:tcPr>
          <w:p w14:paraId="29B8621F" w14:textId="5F91AB5A"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-16.892</w:t>
            </w:r>
          </w:p>
        </w:tc>
        <w:tc>
          <w:tcPr>
            <w:tcW w:w="0" w:type="auto"/>
            <w:tcBorders>
              <w:bottom w:val="single" w:sz="4" w:space="0" w:color="auto"/>
            </w:tcBorders>
          </w:tcPr>
          <w:p w14:paraId="21991595" w14:textId="2B3E6044" w:rsidR="00416B1B" w:rsidRPr="00DC64F4" w:rsidRDefault="00416B1B" w:rsidP="000E2391">
            <w:pPr>
              <w:pStyle w:val="Compact"/>
              <w:spacing w:line="360" w:lineRule="auto"/>
              <w:jc w:val="center"/>
              <w:rPr>
                <w:rFonts w:ascii="Times New Roman" w:hAnsi="Times New Roman" w:cs="Times New Roman"/>
              </w:rPr>
            </w:pPr>
            <w:r w:rsidRPr="00DC64F4">
              <w:rPr>
                <w:rFonts w:ascii="Times New Roman" w:hAnsi="Times New Roman" w:cs="Times New Roman"/>
              </w:rPr>
              <w:t>-19.894</w:t>
            </w:r>
          </w:p>
        </w:tc>
      </w:tr>
    </w:tbl>
    <w:p w14:paraId="0212DEAD"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Note: Returns are percentages. Jarque–Bera and ADF test p-values are below 0.001 for all markets.</w:t>
      </w:r>
    </w:p>
    <w:p w14:paraId="04DD69F0" w14:textId="77777777" w:rsidR="008E527F" w:rsidRPr="00DC64F4" w:rsidRDefault="008E527F" w:rsidP="002B6539">
      <w:pPr>
        <w:pStyle w:val="BodyText"/>
        <w:spacing w:line="360" w:lineRule="auto"/>
        <w:jc w:val="both"/>
        <w:rPr>
          <w:rFonts w:ascii="Times New Roman" w:hAnsi="Times New Roman" w:cs="Times New Roman"/>
        </w:rPr>
      </w:pPr>
    </w:p>
    <w:p w14:paraId="28F55576" w14:textId="52F3EF5F"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Unconditional return correlations in Table </w:t>
      </w:r>
      <w:hyperlink w:anchor="tab:correlations">
        <w:r w:rsidR="008E527F" w:rsidRPr="00DC64F4">
          <w:rPr>
            <w:rStyle w:val="Hyperlink"/>
            <w:rFonts w:ascii="Times New Roman" w:hAnsi="Times New Roman" w:cs="Times New Roman"/>
            <w:color w:val="auto"/>
          </w:rPr>
          <w:t>5</w:t>
        </w:r>
      </w:hyperlink>
      <w:r w:rsidRPr="00DC64F4">
        <w:rPr>
          <w:rFonts w:ascii="Times New Roman" w:hAnsi="Times New Roman" w:cs="Times New Roman"/>
        </w:rPr>
        <w:t xml:space="preserve"> are positive throughout the region. The strongest relationships are between Singapore and Thailand (0.540), Singapore and Malaysia (0.528), and Singapore and Indonesia (0.519). Vietnam has the weakest correlations with every other market, ranging from 0.214 with the Philippines to 0.289 with Singapore. Range-volatility correlations show a similar separation: Vietnam’s correlations range from 0.116 to 0.193, whereas the Philippines–Thailand volatility correlation is 0.709. These patterns foreshadow Vietnam’s relatively small directional contributions in the connectedness estimates, but unconditional correlations alone are not interpreted as evidence of contagion.</w:t>
      </w:r>
    </w:p>
    <w:p w14:paraId="6786C14B" w14:textId="77777777" w:rsidR="00FD4233" w:rsidRPr="00DC64F4" w:rsidRDefault="00FD4233" w:rsidP="002B6539">
      <w:pPr>
        <w:pStyle w:val="BodyText"/>
        <w:spacing w:line="360" w:lineRule="auto"/>
        <w:jc w:val="both"/>
        <w:rPr>
          <w:rFonts w:ascii="Times New Roman" w:hAnsi="Times New Roman" w:cs="Times New Roman"/>
        </w:rPr>
      </w:pPr>
    </w:p>
    <w:p w14:paraId="66DC55B3" w14:textId="0BCD26B3" w:rsidR="00FF5AEC" w:rsidRPr="00DC64F4" w:rsidRDefault="00FD4233" w:rsidP="00FD4233">
      <w:pPr>
        <w:pStyle w:val="TableCaption"/>
        <w:spacing w:line="360" w:lineRule="auto"/>
        <w:jc w:val="center"/>
        <w:rPr>
          <w:rFonts w:ascii="Times New Roman" w:hAnsi="Times New Roman" w:cs="Times New Roman"/>
          <w:i w:val="0"/>
        </w:rPr>
      </w:pPr>
      <w:bookmarkStart w:id="16" w:name="tab:correlations"/>
      <w:r w:rsidRPr="00DC64F4">
        <w:rPr>
          <w:rFonts w:ascii="Times New Roman" w:hAnsi="Times New Roman" w:cs="Times New Roman"/>
          <w:b/>
          <w:bCs/>
          <w:i w:val="0"/>
        </w:rPr>
        <w:lastRenderedPageBreak/>
        <w:t xml:space="preserve">Table 5: </w:t>
      </w:r>
      <w:r w:rsidR="00000000" w:rsidRPr="00DC64F4">
        <w:rPr>
          <w:rFonts w:ascii="Times New Roman" w:hAnsi="Times New Roman" w:cs="Times New Roman"/>
          <w:i w:val="0"/>
        </w:rPr>
        <w:t>Unconditional daily return correlations</w:t>
      </w:r>
    </w:p>
    <w:tbl>
      <w:tblPr>
        <w:tblStyle w:val="Table"/>
        <w:tblW w:w="0" w:type="auto"/>
        <w:jc w:val="center"/>
        <w:tblLook w:val="0020" w:firstRow="1" w:lastRow="0" w:firstColumn="0" w:lastColumn="0" w:noHBand="0" w:noVBand="0"/>
      </w:tblPr>
      <w:tblGrid>
        <w:gridCol w:w="1297"/>
        <w:gridCol w:w="756"/>
        <w:gridCol w:w="756"/>
        <w:gridCol w:w="756"/>
        <w:gridCol w:w="756"/>
        <w:gridCol w:w="756"/>
        <w:gridCol w:w="777"/>
      </w:tblGrid>
      <w:tr w:rsidR="00FF5AEC" w:rsidRPr="00DC64F4" w14:paraId="60FBFAD4" w14:textId="77777777" w:rsidTr="006D793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2DD0AFF6"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Borders>
              <w:top w:val="single" w:sz="4" w:space="0" w:color="auto"/>
              <w:bottom w:val="single" w:sz="2" w:space="0" w:color="auto"/>
            </w:tcBorders>
          </w:tcPr>
          <w:p w14:paraId="39FB347A"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IDN</w:t>
            </w:r>
          </w:p>
        </w:tc>
        <w:tc>
          <w:tcPr>
            <w:tcW w:w="0" w:type="auto"/>
            <w:tcBorders>
              <w:top w:val="single" w:sz="4" w:space="0" w:color="auto"/>
              <w:bottom w:val="single" w:sz="2" w:space="0" w:color="auto"/>
            </w:tcBorders>
          </w:tcPr>
          <w:p w14:paraId="75190A6D"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MYS</w:t>
            </w:r>
          </w:p>
        </w:tc>
        <w:tc>
          <w:tcPr>
            <w:tcW w:w="0" w:type="auto"/>
            <w:tcBorders>
              <w:top w:val="single" w:sz="4" w:space="0" w:color="auto"/>
              <w:bottom w:val="single" w:sz="2" w:space="0" w:color="auto"/>
            </w:tcBorders>
          </w:tcPr>
          <w:p w14:paraId="5CB1FD32"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PHL</w:t>
            </w:r>
          </w:p>
        </w:tc>
        <w:tc>
          <w:tcPr>
            <w:tcW w:w="0" w:type="auto"/>
            <w:tcBorders>
              <w:top w:val="single" w:sz="4" w:space="0" w:color="auto"/>
              <w:bottom w:val="single" w:sz="2" w:space="0" w:color="auto"/>
            </w:tcBorders>
          </w:tcPr>
          <w:p w14:paraId="334B3BE9"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SGP</w:t>
            </w:r>
          </w:p>
        </w:tc>
        <w:tc>
          <w:tcPr>
            <w:tcW w:w="0" w:type="auto"/>
            <w:tcBorders>
              <w:top w:val="single" w:sz="4" w:space="0" w:color="auto"/>
              <w:bottom w:val="single" w:sz="2" w:space="0" w:color="auto"/>
            </w:tcBorders>
          </w:tcPr>
          <w:p w14:paraId="68461DD4"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THA</w:t>
            </w:r>
          </w:p>
        </w:tc>
        <w:tc>
          <w:tcPr>
            <w:tcW w:w="0" w:type="auto"/>
            <w:tcBorders>
              <w:top w:val="single" w:sz="4" w:space="0" w:color="auto"/>
              <w:bottom w:val="single" w:sz="2" w:space="0" w:color="auto"/>
            </w:tcBorders>
          </w:tcPr>
          <w:p w14:paraId="64F33318"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VNM</w:t>
            </w:r>
          </w:p>
        </w:tc>
      </w:tr>
      <w:tr w:rsidR="00FF5AEC" w:rsidRPr="00DC64F4" w14:paraId="3AB04E01" w14:textId="77777777" w:rsidTr="006D7933">
        <w:trPr>
          <w:jc w:val="center"/>
        </w:trPr>
        <w:tc>
          <w:tcPr>
            <w:tcW w:w="0" w:type="auto"/>
            <w:tcBorders>
              <w:top w:val="single" w:sz="2" w:space="0" w:color="auto"/>
            </w:tcBorders>
          </w:tcPr>
          <w:p w14:paraId="3DD2926C"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Indonesia</w:t>
            </w:r>
          </w:p>
        </w:tc>
        <w:tc>
          <w:tcPr>
            <w:tcW w:w="0" w:type="auto"/>
            <w:tcBorders>
              <w:top w:val="single" w:sz="2" w:space="0" w:color="auto"/>
            </w:tcBorders>
          </w:tcPr>
          <w:p w14:paraId="5248194B"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1.000</w:t>
            </w:r>
          </w:p>
        </w:tc>
        <w:tc>
          <w:tcPr>
            <w:tcW w:w="0" w:type="auto"/>
            <w:tcBorders>
              <w:top w:val="single" w:sz="2" w:space="0" w:color="auto"/>
            </w:tcBorders>
          </w:tcPr>
          <w:p w14:paraId="32FF26D7"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Borders>
              <w:top w:val="single" w:sz="2" w:space="0" w:color="auto"/>
            </w:tcBorders>
          </w:tcPr>
          <w:p w14:paraId="0181E2B9"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Borders>
              <w:top w:val="single" w:sz="2" w:space="0" w:color="auto"/>
            </w:tcBorders>
          </w:tcPr>
          <w:p w14:paraId="6EE373CC"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Borders>
              <w:top w:val="single" w:sz="2" w:space="0" w:color="auto"/>
            </w:tcBorders>
          </w:tcPr>
          <w:p w14:paraId="26DE59D7"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Borders>
              <w:top w:val="single" w:sz="2" w:space="0" w:color="auto"/>
            </w:tcBorders>
          </w:tcPr>
          <w:p w14:paraId="3B294E5E" w14:textId="77777777" w:rsidR="00FF5AEC" w:rsidRPr="00DC64F4" w:rsidRDefault="00FF5AEC" w:rsidP="002B6539">
            <w:pPr>
              <w:pStyle w:val="Compact"/>
              <w:spacing w:line="360" w:lineRule="auto"/>
              <w:jc w:val="both"/>
              <w:rPr>
                <w:rFonts w:ascii="Times New Roman" w:hAnsi="Times New Roman" w:cs="Times New Roman"/>
              </w:rPr>
            </w:pPr>
          </w:p>
        </w:tc>
      </w:tr>
      <w:tr w:rsidR="00FF5AEC" w:rsidRPr="00DC64F4" w14:paraId="38BD4CE8" w14:textId="77777777" w:rsidTr="00FD4233">
        <w:trPr>
          <w:jc w:val="center"/>
        </w:trPr>
        <w:tc>
          <w:tcPr>
            <w:tcW w:w="0" w:type="auto"/>
          </w:tcPr>
          <w:p w14:paraId="18AD5EBF"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Malaysia</w:t>
            </w:r>
          </w:p>
        </w:tc>
        <w:tc>
          <w:tcPr>
            <w:tcW w:w="0" w:type="auto"/>
          </w:tcPr>
          <w:p w14:paraId="4E188BD2"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0.479</w:t>
            </w:r>
          </w:p>
        </w:tc>
        <w:tc>
          <w:tcPr>
            <w:tcW w:w="0" w:type="auto"/>
          </w:tcPr>
          <w:p w14:paraId="1EB8C73D"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1.000</w:t>
            </w:r>
          </w:p>
        </w:tc>
        <w:tc>
          <w:tcPr>
            <w:tcW w:w="0" w:type="auto"/>
          </w:tcPr>
          <w:p w14:paraId="31C041BB"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Pr>
          <w:p w14:paraId="37A68338"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Pr>
          <w:p w14:paraId="0A04BE7C"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Pr>
          <w:p w14:paraId="730C44EE" w14:textId="77777777" w:rsidR="00FF5AEC" w:rsidRPr="00DC64F4" w:rsidRDefault="00FF5AEC" w:rsidP="002B6539">
            <w:pPr>
              <w:pStyle w:val="Compact"/>
              <w:spacing w:line="360" w:lineRule="auto"/>
              <w:jc w:val="both"/>
              <w:rPr>
                <w:rFonts w:ascii="Times New Roman" w:hAnsi="Times New Roman" w:cs="Times New Roman"/>
              </w:rPr>
            </w:pPr>
          </w:p>
        </w:tc>
      </w:tr>
      <w:tr w:rsidR="00FF5AEC" w:rsidRPr="00DC64F4" w14:paraId="6C4118D7" w14:textId="77777777" w:rsidTr="00FD4233">
        <w:trPr>
          <w:jc w:val="center"/>
        </w:trPr>
        <w:tc>
          <w:tcPr>
            <w:tcW w:w="0" w:type="auto"/>
          </w:tcPr>
          <w:p w14:paraId="513C303B"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Philippines</w:t>
            </w:r>
          </w:p>
        </w:tc>
        <w:tc>
          <w:tcPr>
            <w:tcW w:w="0" w:type="auto"/>
          </w:tcPr>
          <w:p w14:paraId="0D131A02"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0.476</w:t>
            </w:r>
          </w:p>
        </w:tc>
        <w:tc>
          <w:tcPr>
            <w:tcW w:w="0" w:type="auto"/>
          </w:tcPr>
          <w:p w14:paraId="30D978A6"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0.447</w:t>
            </w:r>
          </w:p>
        </w:tc>
        <w:tc>
          <w:tcPr>
            <w:tcW w:w="0" w:type="auto"/>
          </w:tcPr>
          <w:p w14:paraId="21F63B71"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1.000</w:t>
            </w:r>
          </w:p>
        </w:tc>
        <w:tc>
          <w:tcPr>
            <w:tcW w:w="0" w:type="auto"/>
          </w:tcPr>
          <w:p w14:paraId="7E532E4C"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Pr>
          <w:p w14:paraId="5824080D"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Pr>
          <w:p w14:paraId="7955D108" w14:textId="77777777" w:rsidR="00FF5AEC" w:rsidRPr="00DC64F4" w:rsidRDefault="00FF5AEC" w:rsidP="002B6539">
            <w:pPr>
              <w:pStyle w:val="Compact"/>
              <w:spacing w:line="360" w:lineRule="auto"/>
              <w:jc w:val="both"/>
              <w:rPr>
                <w:rFonts w:ascii="Times New Roman" w:hAnsi="Times New Roman" w:cs="Times New Roman"/>
              </w:rPr>
            </w:pPr>
          </w:p>
        </w:tc>
      </w:tr>
      <w:tr w:rsidR="00FF5AEC" w:rsidRPr="00DC64F4" w14:paraId="59D77D84" w14:textId="77777777" w:rsidTr="00FD4233">
        <w:trPr>
          <w:jc w:val="center"/>
        </w:trPr>
        <w:tc>
          <w:tcPr>
            <w:tcW w:w="0" w:type="auto"/>
          </w:tcPr>
          <w:p w14:paraId="1862D08A"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Singapore</w:t>
            </w:r>
          </w:p>
        </w:tc>
        <w:tc>
          <w:tcPr>
            <w:tcW w:w="0" w:type="auto"/>
          </w:tcPr>
          <w:p w14:paraId="21E70F48"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0.519</w:t>
            </w:r>
          </w:p>
        </w:tc>
        <w:tc>
          <w:tcPr>
            <w:tcW w:w="0" w:type="auto"/>
          </w:tcPr>
          <w:p w14:paraId="38420C22"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0.528</w:t>
            </w:r>
          </w:p>
        </w:tc>
        <w:tc>
          <w:tcPr>
            <w:tcW w:w="0" w:type="auto"/>
          </w:tcPr>
          <w:p w14:paraId="58D8390F"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0.423</w:t>
            </w:r>
          </w:p>
        </w:tc>
        <w:tc>
          <w:tcPr>
            <w:tcW w:w="0" w:type="auto"/>
          </w:tcPr>
          <w:p w14:paraId="7A11E3F0"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1.000</w:t>
            </w:r>
          </w:p>
        </w:tc>
        <w:tc>
          <w:tcPr>
            <w:tcW w:w="0" w:type="auto"/>
          </w:tcPr>
          <w:p w14:paraId="1B62792F" w14:textId="77777777" w:rsidR="00FF5AEC" w:rsidRPr="00DC64F4" w:rsidRDefault="00FF5AEC" w:rsidP="002B6539">
            <w:pPr>
              <w:pStyle w:val="Compact"/>
              <w:spacing w:line="360" w:lineRule="auto"/>
              <w:jc w:val="both"/>
              <w:rPr>
                <w:rFonts w:ascii="Times New Roman" w:hAnsi="Times New Roman" w:cs="Times New Roman"/>
              </w:rPr>
            </w:pPr>
          </w:p>
        </w:tc>
        <w:tc>
          <w:tcPr>
            <w:tcW w:w="0" w:type="auto"/>
          </w:tcPr>
          <w:p w14:paraId="2BCFB174" w14:textId="77777777" w:rsidR="00FF5AEC" w:rsidRPr="00DC64F4" w:rsidRDefault="00FF5AEC" w:rsidP="002B6539">
            <w:pPr>
              <w:pStyle w:val="Compact"/>
              <w:spacing w:line="360" w:lineRule="auto"/>
              <w:jc w:val="both"/>
              <w:rPr>
                <w:rFonts w:ascii="Times New Roman" w:hAnsi="Times New Roman" w:cs="Times New Roman"/>
              </w:rPr>
            </w:pPr>
          </w:p>
        </w:tc>
      </w:tr>
      <w:tr w:rsidR="00FF5AEC" w:rsidRPr="00DC64F4" w14:paraId="3EE95B36" w14:textId="77777777" w:rsidTr="007229BF">
        <w:trPr>
          <w:jc w:val="center"/>
        </w:trPr>
        <w:tc>
          <w:tcPr>
            <w:tcW w:w="0" w:type="auto"/>
          </w:tcPr>
          <w:p w14:paraId="3AF70AA5"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Thailand</w:t>
            </w:r>
          </w:p>
        </w:tc>
        <w:tc>
          <w:tcPr>
            <w:tcW w:w="0" w:type="auto"/>
          </w:tcPr>
          <w:p w14:paraId="32601FAE"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0.471</w:t>
            </w:r>
          </w:p>
        </w:tc>
        <w:tc>
          <w:tcPr>
            <w:tcW w:w="0" w:type="auto"/>
          </w:tcPr>
          <w:p w14:paraId="2CAC117B"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0.457</w:t>
            </w:r>
          </w:p>
        </w:tc>
        <w:tc>
          <w:tcPr>
            <w:tcW w:w="0" w:type="auto"/>
          </w:tcPr>
          <w:p w14:paraId="60276928"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0.400</w:t>
            </w:r>
          </w:p>
        </w:tc>
        <w:tc>
          <w:tcPr>
            <w:tcW w:w="0" w:type="auto"/>
          </w:tcPr>
          <w:p w14:paraId="62FA1CB0"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0.540</w:t>
            </w:r>
          </w:p>
        </w:tc>
        <w:tc>
          <w:tcPr>
            <w:tcW w:w="0" w:type="auto"/>
          </w:tcPr>
          <w:p w14:paraId="302B8120"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1.000</w:t>
            </w:r>
          </w:p>
        </w:tc>
        <w:tc>
          <w:tcPr>
            <w:tcW w:w="0" w:type="auto"/>
          </w:tcPr>
          <w:p w14:paraId="100585C4" w14:textId="77777777" w:rsidR="00FF5AEC" w:rsidRPr="00DC64F4" w:rsidRDefault="00FF5AEC" w:rsidP="002B6539">
            <w:pPr>
              <w:pStyle w:val="Compact"/>
              <w:spacing w:line="360" w:lineRule="auto"/>
              <w:jc w:val="both"/>
              <w:rPr>
                <w:rFonts w:ascii="Times New Roman" w:hAnsi="Times New Roman" w:cs="Times New Roman"/>
              </w:rPr>
            </w:pPr>
          </w:p>
        </w:tc>
      </w:tr>
      <w:tr w:rsidR="00FF5AEC" w:rsidRPr="00DC64F4" w14:paraId="6369D5B3" w14:textId="77777777" w:rsidTr="007229BF">
        <w:trPr>
          <w:jc w:val="center"/>
        </w:trPr>
        <w:tc>
          <w:tcPr>
            <w:tcW w:w="0" w:type="auto"/>
            <w:tcBorders>
              <w:bottom w:val="single" w:sz="4" w:space="0" w:color="auto"/>
            </w:tcBorders>
          </w:tcPr>
          <w:p w14:paraId="195D0A80"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Vietnam</w:t>
            </w:r>
          </w:p>
        </w:tc>
        <w:tc>
          <w:tcPr>
            <w:tcW w:w="0" w:type="auto"/>
            <w:tcBorders>
              <w:bottom w:val="single" w:sz="4" w:space="0" w:color="auto"/>
            </w:tcBorders>
          </w:tcPr>
          <w:p w14:paraId="216888D9"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0.224</w:t>
            </w:r>
          </w:p>
        </w:tc>
        <w:tc>
          <w:tcPr>
            <w:tcW w:w="0" w:type="auto"/>
            <w:tcBorders>
              <w:bottom w:val="single" w:sz="4" w:space="0" w:color="auto"/>
            </w:tcBorders>
          </w:tcPr>
          <w:p w14:paraId="4256B716"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0.250</w:t>
            </w:r>
          </w:p>
        </w:tc>
        <w:tc>
          <w:tcPr>
            <w:tcW w:w="0" w:type="auto"/>
            <w:tcBorders>
              <w:bottom w:val="single" w:sz="4" w:space="0" w:color="auto"/>
            </w:tcBorders>
          </w:tcPr>
          <w:p w14:paraId="13BAA10F"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0.214</w:t>
            </w:r>
          </w:p>
        </w:tc>
        <w:tc>
          <w:tcPr>
            <w:tcW w:w="0" w:type="auto"/>
            <w:tcBorders>
              <w:bottom w:val="single" w:sz="4" w:space="0" w:color="auto"/>
            </w:tcBorders>
          </w:tcPr>
          <w:p w14:paraId="79C17CA9"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0.289</w:t>
            </w:r>
          </w:p>
        </w:tc>
        <w:tc>
          <w:tcPr>
            <w:tcW w:w="0" w:type="auto"/>
            <w:tcBorders>
              <w:bottom w:val="single" w:sz="4" w:space="0" w:color="auto"/>
            </w:tcBorders>
          </w:tcPr>
          <w:p w14:paraId="0ED852CA"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0.248</w:t>
            </w:r>
          </w:p>
        </w:tc>
        <w:tc>
          <w:tcPr>
            <w:tcW w:w="0" w:type="auto"/>
            <w:tcBorders>
              <w:bottom w:val="single" w:sz="4" w:space="0" w:color="auto"/>
            </w:tcBorders>
          </w:tcPr>
          <w:p w14:paraId="1BECB85F"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1.000</w:t>
            </w:r>
          </w:p>
        </w:tc>
      </w:tr>
      <w:bookmarkEnd w:id="16"/>
    </w:tbl>
    <w:p w14:paraId="7E40D367" w14:textId="77777777" w:rsidR="00FD4233" w:rsidRPr="00DC64F4" w:rsidRDefault="00FD4233" w:rsidP="002B6539">
      <w:pPr>
        <w:pStyle w:val="BodyText"/>
        <w:spacing w:line="360" w:lineRule="auto"/>
        <w:jc w:val="both"/>
        <w:rPr>
          <w:rFonts w:ascii="Times New Roman" w:hAnsi="Times New Roman" w:cs="Times New Roman"/>
        </w:rPr>
      </w:pPr>
    </w:p>
    <w:p w14:paraId="6E380EEA" w14:textId="15B15D2A"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The return and range-volatility series exhibit pronounced clustering around periods of regional and global stress. The common volatility increase in early 2020 is particularly visible, although its magnitude differs across markets. To keep the results section focused and improve the readability of the six-panel graphics, the complete time-series plots are split into enlarged panels in Figures </w:t>
      </w:r>
      <w:r w:rsidR="00791596" w:rsidRPr="00DC64F4">
        <w:rPr>
          <w:rFonts w:ascii="Times New Roman" w:hAnsi="Times New Roman" w:cs="Times New Roman"/>
        </w:rPr>
        <w:t>A1-A4 in Appendix A.</w:t>
      </w:r>
    </w:p>
    <w:p w14:paraId="5E818123" w14:textId="77777777" w:rsidR="00756595" w:rsidRPr="00DC64F4" w:rsidRDefault="00756595" w:rsidP="002B6539">
      <w:pPr>
        <w:pStyle w:val="BodyText"/>
        <w:spacing w:line="360" w:lineRule="auto"/>
        <w:jc w:val="both"/>
        <w:rPr>
          <w:rFonts w:ascii="Times New Roman" w:hAnsi="Times New Roman" w:cs="Times New Roman"/>
        </w:rPr>
      </w:pPr>
    </w:p>
    <w:p w14:paraId="77A10D82"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17" w:name="full-sample-connectedness"/>
      <w:bookmarkEnd w:id="15"/>
      <w:r w:rsidRPr="00DC64F4">
        <w:rPr>
          <w:rStyle w:val="SectionNumber"/>
          <w:rFonts w:ascii="Times New Roman" w:hAnsi="Times New Roman" w:cs="Times New Roman"/>
          <w:b/>
          <w:bCs/>
          <w:color w:val="auto"/>
          <w:sz w:val="24"/>
          <w:szCs w:val="24"/>
        </w:rPr>
        <w:t>5.2</w:t>
      </w:r>
      <w:r w:rsidRPr="00DC64F4">
        <w:rPr>
          <w:rFonts w:ascii="Times New Roman" w:hAnsi="Times New Roman" w:cs="Times New Roman"/>
          <w:b/>
          <w:bCs/>
          <w:color w:val="auto"/>
          <w:sz w:val="24"/>
          <w:szCs w:val="24"/>
        </w:rPr>
        <w:tab/>
        <w:t>Full-sample connectedness</w:t>
      </w:r>
    </w:p>
    <w:p w14:paraId="789020A5" w14:textId="5CCAD15F"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Table</w:t>
      </w:r>
      <w:r w:rsidR="003756BC" w:rsidRPr="00DC64F4">
        <w:rPr>
          <w:rFonts w:ascii="Times New Roman" w:hAnsi="Times New Roman" w:cs="Times New Roman"/>
        </w:rPr>
        <w:t xml:space="preserve"> 6</w:t>
      </w:r>
      <w:r w:rsidRPr="00DC64F4">
        <w:rPr>
          <w:rFonts w:ascii="Times New Roman" w:hAnsi="Times New Roman" w:cs="Times New Roman"/>
        </w:rPr>
        <w:t xml:space="preserve"> reports the full-sample generalized forecast-error variance decomposition. The total connectedness index is 17.15%, indicating that approximately one-sixth of the average 10-day volatility forecast-error variance originates outside the market being forecast. Indonesia receives the largest share from other ASEAN markets (22.06%), followed by Singapore (20.66%) and Thailand (18.94%). Indonesia and Thailand transmit the largest amounts to the system, at 24.79% and 22.15%, respectively.</w:t>
      </w:r>
    </w:p>
    <w:p w14:paraId="4C4153D9" w14:textId="2CB1B368"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Thailand and Indonesia are the only full-sample net transmitters, with net values of 3.21 and 2.74 percentage points. Singapore is the largest net receiver (</w:t>
      </w:r>
      <m:oMath>
        <m:r>
          <m:rPr>
            <m:sty m:val="p"/>
          </m:rPr>
          <w:rPr>
            <w:rFonts w:ascii="Cambria Math" w:hAnsi="Cambria Math" w:cs="Times New Roman"/>
          </w:rPr>
          <m:t>-2.98</m:t>
        </m:r>
      </m:oMath>
      <w:r w:rsidRPr="00DC64F4">
        <w:rPr>
          <w:rFonts w:ascii="Times New Roman" w:hAnsi="Times New Roman" w:cs="Times New Roman"/>
        </w:rPr>
        <w:t>), followed by the Philippines (</w:t>
      </w:r>
      <m:oMath>
        <m:r>
          <m:rPr>
            <m:sty m:val="p"/>
          </m:rPr>
          <w:rPr>
            <w:rFonts w:ascii="Cambria Math" w:hAnsi="Cambria Math" w:cs="Times New Roman"/>
          </w:rPr>
          <m:t>-1.52</m:t>
        </m:r>
      </m:oMath>
      <w:r w:rsidRPr="00DC64F4">
        <w:rPr>
          <w:rFonts w:ascii="Times New Roman" w:hAnsi="Times New Roman" w:cs="Times New Roman"/>
        </w:rPr>
        <w:t>). Vietnam is a modest net receiver (</w:t>
      </w:r>
      <m:oMath>
        <m:r>
          <m:rPr>
            <m:sty m:val="p"/>
          </m:rPr>
          <w:rPr>
            <w:rFonts w:ascii="Cambria Math" w:hAnsi="Cambria Math" w:cs="Times New Roman"/>
          </w:rPr>
          <m:t>-0.95</m:t>
        </m:r>
      </m:oMath>
      <w:r w:rsidRPr="00DC64F4">
        <w:rPr>
          <w:rFonts w:ascii="Times New Roman" w:hAnsi="Times New Roman" w:cs="Times New Roman"/>
        </w:rPr>
        <w:t xml:space="preserve">), but its most notable characteristic is its 93.11% own-market variance share. Only 6.89% of its forecast-error variance is received from the other </w:t>
      </w:r>
      <w:r w:rsidRPr="00DC64F4">
        <w:rPr>
          <w:rFonts w:ascii="Times New Roman" w:hAnsi="Times New Roman" w:cs="Times New Roman"/>
        </w:rPr>
        <w:lastRenderedPageBreak/>
        <w:t>markets, and it transmits 5.94% to them. The full-sample evidence therefore portrays Vietnam as the least integrated node in the six-market volatility network.</w:t>
      </w:r>
    </w:p>
    <w:p w14:paraId="558F9E74" w14:textId="11030E5C" w:rsidR="00E016CE" w:rsidRPr="00DC64F4" w:rsidRDefault="00E016CE" w:rsidP="00E016CE">
      <w:pPr>
        <w:pStyle w:val="TableCaption"/>
        <w:spacing w:line="360" w:lineRule="auto"/>
        <w:jc w:val="center"/>
        <w:rPr>
          <w:rFonts w:ascii="Times New Roman" w:hAnsi="Times New Roman" w:cs="Times New Roman"/>
          <w:i w:val="0"/>
        </w:rPr>
      </w:pPr>
      <w:r w:rsidRPr="00DC64F4">
        <w:rPr>
          <w:rFonts w:ascii="Times New Roman" w:hAnsi="Times New Roman" w:cs="Times New Roman"/>
          <w:b/>
          <w:bCs/>
          <w:i w:val="0"/>
        </w:rPr>
        <w:t xml:space="preserve">Table </w:t>
      </w:r>
      <w:r w:rsidRPr="00DC64F4">
        <w:rPr>
          <w:rFonts w:ascii="Times New Roman" w:hAnsi="Times New Roman" w:cs="Times New Roman"/>
          <w:b/>
          <w:bCs/>
          <w:i w:val="0"/>
        </w:rPr>
        <w:t>6</w:t>
      </w:r>
      <w:r w:rsidRPr="00DC64F4">
        <w:rPr>
          <w:rFonts w:ascii="Times New Roman" w:hAnsi="Times New Roman" w:cs="Times New Roman"/>
          <w:b/>
          <w:bCs/>
          <w:i w:val="0"/>
        </w:rPr>
        <w:t xml:space="preserve">: </w:t>
      </w:r>
      <w:r w:rsidRPr="00DC64F4">
        <w:rPr>
          <w:rFonts w:ascii="Times New Roman" w:hAnsi="Times New Roman" w:cs="Times New Roman"/>
          <w:i w:val="0"/>
        </w:rPr>
        <w:t>Full-sample ASEAN volatility connectedness</w:t>
      </w:r>
    </w:p>
    <w:tbl>
      <w:tblPr>
        <w:tblStyle w:val="Table"/>
        <w:tblW w:w="0" w:type="auto"/>
        <w:jc w:val="center"/>
        <w:tblLook w:val="0020" w:firstRow="1" w:lastRow="0" w:firstColumn="0" w:lastColumn="0" w:noHBand="0" w:noVBand="0"/>
      </w:tblPr>
      <w:tblGrid>
        <w:gridCol w:w="3215"/>
        <w:gridCol w:w="756"/>
        <w:gridCol w:w="756"/>
        <w:gridCol w:w="756"/>
        <w:gridCol w:w="756"/>
        <w:gridCol w:w="756"/>
        <w:gridCol w:w="777"/>
      </w:tblGrid>
      <w:tr w:rsidR="00E016CE" w:rsidRPr="00DC64F4" w14:paraId="6A0E478F" w14:textId="77777777" w:rsidTr="006D793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01BEA894" w14:textId="04960A95" w:rsidR="00E016CE" w:rsidRPr="00DC64F4" w:rsidRDefault="007229BF" w:rsidP="007430A9">
            <w:pPr>
              <w:pStyle w:val="Compact"/>
              <w:spacing w:line="360" w:lineRule="auto"/>
              <w:jc w:val="both"/>
              <w:rPr>
                <w:rFonts w:ascii="Times New Roman" w:hAnsi="Times New Roman" w:cs="Times New Roman"/>
              </w:rPr>
            </w:pPr>
            <w:r w:rsidRPr="00DC64F4">
              <w:rPr>
                <w:rFonts w:ascii="Times New Roman" w:hAnsi="Times New Roman" w:cs="Times New Roman"/>
              </w:rPr>
              <w:t>Affected market / shock source</w:t>
            </w:r>
          </w:p>
        </w:tc>
        <w:tc>
          <w:tcPr>
            <w:tcW w:w="0" w:type="auto"/>
            <w:tcBorders>
              <w:top w:val="single" w:sz="4" w:space="0" w:color="auto"/>
              <w:bottom w:val="single" w:sz="2" w:space="0" w:color="auto"/>
            </w:tcBorders>
          </w:tcPr>
          <w:p w14:paraId="0A55E07A"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IDN</w:t>
            </w:r>
          </w:p>
        </w:tc>
        <w:tc>
          <w:tcPr>
            <w:tcW w:w="0" w:type="auto"/>
            <w:tcBorders>
              <w:top w:val="single" w:sz="4" w:space="0" w:color="auto"/>
              <w:bottom w:val="single" w:sz="2" w:space="0" w:color="auto"/>
            </w:tcBorders>
          </w:tcPr>
          <w:p w14:paraId="1B917055"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MYS</w:t>
            </w:r>
          </w:p>
        </w:tc>
        <w:tc>
          <w:tcPr>
            <w:tcW w:w="0" w:type="auto"/>
            <w:tcBorders>
              <w:top w:val="single" w:sz="4" w:space="0" w:color="auto"/>
              <w:bottom w:val="single" w:sz="2" w:space="0" w:color="auto"/>
            </w:tcBorders>
          </w:tcPr>
          <w:p w14:paraId="358F2657"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PHL</w:t>
            </w:r>
          </w:p>
        </w:tc>
        <w:tc>
          <w:tcPr>
            <w:tcW w:w="0" w:type="auto"/>
            <w:tcBorders>
              <w:top w:val="single" w:sz="4" w:space="0" w:color="auto"/>
              <w:bottom w:val="single" w:sz="2" w:space="0" w:color="auto"/>
            </w:tcBorders>
          </w:tcPr>
          <w:p w14:paraId="4FBEAE69"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SGP</w:t>
            </w:r>
          </w:p>
        </w:tc>
        <w:tc>
          <w:tcPr>
            <w:tcW w:w="0" w:type="auto"/>
            <w:tcBorders>
              <w:top w:val="single" w:sz="4" w:space="0" w:color="auto"/>
              <w:bottom w:val="single" w:sz="2" w:space="0" w:color="auto"/>
            </w:tcBorders>
          </w:tcPr>
          <w:p w14:paraId="6135C95C"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THA</w:t>
            </w:r>
          </w:p>
        </w:tc>
        <w:tc>
          <w:tcPr>
            <w:tcW w:w="0" w:type="auto"/>
            <w:tcBorders>
              <w:top w:val="single" w:sz="4" w:space="0" w:color="auto"/>
              <w:bottom w:val="single" w:sz="2" w:space="0" w:color="auto"/>
            </w:tcBorders>
          </w:tcPr>
          <w:p w14:paraId="677AB8BE"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VNM</w:t>
            </w:r>
          </w:p>
        </w:tc>
      </w:tr>
      <w:tr w:rsidR="00E016CE" w:rsidRPr="00DC64F4" w14:paraId="31EEFDFB" w14:textId="77777777" w:rsidTr="006D7933">
        <w:trPr>
          <w:jc w:val="center"/>
        </w:trPr>
        <w:tc>
          <w:tcPr>
            <w:tcW w:w="0" w:type="auto"/>
            <w:tcBorders>
              <w:top w:val="single" w:sz="2" w:space="0" w:color="auto"/>
            </w:tcBorders>
          </w:tcPr>
          <w:p w14:paraId="40DC206D"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Indonesia</w:t>
            </w:r>
          </w:p>
        </w:tc>
        <w:tc>
          <w:tcPr>
            <w:tcW w:w="0" w:type="auto"/>
            <w:tcBorders>
              <w:top w:val="single" w:sz="2" w:space="0" w:color="auto"/>
            </w:tcBorders>
          </w:tcPr>
          <w:p w14:paraId="57D4C984" w14:textId="10DD1604"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77.94</w:t>
            </w:r>
          </w:p>
        </w:tc>
        <w:tc>
          <w:tcPr>
            <w:tcW w:w="0" w:type="auto"/>
            <w:tcBorders>
              <w:top w:val="single" w:sz="2" w:space="0" w:color="auto"/>
            </w:tcBorders>
          </w:tcPr>
          <w:p w14:paraId="1943B794" w14:textId="75D31119"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3.27</w:t>
            </w:r>
          </w:p>
        </w:tc>
        <w:tc>
          <w:tcPr>
            <w:tcW w:w="0" w:type="auto"/>
            <w:tcBorders>
              <w:top w:val="single" w:sz="2" w:space="0" w:color="auto"/>
            </w:tcBorders>
          </w:tcPr>
          <w:p w14:paraId="55E66E73" w14:textId="2CBC03F2"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3.67</w:t>
            </w:r>
          </w:p>
        </w:tc>
        <w:tc>
          <w:tcPr>
            <w:tcW w:w="0" w:type="auto"/>
            <w:tcBorders>
              <w:top w:val="single" w:sz="2" w:space="0" w:color="auto"/>
            </w:tcBorders>
          </w:tcPr>
          <w:p w14:paraId="042808C6" w14:textId="40C534E9"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5.21</w:t>
            </w:r>
          </w:p>
        </w:tc>
        <w:tc>
          <w:tcPr>
            <w:tcW w:w="0" w:type="auto"/>
            <w:tcBorders>
              <w:top w:val="single" w:sz="2" w:space="0" w:color="auto"/>
            </w:tcBorders>
          </w:tcPr>
          <w:p w14:paraId="0EE542FD" w14:textId="081BA5FD"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8.13</w:t>
            </w:r>
          </w:p>
        </w:tc>
        <w:tc>
          <w:tcPr>
            <w:tcW w:w="0" w:type="auto"/>
            <w:tcBorders>
              <w:top w:val="single" w:sz="2" w:space="0" w:color="auto"/>
            </w:tcBorders>
          </w:tcPr>
          <w:p w14:paraId="0C479A16" w14:textId="5D8F8AF6"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22.06</w:t>
            </w:r>
          </w:p>
        </w:tc>
      </w:tr>
      <w:tr w:rsidR="00E016CE" w:rsidRPr="00DC64F4" w14:paraId="505FC921" w14:textId="77777777" w:rsidTr="007430A9">
        <w:trPr>
          <w:jc w:val="center"/>
        </w:trPr>
        <w:tc>
          <w:tcPr>
            <w:tcW w:w="0" w:type="auto"/>
          </w:tcPr>
          <w:p w14:paraId="389264AB"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Malaysia</w:t>
            </w:r>
          </w:p>
        </w:tc>
        <w:tc>
          <w:tcPr>
            <w:tcW w:w="0" w:type="auto"/>
          </w:tcPr>
          <w:p w14:paraId="632CCFD5" w14:textId="55A701EB"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4.18</w:t>
            </w:r>
          </w:p>
        </w:tc>
        <w:tc>
          <w:tcPr>
            <w:tcW w:w="0" w:type="auto"/>
          </w:tcPr>
          <w:p w14:paraId="492E04CE" w14:textId="445E20F8"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82.09</w:t>
            </w:r>
          </w:p>
        </w:tc>
        <w:tc>
          <w:tcPr>
            <w:tcW w:w="0" w:type="auto"/>
          </w:tcPr>
          <w:p w14:paraId="057B384B" w14:textId="0F26AE91"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4.06</w:t>
            </w:r>
          </w:p>
        </w:tc>
        <w:tc>
          <w:tcPr>
            <w:tcW w:w="0" w:type="auto"/>
          </w:tcPr>
          <w:p w14:paraId="632B4679" w14:textId="618D49A7"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4.62</w:t>
            </w:r>
          </w:p>
        </w:tc>
        <w:tc>
          <w:tcPr>
            <w:tcW w:w="0" w:type="auto"/>
          </w:tcPr>
          <w:p w14:paraId="0E3B76C3" w14:textId="13024D27"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3.85</w:t>
            </w:r>
          </w:p>
        </w:tc>
        <w:tc>
          <w:tcPr>
            <w:tcW w:w="0" w:type="auto"/>
          </w:tcPr>
          <w:p w14:paraId="1A47D269" w14:textId="0FBE3459"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17.91</w:t>
            </w:r>
          </w:p>
        </w:tc>
      </w:tr>
      <w:tr w:rsidR="00E016CE" w:rsidRPr="00DC64F4" w14:paraId="3B4179A5" w14:textId="77777777" w:rsidTr="007430A9">
        <w:trPr>
          <w:jc w:val="center"/>
        </w:trPr>
        <w:tc>
          <w:tcPr>
            <w:tcW w:w="0" w:type="auto"/>
          </w:tcPr>
          <w:p w14:paraId="05B3DFAB"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Philippines</w:t>
            </w:r>
          </w:p>
        </w:tc>
        <w:tc>
          <w:tcPr>
            <w:tcW w:w="0" w:type="auto"/>
          </w:tcPr>
          <w:p w14:paraId="60984D14" w14:textId="1E99F5CA"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4.34</w:t>
            </w:r>
          </w:p>
        </w:tc>
        <w:tc>
          <w:tcPr>
            <w:tcW w:w="0" w:type="auto"/>
          </w:tcPr>
          <w:p w14:paraId="4DD1EDAE" w14:textId="61C73EFD"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4.24</w:t>
            </w:r>
          </w:p>
        </w:tc>
        <w:tc>
          <w:tcPr>
            <w:tcW w:w="0" w:type="auto"/>
          </w:tcPr>
          <w:p w14:paraId="0997F7E4" w14:textId="759061FF"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83.58</w:t>
            </w:r>
          </w:p>
        </w:tc>
        <w:tc>
          <w:tcPr>
            <w:tcW w:w="0" w:type="auto"/>
          </w:tcPr>
          <w:p w14:paraId="260DAAD7" w14:textId="3DA70F45"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2.96</w:t>
            </w:r>
          </w:p>
        </w:tc>
        <w:tc>
          <w:tcPr>
            <w:tcW w:w="0" w:type="auto"/>
          </w:tcPr>
          <w:p w14:paraId="755FB8BE" w14:textId="7D505DB7"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4.03</w:t>
            </w:r>
          </w:p>
        </w:tc>
        <w:tc>
          <w:tcPr>
            <w:tcW w:w="0" w:type="auto"/>
          </w:tcPr>
          <w:p w14:paraId="743F4B87" w14:textId="39ADAE7A"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16.42</w:t>
            </w:r>
          </w:p>
        </w:tc>
      </w:tr>
      <w:tr w:rsidR="00E016CE" w:rsidRPr="00DC64F4" w14:paraId="08B3B67B" w14:textId="77777777" w:rsidTr="007430A9">
        <w:trPr>
          <w:jc w:val="center"/>
        </w:trPr>
        <w:tc>
          <w:tcPr>
            <w:tcW w:w="0" w:type="auto"/>
          </w:tcPr>
          <w:p w14:paraId="59E495AB"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Singapore</w:t>
            </w:r>
          </w:p>
        </w:tc>
        <w:tc>
          <w:tcPr>
            <w:tcW w:w="0" w:type="auto"/>
          </w:tcPr>
          <w:p w14:paraId="314E9C16" w14:textId="01F2F5A8"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6.89</w:t>
            </w:r>
          </w:p>
        </w:tc>
        <w:tc>
          <w:tcPr>
            <w:tcW w:w="0" w:type="auto"/>
          </w:tcPr>
          <w:p w14:paraId="2FC6BF1A" w14:textId="33148749"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4.95</w:t>
            </w:r>
          </w:p>
        </w:tc>
        <w:tc>
          <w:tcPr>
            <w:tcW w:w="0" w:type="auto"/>
          </w:tcPr>
          <w:p w14:paraId="769E0A61" w14:textId="20D788FB"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3.20</w:t>
            </w:r>
          </w:p>
        </w:tc>
        <w:tc>
          <w:tcPr>
            <w:tcW w:w="0" w:type="auto"/>
          </w:tcPr>
          <w:p w14:paraId="28012573" w14:textId="6062C672"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79.34</w:t>
            </w:r>
          </w:p>
        </w:tc>
        <w:tc>
          <w:tcPr>
            <w:tcW w:w="0" w:type="auto"/>
          </w:tcPr>
          <w:p w14:paraId="4F066A25" w14:textId="0C7EA6D9"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4.75</w:t>
            </w:r>
          </w:p>
        </w:tc>
        <w:tc>
          <w:tcPr>
            <w:tcW w:w="0" w:type="auto"/>
          </w:tcPr>
          <w:p w14:paraId="4422DE37" w14:textId="3CB5E49B"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20.66</w:t>
            </w:r>
          </w:p>
        </w:tc>
      </w:tr>
      <w:tr w:rsidR="00E016CE" w:rsidRPr="00DC64F4" w14:paraId="76B5006F" w14:textId="77777777" w:rsidTr="007430A9">
        <w:trPr>
          <w:jc w:val="center"/>
        </w:trPr>
        <w:tc>
          <w:tcPr>
            <w:tcW w:w="0" w:type="auto"/>
          </w:tcPr>
          <w:p w14:paraId="716C3FA2"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Thailand</w:t>
            </w:r>
          </w:p>
        </w:tc>
        <w:tc>
          <w:tcPr>
            <w:tcW w:w="0" w:type="auto"/>
          </w:tcPr>
          <w:p w14:paraId="60D21778" w14:textId="468ECE4B"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7.69</w:t>
            </w:r>
          </w:p>
        </w:tc>
        <w:tc>
          <w:tcPr>
            <w:tcW w:w="0" w:type="auto"/>
          </w:tcPr>
          <w:p w14:paraId="76DB4CE7" w14:textId="2300147B"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3.62</w:t>
            </w:r>
          </w:p>
        </w:tc>
        <w:tc>
          <w:tcPr>
            <w:tcW w:w="0" w:type="auto"/>
          </w:tcPr>
          <w:p w14:paraId="562232DA" w14:textId="7FB77CE3"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2.89</w:t>
            </w:r>
          </w:p>
        </w:tc>
        <w:tc>
          <w:tcPr>
            <w:tcW w:w="0" w:type="auto"/>
          </w:tcPr>
          <w:p w14:paraId="7905B5A0" w14:textId="7551C9C2"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3.48</w:t>
            </w:r>
          </w:p>
        </w:tc>
        <w:tc>
          <w:tcPr>
            <w:tcW w:w="0" w:type="auto"/>
          </w:tcPr>
          <w:p w14:paraId="6B15B28F" w14:textId="706851B3"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81.06</w:t>
            </w:r>
          </w:p>
        </w:tc>
        <w:tc>
          <w:tcPr>
            <w:tcW w:w="0" w:type="auto"/>
          </w:tcPr>
          <w:p w14:paraId="3A700678" w14:textId="49891303"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18.94</w:t>
            </w:r>
          </w:p>
        </w:tc>
      </w:tr>
      <w:tr w:rsidR="00E016CE" w:rsidRPr="00DC64F4" w14:paraId="1B070D80" w14:textId="77777777" w:rsidTr="006D7933">
        <w:trPr>
          <w:jc w:val="center"/>
        </w:trPr>
        <w:tc>
          <w:tcPr>
            <w:tcW w:w="0" w:type="auto"/>
            <w:tcBorders>
              <w:bottom w:val="single" w:sz="4" w:space="0" w:color="auto"/>
            </w:tcBorders>
          </w:tcPr>
          <w:p w14:paraId="18DE902C" w14:textId="77777777" w:rsidR="00E016CE" w:rsidRPr="00DC64F4" w:rsidRDefault="00E016CE" w:rsidP="007430A9">
            <w:pPr>
              <w:pStyle w:val="Compact"/>
              <w:spacing w:line="360" w:lineRule="auto"/>
              <w:jc w:val="both"/>
              <w:rPr>
                <w:rFonts w:ascii="Times New Roman" w:hAnsi="Times New Roman" w:cs="Times New Roman"/>
              </w:rPr>
            </w:pPr>
            <w:r w:rsidRPr="00DC64F4">
              <w:rPr>
                <w:rFonts w:ascii="Times New Roman" w:hAnsi="Times New Roman" w:cs="Times New Roman"/>
              </w:rPr>
              <w:t>Vietnam</w:t>
            </w:r>
          </w:p>
        </w:tc>
        <w:tc>
          <w:tcPr>
            <w:tcW w:w="0" w:type="auto"/>
            <w:tcBorders>
              <w:bottom w:val="single" w:sz="4" w:space="0" w:color="auto"/>
            </w:tcBorders>
          </w:tcPr>
          <w:p w14:paraId="2D4DA68D" w14:textId="3A3B214C"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1.69</w:t>
            </w:r>
          </w:p>
        </w:tc>
        <w:tc>
          <w:tcPr>
            <w:tcW w:w="0" w:type="auto"/>
            <w:tcBorders>
              <w:bottom w:val="single" w:sz="4" w:space="0" w:color="auto"/>
            </w:tcBorders>
          </w:tcPr>
          <w:p w14:paraId="16FB3C67" w14:textId="27168DB6"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1.33</w:t>
            </w:r>
          </w:p>
        </w:tc>
        <w:tc>
          <w:tcPr>
            <w:tcW w:w="0" w:type="auto"/>
            <w:tcBorders>
              <w:bottom w:val="single" w:sz="4" w:space="0" w:color="auto"/>
            </w:tcBorders>
          </w:tcPr>
          <w:p w14:paraId="3F48F257" w14:textId="6553F3FF"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1.08</w:t>
            </w:r>
          </w:p>
        </w:tc>
        <w:tc>
          <w:tcPr>
            <w:tcW w:w="0" w:type="auto"/>
            <w:tcBorders>
              <w:bottom w:val="single" w:sz="4" w:space="0" w:color="auto"/>
            </w:tcBorders>
          </w:tcPr>
          <w:p w14:paraId="6C85D2E9" w14:textId="36964AC3"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1.40</w:t>
            </w:r>
          </w:p>
        </w:tc>
        <w:tc>
          <w:tcPr>
            <w:tcW w:w="0" w:type="auto"/>
            <w:tcBorders>
              <w:bottom w:val="single" w:sz="4" w:space="0" w:color="auto"/>
            </w:tcBorders>
          </w:tcPr>
          <w:p w14:paraId="64F936A5" w14:textId="2DA7E531"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1.39</w:t>
            </w:r>
          </w:p>
        </w:tc>
        <w:tc>
          <w:tcPr>
            <w:tcW w:w="0" w:type="auto"/>
            <w:tcBorders>
              <w:bottom w:val="single" w:sz="4" w:space="0" w:color="auto"/>
            </w:tcBorders>
          </w:tcPr>
          <w:p w14:paraId="47B2377A" w14:textId="6001F297" w:rsidR="00E016CE" w:rsidRPr="00DC64F4" w:rsidRDefault="002236DD" w:rsidP="007430A9">
            <w:pPr>
              <w:pStyle w:val="Compact"/>
              <w:spacing w:line="360" w:lineRule="auto"/>
              <w:jc w:val="both"/>
              <w:rPr>
                <w:rFonts w:ascii="Times New Roman" w:hAnsi="Times New Roman" w:cs="Times New Roman"/>
              </w:rPr>
            </w:pPr>
            <w:r w:rsidRPr="00DC64F4">
              <w:rPr>
                <w:rFonts w:ascii="Times New Roman" w:hAnsi="Times New Roman" w:cs="Times New Roman"/>
              </w:rPr>
              <w:t>6.89</w:t>
            </w:r>
          </w:p>
        </w:tc>
      </w:tr>
      <w:tr w:rsidR="006D7933" w:rsidRPr="00DC64F4" w14:paraId="0654635D" w14:textId="77777777" w:rsidTr="006D7933">
        <w:trPr>
          <w:jc w:val="center"/>
        </w:trPr>
        <w:tc>
          <w:tcPr>
            <w:tcW w:w="0" w:type="auto"/>
            <w:tcBorders>
              <w:top w:val="single" w:sz="4" w:space="0" w:color="auto"/>
            </w:tcBorders>
          </w:tcPr>
          <w:p w14:paraId="1EB24C13" w14:textId="0C14E8D0"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TO</w:t>
            </w:r>
          </w:p>
        </w:tc>
        <w:tc>
          <w:tcPr>
            <w:tcW w:w="0" w:type="auto"/>
            <w:tcBorders>
              <w:top w:val="single" w:sz="4" w:space="0" w:color="auto"/>
            </w:tcBorders>
          </w:tcPr>
          <w:p w14:paraId="391D34D1" w14:textId="0D77EA7F"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24.79</w:t>
            </w:r>
          </w:p>
        </w:tc>
        <w:tc>
          <w:tcPr>
            <w:tcW w:w="0" w:type="auto"/>
            <w:tcBorders>
              <w:top w:val="single" w:sz="4" w:space="0" w:color="auto"/>
            </w:tcBorders>
          </w:tcPr>
          <w:p w14:paraId="30800D71" w14:textId="4D9993CE"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17.40</w:t>
            </w:r>
          </w:p>
        </w:tc>
        <w:tc>
          <w:tcPr>
            <w:tcW w:w="0" w:type="auto"/>
            <w:tcBorders>
              <w:top w:val="single" w:sz="4" w:space="0" w:color="auto"/>
            </w:tcBorders>
          </w:tcPr>
          <w:p w14:paraId="3B9087E2" w14:textId="76C6D4B2"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14.90</w:t>
            </w:r>
          </w:p>
        </w:tc>
        <w:tc>
          <w:tcPr>
            <w:tcW w:w="0" w:type="auto"/>
            <w:tcBorders>
              <w:top w:val="single" w:sz="4" w:space="0" w:color="auto"/>
            </w:tcBorders>
          </w:tcPr>
          <w:p w14:paraId="32B9CF28" w14:textId="31E6FB70"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17.69</w:t>
            </w:r>
          </w:p>
        </w:tc>
        <w:tc>
          <w:tcPr>
            <w:tcW w:w="0" w:type="auto"/>
            <w:tcBorders>
              <w:top w:val="single" w:sz="4" w:space="0" w:color="auto"/>
            </w:tcBorders>
          </w:tcPr>
          <w:p w14:paraId="1D4CF425" w14:textId="6B473107"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22.15</w:t>
            </w:r>
          </w:p>
        </w:tc>
        <w:tc>
          <w:tcPr>
            <w:tcW w:w="0" w:type="auto"/>
            <w:tcBorders>
              <w:top w:val="single" w:sz="4" w:space="0" w:color="auto"/>
            </w:tcBorders>
          </w:tcPr>
          <w:p w14:paraId="2C3EF547" w14:textId="6DF60657"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5.94</w:t>
            </w:r>
          </w:p>
        </w:tc>
      </w:tr>
      <w:tr w:rsidR="006D7933" w:rsidRPr="00DC64F4" w14:paraId="6F34AB2B" w14:textId="77777777" w:rsidTr="006D7933">
        <w:trPr>
          <w:jc w:val="center"/>
        </w:trPr>
        <w:tc>
          <w:tcPr>
            <w:tcW w:w="0" w:type="auto"/>
            <w:tcBorders>
              <w:bottom w:val="single" w:sz="4" w:space="0" w:color="auto"/>
            </w:tcBorders>
          </w:tcPr>
          <w:p w14:paraId="7CAE5C8B" w14:textId="4F3F122F"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NET</w:t>
            </w:r>
          </w:p>
        </w:tc>
        <w:tc>
          <w:tcPr>
            <w:tcW w:w="0" w:type="auto"/>
            <w:tcBorders>
              <w:bottom w:val="single" w:sz="4" w:space="0" w:color="auto"/>
            </w:tcBorders>
          </w:tcPr>
          <w:p w14:paraId="482130AA" w14:textId="27223375"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2.74</w:t>
            </w:r>
          </w:p>
        </w:tc>
        <w:tc>
          <w:tcPr>
            <w:tcW w:w="0" w:type="auto"/>
            <w:tcBorders>
              <w:bottom w:val="single" w:sz="4" w:space="0" w:color="auto"/>
            </w:tcBorders>
          </w:tcPr>
          <w:p w14:paraId="3C54CBFD" w14:textId="28552F58"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-0.51</w:t>
            </w:r>
          </w:p>
        </w:tc>
        <w:tc>
          <w:tcPr>
            <w:tcW w:w="0" w:type="auto"/>
            <w:tcBorders>
              <w:bottom w:val="single" w:sz="4" w:space="0" w:color="auto"/>
            </w:tcBorders>
          </w:tcPr>
          <w:p w14:paraId="1C2287C6" w14:textId="5B9C1C1A"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-1.52</w:t>
            </w:r>
          </w:p>
        </w:tc>
        <w:tc>
          <w:tcPr>
            <w:tcW w:w="0" w:type="auto"/>
            <w:tcBorders>
              <w:bottom w:val="single" w:sz="4" w:space="0" w:color="auto"/>
            </w:tcBorders>
          </w:tcPr>
          <w:p w14:paraId="73BF68C1" w14:textId="58419BB7"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-2.98</w:t>
            </w:r>
          </w:p>
        </w:tc>
        <w:tc>
          <w:tcPr>
            <w:tcW w:w="0" w:type="auto"/>
            <w:tcBorders>
              <w:bottom w:val="single" w:sz="4" w:space="0" w:color="auto"/>
            </w:tcBorders>
          </w:tcPr>
          <w:p w14:paraId="1122AC4D" w14:textId="033AAEED"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3.21</w:t>
            </w:r>
          </w:p>
        </w:tc>
        <w:tc>
          <w:tcPr>
            <w:tcW w:w="0" w:type="auto"/>
            <w:tcBorders>
              <w:bottom w:val="single" w:sz="4" w:space="0" w:color="auto"/>
            </w:tcBorders>
          </w:tcPr>
          <w:p w14:paraId="7A38C6EF" w14:textId="295272BD" w:rsidR="006D7933" w:rsidRPr="00DC64F4" w:rsidRDefault="006D7933" w:rsidP="007430A9">
            <w:pPr>
              <w:pStyle w:val="Compact"/>
              <w:spacing w:line="360" w:lineRule="auto"/>
              <w:jc w:val="both"/>
              <w:rPr>
                <w:rFonts w:ascii="Times New Roman" w:hAnsi="Times New Roman" w:cs="Times New Roman"/>
              </w:rPr>
            </w:pPr>
            <w:r w:rsidRPr="00DC64F4">
              <w:rPr>
                <w:rFonts w:ascii="Times New Roman" w:hAnsi="Times New Roman" w:cs="Times New Roman"/>
              </w:rPr>
              <w:t>-0.95</w:t>
            </w:r>
          </w:p>
        </w:tc>
      </w:tr>
    </w:tbl>
    <w:p w14:paraId="013A9A0E" w14:textId="7660544B"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 xml:space="preserve">Note: Entries are normalized generalized forecast-error variance shares in percent for a 10-day horizon. The TCI is </w:t>
      </w:r>
      <m:oMath>
        <m:r>
          <m:rPr>
            <m:sty m:val="p"/>
          </m:rPr>
          <w:rPr>
            <w:rFonts w:ascii="Cambria Math" w:hAnsi="Cambria Math" w:cs="Times New Roman"/>
          </w:rPr>
          <m:t>102.87/6=17.15%</m:t>
        </m:r>
      </m:oMath>
      <w:r w:rsidRPr="00DC64F4">
        <w:rPr>
          <w:rFonts w:ascii="Times New Roman" w:hAnsi="Times New Roman" w:cs="Times New Roman"/>
        </w:rPr>
        <w:t>. Positive NET values identify net transmitters.</w:t>
      </w:r>
    </w:p>
    <w:p w14:paraId="44DD0A57" w14:textId="77777777" w:rsidR="008E130D" w:rsidRPr="00DC64F4" w:rsidRDefault="008E130D" w:rsidP="002B6539">
      <w:pPr>
        <w:pStyle w:val="BodyText"/>
        <w:spacing w:line="360" w:lineRule="auto"/>
        <w:jc w:val="both"/>
        <w:rPr>
          <w:rFonts w:ascii="Times New Roman" w:hAnsi="Times New Roman" w:cs="Times New Roman"/>
        </w:rPr>
      </w:pPr>
    </w:p>
    <w:p w14:paraId="4034C5FB"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18" w:name="time-varying-total-connectedness"/>
      <w:bookmarkEnd w:id="17"/>
      <w:r w:rsidRPr="00DC64F4">
        <w:rPr>
          <w:rStyle w:val="SectionNumber"/>
          <w:rFonts w:ascii="Times New Roman" w:hAnsi="Times New Roman" w:cs="Times New Roman"/>
          <w:b/>
          <w:bCs/>
          <w:color w:val="auto"/>
          <w:sz w:val="24"/>
          <w:szCs w:val="24"/>
        </w:rPr>
        <w:t>5.3</w:t>
      </w:r>
      <w:r w:rsidRPr="00DC64F4">
        <w:rPr>
          <w:rFonts w:ascii="Times New Roman" w:hAnsi="Times New Roman" w:cs="Times New Roman"/>
          <w:b/>
          <w:bCs/>
          <w:color w:val="auto"/>
          <w:sz w:val="24"/>
          <w:szCs w:val="24"/>
        </w:rPr>
        <w:tab/>
        <w:t>Time-varying total connectedness</w:t>
      </w:r>
    </w:p>
    <w:p w14:paraId="439BFF2F" w14:textId="77777777"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The 250-day rolling estimates demonstrate considerably more variation than the full-sample average. The mean dynamic TCI is 20.04%, with a standard deviation of 4.17 percentage points and a range from 9.88% to 48.84%. Large increases coincide with several global disturbances, most visibly the COVID-19 disruption. This variation supports H2’s prediction that the strength of ASEAN volatility transmission changes over time and shows why a single full-sample estimate can conceal periods of substantially elevated systemic risk.</w:t>
      </w:r>
    </w:p>
    <w:p w14:paraId="743586AA" w14:textId="4D7A82D6" w:rsidR="008E130D" w:rsidRPr="00DC64F4" w:rsidRDefault="008E130D" w:rsidP="008E130D">
      <w:pPr>
        <w:pStyle w:val="BodyText"/>
        <w:rPr>
          <w:rFonts w:ascii="Times New Roman" w:hAnsi="Times New Roman" w:cs="Times New Roman"/>
        </w:rPr>
      </w:pPr>
      <w:r w:rsidRPr="00DC64F4">
        <w:rPr>
          <w:rFonts w:ascii="Times New Roman" w:hAnsi="Times New Roman" w:cs="Times New Roman"/>
          <w:noProof/>
        </w:rPr>
        <w:lastRenderedPageBreak/>
        <w:drawing>
          <wp:inline distT="0" distB="0" distL="0" distR="0" wp14:anchorId="6B81AA0F" wp14:editId="6FFA2295">
            <wp:extent cx="5934075" cy="2066925"/>
            <wp:effectExtent l="0" t="0" r="0" b="0"/>
            <wp:docPr id="88496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2066925"/>
                    </a:xfrm>
                    <a:prstGeom prst="rect">
                      <a:avLst/>
                    </a:prstGeom>
                    <a:noFill/>
                    <a:ln>
                      <a:noFill/>
                    </a:ln>
                  </pic:spPr>
                </pic:pic>
              </a:graphicData>
            </a:graphic>
          </wp:inline>
        </w:drawing>
      </w:r>
    </w:p>
    <w:p w14:paraId="7BE38CBE" w14:textId="3D6E8ADB" w:rsidR="00012102" w:rsidRPr="00DC64F4" w:rsidRDefault="00E44CBB" w:rsidP="00012102">
      <w:pPr>
        <w:pStyle w:val="BodyText"/>
        <w:jc w:val="center"/>
        <w:rPr>
          <w:rFonts w:ascii="Times New Roman" w:hAnsi="Times New Roman" w:cs="Times New Roman"/>
        </w:rPr>
      </w:pPr>
      <w:r w:rsidRPr="00DC64F4">
        <w:rPr>
          <w:rFonts w:ascii="Times New Roman" w:hAnsi="Times New Roman" w:cs="Times New Roman"/>
          <w:b/>
          <w:bCs/>
        </w:rPr>
        <w:t>Figure 1:</w:t>
      </w:r>
      <w:r w:rsidRPr="00DC64F4">
        <w:rPr>
          <w:rFonts w:ascii="Times New Roman" w:hAnsi="Times New Roman" w:cs="Times New Roman"/>
        </w:rPr>
        <w:t xml:space="preserve"> </w:t>
      </w:r>
      <w:r w:rsidRPr="00DC64F4">
        <w:rPr>
          <w:rFonts w:ascii="Times New Roman" w:hAnsi="Times New Roman" w:cs="Times New Roman"/>
        </w:rPr>
        <w:t>Time-varying total volatility connectedness among ASEAN equity markets</w:t>
      </w:r>
      <w:r w:rsidR="0064511F" w:rsidRPr="00DC64F4">
        <w:rPr>
          <w:rFonts w:ascii="Times New Roman" w:hAnsi="Times New Roman" w:cs="Times New Roman"/>
        </w:rPr>
        <w:t>.</w:t>
      </w:r>
    </w:p>
    <w:p w14:paraId="53FB4F16" w14:textId="5864500A" w:rsidR="00E44CBB" w:rsidRPr="00DC64F4" w:rsidRDefault="00012102" w:rsidP="008E130D">
      <w:pPr>
        <w:pStyle w:val="BodyText"/>
        <w:rPr>
          <w:rFonts w:ascii="Times New Roman" w:hAnsi="Times New Roman" w:cs="Times New Roman"/>
        </w:rPr>
      </w:pPr>
      <w:r w:rsidRPr="00DC64F4">
        <w:rPr>
          <w:rFonts w:ascii="Times New Roman" w:hAnsi="Times New Roman" w:cs="Times New Roman"/>
        </w:rPr>
        <w:t xml:space="preserve">Note: </w:t>
      </w:r>
      <w:r w:rsidR="00E44CBB" w:rsidRPr="00DC64F4">
        <w:rPr>
          <w:rFonts w:ascii="Times New Roman" w:hAnsi="Times New Roman" w:cs="Times New Roman"/>
        </w:rPr>
        <w:t>The TCI is estimated using a 250-observation rolling VAR and a 10-day forecast horizon. The dashed line marks the full rolling-sample mean.</w:t>
      </w:r>
    </w:p>
    <w:p w14:paraId="7D537233" w14:textId="77777777" w:rsidR="00E44CBB" w:rsidRPr="00DC64F4" w:rsidRDefault="00E44CBB" w:rsidP="008E130D">
      <w:pPr>
        <w:pStyle w:val="BodyText"/>
        <w:rPr>
          <w:rFonts w:ascii="Times New Roman" w:hAnsi="Times New Roman" w:cs="Times New Roman"/>
        </w:rPr>
      </w:pPr>
    </w:p>
    <w:p w14:paraId="1BC5AB0F"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19" w:name="net-transmitters-and-receivers"/>
      <w:bookmarkEnd w:id="18"/>
      <w:r w:rsidRPr="00DC64F4">
        <w:rPr>
          <w:rStyle w:val="SectionNumber"/>
          <w:rFonts w:ascii="Times New Roman" w:hAnsi="Times New Roman" w:cs="Times New Roman"/>
          <w:b/>
          <w:bCs/>
          <w:color w:val="auto"/>
          <w:sz w:val="24"/>
          <w:szCs w:val="24"/>
        </w:rPr>
        <w:t>5.4</w:t>
      </w:r>
      <w:r w:rsidRPr="00DC64F4">
        <w:rPr>
          <w:rFonts w:ascii="Times New Roman" w:hAnsi="Times New Roman" w:cs="Times New Roman"/>
          <w:b/>
          <w:bCs/>
          <w:color w:val="auto"/>
          <w:sz w:val="24"/>
          <w:szCs w:val="24"/>
        </w:rPr>
        <w:tab/>
        <w:t>Net transmitters and receivers</w:t>
      </w:r>
    </w:p>
    <w:p w14:paraId="09401B4B" w14:textId="0FEC42AC"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 xml:space="preserve">Directional roles are also time varying. Under the baseline specification, Indonesia has the largest positive average net contribution (0.95 percentage points), while Vietnam’s average is </w:t>
      </w:r>
      <m:oMath>
        <m:r>
          <m:rPr>
            <m:sty m:val="p"/>
          </m:rPr>
          <w:rPr>
            <w:rFonts w:ascii="Cambria Math" w:hAnsi="Cambria Math" w:cs="Times New Roman"/>
          </w:rPr>
          <m:t>-0.72</m:t>
        </m:r>
      </m:oMath>
      <w:r w:rsidRPr="00DC64F4">
        <w:rPr>
          <w:rFonts w:ascii="Times New Roman" w:hAnsi="Times New Roman" w:cs="Times New Roman"/>
        </w:rPr>
        <w:t>. Vietnam nevertheless acts as a net transmitter in 37.5% of rolling windows. Event-specific changes are often larger than the unconditional rankings. During COVID-19, Thailand’s net position rises by 17.75 points while Vietnam’s falls by 12.16 points, making Thailand a substantially stronger transmitter and Vietnam a stronger receiver. During the US–China trade-war escalation, Thailand and Vietnam both move toward transmission, by 10.45 and 6.44 points, respectively. These reversals support the time-varying component of H2 but warn against treating any market’s systemic role as permanent.</w:t>
      </w:r>
    </w:p>
    <w:p w14:paraId="61E8500B" w14:textId="77777777" w:rsidR="00DC64F4" w:rsidRPr="00DC64F4" w:rsidRDefault="00DC64F4" w:rsidP="00DC64F4">
      <w:pPr>
        <w:pStyle w:val="BodyText"/>
        <w:rPr>
          <w:rFonts w:ascii="Times New Roman" w:hAnsi="Times New Roman" w:cs="Times New Roman"/>
        </w:rPr>
      </w:pPr>
    </w:p>
    <w:p w14:paraId="291AF268" w14:textId="6D7EB008" w:rsidR="00DC64F4" w:rsidRPr="00DC64F4" w:rsidRDefault="00DC64F4" w:rsidP="00DC64F4">
      <w:pPr>
        <w:pStyle w:val="BodyText"/>
        <w:rPr>
          <w:rFonts w:ascii="Times New Roman" w:hAnsi="Times New Roman" w:cs="Times New Roman"/>
        </w:rPr>
      </w:pPr>
      <w:r w:rsidRPr="00DC64F4">
        <w:rPr>
          <w:rFonts w:ascii="Times New Roman" w:hAnsi="Times New Roman" w:cs="Times New Roman"/>
          <w:noProof/>
        </w:rPr>
        <w:lastRenderedPageBreak/>
        <w:drawing>
          <wp:inline distT="0" distB="0" distL="0" distR="0" wp14:anchorId="403DC988" wp14:editId="72C15DC9">
            <wp:extent cx="5928995" cy="4207510"/>
            <wp:effectExtent l="0" t="0" r="0" b="0"/>
            <wp:docPr id="64005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995" cy="4207510"/>
                    </a:xfrm>
                    <a:prstGeom prst="rect">
                      <a:avLst/>
                    </a:prstGeom>
                    <a:noFill/>
                    <a:ln>
                      <a:noFill/>
                    </a:ln>
                  </pic:spPr>
                </pic:pic>
              </a:graphicData>
            </a:graphic>
          </wp:inline>
        </w:drawing>
      </w:r>
    </w:p>
    <w:p w14:paraId="5898D8EC" w14:textId="1C65CA83" w:rsidR="00DC64F4" w:rsidRDefault="00DC64F4" w:rsidP="00DC64F4">
      <w:pPr>
        <w:pStyle w:val="BodyText"/>
        <w:jc w:val="center"/>
        <w:rPr>
          <w:rFonts w:ascii="Times New Roman" w:hAnsi="Times New Roman" w:cs="Times New Roman"/>
        </w:rPr>
      </w:pPr>
      <w:r w:rsidRPr="00DC64F4">
        <w:rPr>
          <w:rFonts w:ascii="Times New Roman" w:hAnsi="Times New Roman" w:cs="Times New Roman"/>
          <w:b/>
          <w:bCs/>
        </w:rPr>
        <w:t xml:space="preserve">Figure 2: </w:t>
      </w:r>
      <w:r w:rsidRPr="00DC64F4">
        <w:rPr>
          <w:rFonts w:ascii="Times New Roman" w:hAnsi="Times New Roman" w:cs="Times New Roman"/>
        </w:rPr>
        <w:t>Time-varying net directional volatility connectedness by market</w:t>
      </w:r>
    </w:p>
    <w:p w14:paraId="62EDA80D" w14:textId="5254F7ED" w:rsidR="00DC64F4" w:rsidRPr="00DC64F4" w:rsidRDefault="00DC64F4" w:rsidP="00DC64F4">
      <w:pPr>
        <w:pStyle w:val="BodyText"/>
        <w:rPr>
          <w:rFonts w:ascii="Times New Roman" w:hAnsi="Times New Roman" w:cs="Times New Roman"/>
        </w:rPr>
      </w:pPr>
      <w:r w:rsidRPr="00DC64F4">
        <w:rPr>
          <w:rFonts w:ascii="Times New Roman" w:hAnsi="Times New Roman" w:cs="Times New Roman"/>
        </w:rPr>
        <w:t>Note: Positive values identify net transmitters and negative values identify net receivers. Estimates use the baseline rolling specification.</w:t>
      </w:r>
    </w:p>
    <w:p w14:paraId="1D88350E" w14:textId="66A12447" w:rsidR="00FF5AEC" w:rsidRDefault="00F26743" w:rsidP="002B6539">
      <w:pPr>
        <w:pStyle w:val="ImageCaption"/>
        <w:spacing w:line="360" w:lineRule="auto"/>
        <w:jc w:val="both"/>
        <w:rPr>
          <w:rFonts w:ascii="Times New Roman" w:hAnsi="Times New Roman" w:cs="Times New Roman"/>
          <w:i w:val="0"/>
        </w:rPr>
      </w:pPr>
      <w:bookmarkStart w:id="20" w:name="fig:net"/>
      <w:r>
        <w:rPr>
          <w:rFonts w:ascii="Times New Roman" w:hAnsi="Times New Roman" w:cs="Times New Roman"/>
          <w:i w:val="0"/>
          <w:noProof/>
        </w:rPr>
        <w:lastRenderedPageBreak/>
        <w:drawing>
          <wp:inline distT="0" distB="0" distL="0" distR="0" wp14:anchorId="56DADB51" wp14:editId="08CFBB56">
            <wp:extent cx="5943600" cy="5184775"/>
            <wp:effectExtent l="0" t="0" r="0" b="0"/>
            <wp:docPr id="953568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184775"/>
                    </a:xfrm>
                    <a:prstGeom prst="rect">
                      <a:avLst/>
                    </a:prstGeom>
                    <a:noFill/>
                    <a:ln>
                      <a:noFill/>
                    </a:ln>
                  </pic:spPr>
                </pic:pic>
              </a:graphicData>
            </a:graphic>
          </wp:inline>
        </w:drawing>
      </w:r>
    </w:p>
    <w:p w14:paraId="15A98953" w14:textId="77777777" w:rsidR="00F26743" w:rsidRPr="00DC64F4" w:rsidRDefault="00F26743" w:rsidP="00F26743">
      <w:pPr>
        <w:pStyle w:val="ImageCaption"/>
        <w:spacing w:line="360" w:lineRule="auto"/>
        <w:jc w:val="center"/>
        <w:rPr>
          <w:rFonts w:ascii="Times New Roman" w:hAnsi="Times New Roman" w:cs="Times New Roman"/>
          <w:i w:val="0"/>
        </w:rPr>
      </w:pPr>
      <w:r>
        <w:rPr>
          <w:rFonts w:ascii="Times New Roman" w:hAnsi="Times New Roman" w:cs="Times New Roman"/>
          <w:b/>
          <w:bCs/>
          <w:i w:val="0"/>
        </w:rPr>
        <w:t xml:space="preserve">Figure 3: </w:t>
      </w:r>
      <w:r w:rsidRPr="00DC64F4">
        <w:rPr>
          <w:rFonts w:ascii="Times New Roman" w:hAnsi="Times New Roman" w:cs="Times New Roman"/>
          <w:i w:val="0"/>
        </w:rPr>
        <w:t>Sources and recipients of full-sample volatility transmission</w:t>
      </w:r>
    </w:p>
    <w:p w14:paraId="1C9E8C60" w14:textId="12F0F0E7" w:rsidR="00F26743" w:rsidRDefault="00F26743" w:rsidP="002B6539">
      <w:pPr>
        <w:pStyle w:val="ImageCaption"/>
        <w:spacing w:line="360" w:lineRule="auto"/>
        <w:jc w:val="both"/>
        <w:rPr>
          <w:rFonts w:ascii="Times New Roman" w:hAnsi="Times New Roman" w:cs="Times New Roman"/>
          <w:i w:val="0"/>
        </w:rPr>
      </w:pPr>
      <w:r w:rsidRPr="00DC64F4">
        <w:rPr>
          <w:rFonts w:ascii="Times New Roman" w:hAnsi="Times New Roman" w:cs="Times New Roman"/>
          <w:i w:val="0"/>
        </w:rPr>
        <w:t>Note: Rows identify affected markets and columns identify shock sources. Diagonal entries are own-market variance shares; off-diagonal entries measure cross-market transmission.</w:t>
      </w:r>
    </w:p>
    <w:p w14:paraId="53A2FADC" w14:textId="77777777" w:rsidR="00F26743" w:rsidRPr="00F26743" w:rsidRDefault="00F26743" w:rsidP="002B6539">
      <w:pPr>
        <w:pStyle w:val="ImageCaption"/>
        <w:spacing w:line="360" w:lineRule="auto"/>
        <w:jc w:val="both"/>
        <w:rPr>
          <w:rFonts w:ascii="Times New Roman" w:hAnsi="Times New Roman" w:cs="Times New Roman"/>
          <w:i w:val="0"/>
        </w:rPr>
      </w:pPr>
    </w:p>
    <w:bookmarkEnd w:id="20"/>
    <w:p w14:paraId="317A0502"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Figure </w:t>
      </w:r>
      <w:hyperlink w:anchor="fig:net">
        <w:r w:rsidRPr="00DC64F4">
          <w:rPr>
            <w:rStyle w:val="Hyperlink"/>
            <w:rFonts w:ascii="Times New Roman" w:hAnsi="Times New Roman" w:cs="Times New Roman"/>
            <w:color w:val="auto"/>
          </w:rPr>
          <w:t>2</w:t>
        </w:r>
      </w:hyperlink>
      <w:r w:rsidRPr="00DC64F4">
        <w:rPr>
          <w:rFonts w:ascii="Times New Roman" w:hAnsi="Times New Roman" w:cs="Times New Roman"/>
        </w:rPr>
        <w:t xml:space="preserve"> visualizes the frequent changes in transmitter and receiver status, while Figure </w:t>
      </w:r>
      <w:hyperlink w:anchor="fig:gfevd">
        <w:r w:rsidRPr="00DC64F4">
          <w:rPr>
            <w:rStyle w:val="Hyperlink"/>
            <w:rFonts w:ascii="Times New Roman" w:hAnsi="Times New Roman" w:cs="Times New Roman"/>
            <w:color w:val="auto"/>
          </w:rPr>
          <w:t>3</w:t>
        </w:r>
      </w:hyperlink>
      <w:r w:rsidRPr="00DC64F4">
        <w:rPr>
          <w:rFonts w:ascii="Times New Roman" w:hAnsi="Times New Roman" w:cs="Times New Roman"/>
        </w:rPr>
        <w:t xml:space="preserve"> highlights Vietnam’s comparatively large own-market variance share and weak bilateral transmission.</w:t>
      </w:r>
    </w:p>
    <w:p w14:paraId="311EE10D"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21" w:name="global-uncertainty-and-connectedness"/>
      <w:bookmarkEnd w:id="19"/>
      <w:r w:rsidRPr="00DC64F4">
        <w:rPr>
          <w:rStyle w:val="SectionNumber"/>
          <w:rFonts w:ascii="Times New Roman" w:hAnsi="Times New Roman" w:cs="Times New Roman"/>
          <w:b/>
          <w:bCs/>
          <w:color w:val="auto"/>
          <w:sz w:val="24"/>
          <w:szCs w:val="24"/>
        </w:rPr>
        <w:lastRenderedPageBreak/>
        <w:t>5.5</w:t>
      </w:r>
      <w:r w:rsidRPr="00DC64F4">
        <w:rPr>
          <w:rFonts w:ascii="Times New Roman" w:hAnsi="Times New Roman" w:cs="Times New Roman"/>
          <w:b/>
          <w:bCs/>
          <w:color w:val="auto"/>
          <w:sz w:val="24"/>
          <w:szCs w:val="24"/>
        </w:rPr>
        <w:tab/>
        <w:t>Global uncertainty and connectedness</w:t>
      </w:r>
    </w:p>
    <w:p w14:paraId="08AC7E37" w14:textId="7BCFA2D1" w:rsidR="00FF5AEC"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Table </w:t>
      </w:r>
      <w:hyperlink w:anchor="tab:events">
        <w:r w:rsidR="00A672B5">
          <w:rPr>
            <w:rStyle w:val="Hyperlink"/>
            <w:rFonts w:ascii="Times New Roman" w:hAnsi="Times New Roman" w:cs="Times New Roman"/>
            <w:color w:val="auto"/>
          </w:rPr>
          <w:t>7</w:t>
        </w:r>
      </w:hyperlink>
      <w:r w:rsidRPr="00DC64F4">
        <w:rPr>
          <w:rFonts w:ascii="Times New Roman" w:hAnsi="Times New Roman" w:cs="Times New Roman"/>
        </w:rPr>
        <w:t xml:space="preserve"> compares the rolling TCI during each shock window with its tranquil benchmark. Six of the eight episodes display a positive difference whose 20-day moving-block bootstrap interval excludes zero. The largest change occurs during COVID-19: mean connectedness rises from 21.77% to 41.75%, a difference of 19.98 points. The US–China trade-war escalation produces the second-largest increase (12.13 points), followed by the Chinese market crash (8.53 points), European debt crisis (7.63 points), taper tantrum (7.24 points), and 2022 monetary tightening (4.69 points). The Russia–Ukraine window produces a small and statistically uncertain increase of 0.61 points. Connectedness falls by 2.16 points during the 2023 US banking crisis. H1 is therefore partially, rather than universally, supported.</w:t>
      </w:r>
    </w:p>
    <w:p w14:paraId="18D9634E" w14:textId="77777777" w:rsidR="00871C12" w:rsidRPr="00871C12" w:rsidRDefault="00871C12" w:rsidP="00871C12">
      <w:pPr>
        <w:pStyle w:val="BodyText"/>
      </w:pPr>
    </w:p>
    <w:p w14:paraId="753B76B4" w14:textId="5E1239B2" w:rsidR="0026122A" w:rsidRPr="0026122A" w:rsidRDefault="0026122A" w:rsidP="0026122A">
      <w:pPr>
        <w:pStyle w:val="TableCaption"/>
        <w:spacing w:line="360" w:lineRule="auto"/>
        <w:jc w:val="center"/>
        <w:rPr>
          <w:rFonts w:ascii="Times New Roman" w:hAnsi="Times New Roman" w:cs="Times New Roman"/>
          <w:i w:val="0"/>
        </w:rPr>
      </w:pPr>
      <w:r w:rsidRPr="00DC64F4">
        <w:rPr>
          <w:rFonts w:ascii="Times New Roman" w:hAnsi="Times New Roman" w:cs="Times New Roman"/>
          <w:b/>
          <w:bCs/>
          <w:i w:val="0"/>
        </w:rPr>
        <w:t xml:space="preserve">Table </w:t>
      </w:r>
      <w:r>
        <w:rPr>
          <w:rFonts w:ascii="Times New Roman" w:hAnsi="Times New Roman" w:cs="Times New Roman"/>
          <w:b/>
          <w:bCs/>
          <w:i w:val="0"/>
        </w:rPr>
        <w:t>7</w:t>
      </w:r>
      <w:r w:rsidRPr="00DC64F4">
        <w:rPr>
          <w:rFonts w:ascii="Times New Roman" w:hAnsi="Times New Roman" w:cs="Times New Roman"/>
          <w:b/>
          <w:bCs/>
          <w:i w:val="0"/>
        </w:rPr>
        <w:t xml:space="preserve">: </w:t>
      </w:r>
      <w:r>
        <w:rPr>
          <w:rFonts w:ascii="Times New Roman" w:hAnsi="Times New Roman" w:cs="Times New Roman"/>
          <w:i w:val="0"/>
        </w:rPr>
        <w:t>Shock-associated changes in total connectedness</w:t>
      </w:r>
    </w:p>
    <w:tbl>
      <w:tblPr>
        <w:tblStyle w:val="Table"/>
        <w:tblW w:w="0" w:type="auto"/>
        <w:jc w:val="center"/>
        <w:tblLook w:val="0020" w:firstRow="1" w:lastRow="0" w:firstColumn="0" w:lastColumn="0" w:noHBand="0" w:noVBand="0"/>
      </w:tblPr>
      <w:tblGrid>
        <w:gridCol w:w="2289"/>
        <w:gridCol w:w="1263"/>
        <w:gridCol w:w="1490"/>
        <w:gridCol w:w="1242"/>
        <w:gridCol w:w="2043"/>
        <w:gridCol w:w="1122"/>
      </w:tblGrid>
      <w:tr w:rsidR="00722900" w:rsidRPr="00DC64F4" w14:paraId="1DBFD92F" w14:textId="77777777" w:rsidTr="007430A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0545D845" w14:textId="542DCBCA" w:rsidR="00722900" w:rsidRPr="00DC64F4" w:rsidRDefault="00722900" w:rsidP="007430A9">
            <w:pPr>
              <w:pStyle w:val="Compact"/>
              <w:spacing w:line="360" w:lineRule="auto"/>
              <w:jc w:val="both"/>
              <w:rPr>
                <w:rFonts w:ascii="Times New Roman" w:hAnsi="Times New Roman" w:cs="Times New Roman"/>
              </w:rPr>
            </w:pPr>
            <w:r>
              <w:rPr>
                <w:rFonts w:ascii="Times New Roman" w:hAnsi="Times New Roman" w:cs="Times New Roman"/>
              </w:rPr>
              <w:t>Episode</w:t>
            </w:r>
          </w:p>
        </w:tc>
        <w:tc>
          <w:tcPr>
            <w:tcW w:w="0" w:type="auto"/>
            <w:tcBorders>
              <w:top w:val="single" w:sz="4" w:space="0" w:color="auto"/>
              <w:bottom w:val="single" w:sz="2" w:space="0" w:color="auto"/>
            </w:tcBorders>
          </w:tcPr>
          <w:p w14:paraId="638692BA" w14:textId="62C91A54" w:rsidR="00722900" w:rsidRPr="00DC64F4" w:rsidRDefault="00722900" w:rsidP="007430A9">
            <w:pPr>
              <w:pStyle w:val="Compact"/>
              <w:spacing w:line="360" w:lineRule="auto"/>
              <w:jc w:val="both"/>
              <w:rPr>
                <w:rFonts w:ascii="Times New Roman" w:hAnsi="Times New Roman" w:cs="Times New Roman"/>
              </w:rPr>
            </w:pPr>
            <w:r>
              <w:rPr>
                <w:rFonts w:ascii="Times New Roman" w:hAnsi="Times New Roman" w:cs="Times New Roman"/>
              </w:rPr>
              <w:t>Shock TCI</w:t>
            </w:r>
          </w:p>
        </w:tc>
        <w:tc>
          <w:tcPr>
            <w:tcW w:w="0" w:type="auto"/>
            <w:tcBorders>
              <w:top w:val="single" w:sz="4" w:space="0" w:color="auto"/>
              <w:bottom w:val="single" w:sz="2" w:space="0" w:color="auto"/>
            </w:tcBorders>
          </w:tcPr>
          <w:p w14:paraId="3CB7C43C" w14:textId="1E522A89" w:rsidR="00722900" w:rsidRPr="00DC64F4" w:rsidRDefault="00722900" w:rsidP="007430A9">
            <w:pPr>
              <w:pStyle w:val="Compact"/>
              <w:spacing w:line="360" w:lineRule="auto"/>
              <w:jc w:val="both"/>
              <w:rPr>
                <w:rFonts w:ascii="Times New Roman" w:hAnsi="Times New Roman" w:cs="Times New Roman"/>
              </w:rPr>
            </w:pPr>
            <w:r>
              <w:rPr>
                <w:rFonts w:ascii="Times New Roman" w:hAnsi="Times New Roman" w:cs="Times New Roman"/>
              </w:rPr>
              <w:t>Tranquil TCI</w:t>
            </w:r>
          </w:p>
        </w:tc>
        <w:tc>
          <w:tcPr>
            <w:tcW w:w="0" w:type="auto"/>
            <w:tcBorders>
              <w:top w:val="single" w:sz="4" w:space="0" w:color="auto"/>
              <w:bottom w:val="single" w:sz="2" w:space="0" w:color="auto"/>
            </w:tcBorders>
          </w:tcPr>
          <w:p w14:paraId="70F00364" w14:textId="2CB664F0" w:rsidR="00722900" w:rsidRPr="00DC64F4" w:rsidRDefault="00722900" w:rsidP="007430A9">
            <w:pPr>
              <w:pStyle w:val="Compact"/>
              <w:spacing w:line="360" w:lineRule="auto"/>
              <w:jc w:val="both"/>
              <w:rPr>
                <w:rFonts w:ascii="Times New Roman" w:hAnsi="Times New Roman" w:cs="Times New Roman"/>
              </w:rPr>
            </w:pPr>
            <w:r>
              <w:rPr>
                <w:rFonts w:ascii="Times New Roman" w:hAnsi="Times New Roman" w:cs="Times New Roman"/>
              </w:rPr>
              <w:t>Difference</w:t>
            </w:r>
          </w:p>
        </w:tc>
        <w:tc>
          <w:tcPr>
            <w:tcW w:w="0" w:type="auto"/>
            <w:tcBorders>
              <w:top w:val="single" w:sz="4" w:space="0" w:color="auto"/>
              <w:bottom w:val="single" w:sz="2" w:space="0" w:color="auto"/>
            </w:tcBorders>
          </w:tcPr>
          <w:p w14:paraId="42BF0C1D" w14:textId="7A1B4ED6" w:rsidR="00722900" w:rsidRPr="00DC64F4" w:rsidRDefault="00722900" w:rsidP="007430A9">
            <w:pPr>
              <w:pStyle w:val="Compact"/>
              <w:spacing w:line="360" w:lineRule="auto"/>
              <w:jc w:val="both"/>
              <w:rPr>
                <w:rFonts w:ascii="Times New Roman" w:hAnsi="Times New Roman" w:cs="Times New Roman"/>
              </w:rPr>
            </w:pPr>
            <w:r>
              <w:rPr>
                <w:rFonts w:ascii="Times New Roman" w:hAnsi="Times New Roman" w:cs="Times New Roman"/>
              </w:rPr>
              <w:t>95% MBB interval</w:t>
            </w:r>
          </w:p>
        </w:tc>
        <w:tc>
          <w:tcPr>
            <w:tcW w:w="0" w:type="auto"/>
            <w:tcBorders>
              <w:top w:val="single" w:sz="4" w:space="0" w:color="auto"/>
              <w:bottom w:val="single" w:sz="2" w:space="0" w:color="auto"/>
            </w:tcBorders>
          </w:tcPr>
          <w:p w14:paraId="364086E2" w14:textId="6092D7C5" w:rsidR="00722900" w:rsidRPr="00DC64F4" w:rsidRDefault="00722900" w:rsidP="007430A9">
            <w:pPr>
              <w:pStyle w:val="Compact"/>
              <w:spacing w:line="360" w:lineRule="auto"/>
              <w:jc w:val="both"/>
              <w:rPr>
                <w:rFonts w:ascii="Times New Roman" w:hAnsi="Times New Roman" w:cs="Times New Roman"/>
              </w:rPr>
            </w:pPr>
            <w:r>
              <w:rPr>
                <w:rFonts w:ascii="Times New Roman" w:hAnsi="Times New Roman" w:cs="Times New Roman"/>
              </w:rPr>
              <w:t>Increase?</w:t>
            </w:r>
          </w:p>
        </w:tc>
      </w:tr>
      <w:tr w:rsidR="00C24823" w:rsidRPr="00DC64F4" w14:paraId="3D36EB78" w14:textId="77777777" w:rsidTr="007430A9">
        <w:trPr>
          <w:jc w:val="center"/>
        </w:trPr>
        <w:tc>
          <w:tcPr>
            <w:tcW w:w="0" w:type="auto"/>
            <w:tcBorders>
              <w:top w:val="single" w:sz="2" w:space="0" w:color="auto"/>
            </w:tcBorders>
          </w:tcPr>
          <w:p w14:paraId="63FBAF32" w14:textId="220D6BA9" w:rsidR="00C24823" w:rsidRPr="00DC64F4" w:rsidRDefault="00C24823" w:rsidP="00C24823">
            <w:pPr>
              <w:pStyle w:val="Compact"/>
              <w:spacing w:line="360" w:lineRule="auto"/>
              <w:jc w:val="both"/>
              <w:rPr>
                <w:rFonts w:ascii="Times New Roman" w:hAnsi="Times New Roman" w:cs="Times New Roman"/>
              </w:rPr>
            </w:pPr>
            <w:r w:rsidRPr="00DC64F4">
              <w:rPr>
                <w:rFonts w:ascii="Times New Roman" w:hAnsi="Times New Roman" w:cs="Times New Roman"/>
              </w:rPr>
              <w:t>European debt crisis</w:t>
            </w:r>
          </w:p>
        </w:tc>
        <w:tc>
          <w:tcPr>
            <w:tcW w:w="0" w:type="auto"/>
            <w:tcBorders>
              <w:top w:val="single" w:sz="2" w:space="0" w:color="auto"/>
            </w:tcBorders>
          </w:tcPr>
          <w:p w14:paraId="497D0A2C" w14:textId="2307B8B6"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28.73</w:t>
            </w:r>
          </w:p>
        </w:tc>
        <w:tc>
          <w:tcPr>
            <w:tcW w:w="0" w:type="auto"/>
            <w:tcBorders>
              <w:top w:val="single" w:sz="2" w:space="0" w:color="auto"/>
            </w:tcBorders>
          </w:tcPr>
          <w:p w14:paraId="5CFC213C" w14:textId="7D73606F"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21.10</w:t>
            </w:r>
          </w:p>
        </w:tc>
        <w:tc>
          <w:tcPr>
            <w:tcW w:w="0" w:type="auto"/>
            <w:tcBorders>
              <w:top w:val="single" w:sz="2" w:space="0" w:color="auto"/>
            </w:tcBorders>
          </w:tcPr>
          <w:p w14:paraId="4F93E02D" w14:textId="762FBF7F"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7.63</w:t>
            </w:r>
          </w:p>
        </w:tc>
        <w:tc>
          <w:tcPr>
            <w:tcW w:w="0" w:type="auto"/>
            <w:tcBorders>
              <w:top w:val="single" w:sz="2" w:space="0" w:color="auto"/>
            </w:tcBorders>
          </w:tcPr>
          <w:p w14:paraId="770BEEF8" w14:textId="1B857D51" w:rsidR="00C24823" w:rsidRPr="00DC64F4" w:rsidRDefault="00C24823" w:rsidP="00C24823">
            <w:pPr>
              <w:pStyle w:val="Compact"/>
              <w:spacing w:line="360" w:lineRule="auto"/>
              <w:jc w:val="both"/>
              <w:rPr>
                <w:rFonts w:ascii="Times New Roman" w:hAnsi="Times New Roman" w:cs="Times New Roman"/>
              </w:rPr>
            </w:pPr>
            <w:r w:rsidRPr="00DF306A">
              <w:rPr>
                <w:rFonts w:ascii="Times New Roman" w:hAnsi="Times New Roman" w:cs="Times New Roman"/>
              </w:rPr>
              <w:t>[5.53,10.09]</w:t>
            </w:r>
          </w:p>
        </w:tc>
        <w:tc>
          <w:tcPr>
            <w:tcW w:w="0" w:type="auto"/>
            <w:tcBorders>
              <w:top w:val="single" w:sz="2" w:space="0" w:color="auto"/>
            </w:tcBorders>
          </w:tcPr>
          <w:p w14:paraId="1FDB8B05" w14:textId="3D4C625B" w:rsidR="00C24823" w:rsidRPr="00DC64F4" w:rsidRDefault="00C24823" w:rsidP="00C24823">
            <w:pPr>
              <w:pStyle w:val="Compact"/>
              <w:spacing w:line="360" w:lineRule="auto"/>
              <w:jc w:val="both"/>
              <w:rPr>
                <w:rFonts w:ascii="Times New Roman" w:hAnsi="Times New Roman" w:cs="Times New Roman"/>
              </w:rPr>
            </w:pPr>
            <w:r w:rsidRPr="0013344E">
              <w:rPr>
                <w:rFonts w:ascii="Times New Roman" w:hAnsi="Times New Roman" w:cs="Times New Roman"/>
              </w:rPr>
              <w:t>Yes</w:t>
            </w:r>
          </w:p>
        </w:tc>
      </w:tr>
      <w:tr w:rsidR="00C24823" w:rsidRPr="00DC64F4" w14:paraId="1586141D" w14:textId="77777777" w:rsidTr="007430A9">
        <w:trPr>
          <w:jc w:val="center"/>
        </w:trPr>
        <w:tc>
          <w:tcPr>
            <w:tcW w:w="0" w:type="auto"/>
          </w:tcPr>
          <w:p w14:paraId="7EF42D63" w14:textId="1B1637E3" w:rsidR="00C24823" w:rsidRPr="00DC64F4" w:rsidRDefault="00C24823" w:rsidP="00C24823">
            <w:pPr>
              <w:pStyle w:val="Compact"/>
              <w:spacing w:line="360" w:lineRule="auto"/>
              <w:jc w:val="both"/>
              <w:rPr>
                <w:rFonts w:ascii="Times New Roman" w:hAnsi="Times New Roman" w:cs="Times New Roman"/>
              </w:rPr>
            </w:pPr>
            <w:r w:rsidRPr="00DC64F4">
              <w:rPr>
                <w:rFonts w:ascii="Times New Roman" w:hAnsi="Times New Roman" w:cs="Times New Roman"/>
              </w:rPr>
              <w:t>Taper tantrum</w:t>
            </w:r>
          </w:p>
        </w:tc>
        <w:tc>
          <w:tcPr>
            <w:tcW w:w="0" w:type="auto"/>
          </w:tcPr>
          <w:p w14:paraId="787E2426" w14:textId="67829B41"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20.75</w:t>
            </w:r>
          </w:p>
        </w:tc>
        <w:tc>
          <w:tcPr>
            <w:tcW w:w="0" w:type="auto"/>
          </w:tcPr>
          <w:p w14:paraId="1A3DC94E" w14:textId="79E004FC"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13.51</w:t>
            </w:r>
          </w:p>
        </w:tc>
        <w:tc>
          <w:tcPr>
            <w:tcW w:w="0" w:type="auto"/>
          </w:tcPr>
          <w:p w14:paraId="4F6086C8" w14:textId="00B478A1"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7.24</w:t>
            </w:r>
          </w:p>
        </w:tc>
        <w:tc>
          <w:tcPr>
            <w:tcW w:w="0" w:type="auto"/>
          </w:tcPr>
          <w:p w14:paraId="451F9181" w14:textId="57163999" w:rsidR="00C24823" w:rsidRPr="00DC64F4" w:rsidRDefault="00C24823" w:rsidP="00C24823">
            <w:pPr>
              <w:pStyle w:val="Compact"/>
              <w:spacing w:line="360" w:lineRule="auto"/>
              <w:jc w:val="both"/>
              <w:rPr>
                <w:rFonts w:ascii="Times New Roman" w:hAnsi="Times New Roman" w:cs="Times New Roman"/>
              </w:rPr>
            </w:pPr>
            <w:r w:rsidRPr="00DF306A">
              <w:rPr>
                <w:rFonts w:ascii="Times New Roman" w:hAnsi="Times New Roman" w:cs="Times New Roman"/>
              </w:rPr>
              <w:t>[5.80,10.04]</w:t>
            </w:r>
          </w:p>
        </w:tc>
        <w:tc>
          <w:tcPr>
            <w:tcW w:w="0" w:type="auto"/>
          </w:tcPr>
          <w:p w14:paraId="671DDC73" w14:textId="36661F4A" w:rsidR="00C24823" w:rsidRPr="00DC64F4" w:rsidRDefault="00C24823" w:rsidP="00C24823">
            <w:pPr>
              <w:pStyle w:val="Compact"/>
              <w:spacing w:line="360" w:lineRule="auto"/>
              <w:jc w:val="both"/>
              <w:rPr>
                <w:rFonts w:ascii="Times New Roman" w:hAnsi="Times New Roman" w:cs="Times New Roman"/>
              </w:rPr>
            </w:pPr>
            <w:r w:rsidRPr="0013344E">
              <w:rPr>
                <w:rFonts w:ascii="Times New Roman" w:hAnsi="Times New Roman" w:cs="Times New Roman"/>
              </w:rPr>
              <w:t>Yes</w:t>
            </w:r>
          </w:p>
        </w:tc>
      </w:tr>
      <w:tr w:rsidR="00C24823" w:rsidRPr="00DC64F4" w14:paraId="715F6AA6" w14:textId="77777777" w:rsidTr="007430A9">
        <w:trPr>
          <w:jc w:val="center"/>
        </w:trPr>
        <w:tc>
          <w:tcPr>
            <w:tcW w:w="0" w:type="auto"/>
          </w:tcPr>
          <w:p w14:paraId="53BE4838" w14:textId="2020050D" w:rsidR="00C24823" w:rsidRPr="00DC64F4" w:rsidRDefault="00C24823" w:rsidP="00C24823">
            <w:pPr>
              <w:pStyle w:val="Compact"/>
              <w:spacing w:line="360" w:lineRule="auto"/>
              <w:jc w:val="both"/>
              <w:rPr>
                <w:rFonts w:ascii="Times New Roman" w:hAnsi="Times New Roman" w:cs="Times New Roman"/>
              </w:rPr>
            </w:pPr>
            <w:r w:rsidRPr="00DC64F4">
              <w:rPr>
                <w:rFonts w:ascii="Times New Roman" w:hAnsi="Times New Roman" w:cs="Times New Roman"/>
              </w:rPr>
              <w:t>China market crash</w:t>
            </w:r>
          </w:p>
        </w:tc>
        <w:tc>
          <w:tcPr>
            <w:tcW w:w="0" w:type="auto"/>
          </w:tcPr>
          <w:p w14:paraId="45E56236" w14:textId="67D565AE"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18.82</w:t>
            </w:r>
          </w:p>
        </w:tc>
        <w:tc>
          <w:tcPr>
            <w:tcW w:w="0" w:type="auto"/>
          </w:tcPr>
          <w:p w14:paraId="0BF5919B" w14:textId="12A9DF59"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10.29</w:t>
            </w:r>
          </w:p>
        </w:tc>
        <w:tc>
          <w:tcPr>
            <w:tcW w:w="0" w:type="auto"/>
          </w:tcPr>
          <w:p w14:paraId="66DF8E92" w14:textId="165CEBE3"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8.53</w:t>
            </w:r>
          </w:p>
        </w:tc>
        <w:tc>
          <w:tcPr>
            <w:tcW w:w="0" w:type="auto"/>
          </w:tcPr>
          <w:p w14:paraId="296D57C6" w14:textId="14A549FB" w:rsidR="00C24823" w:rsidRPr="00DC64F4" w:rsidRDefault="00C24823" w:rsidP="00C24823">
            <w:pPr>
              <w:pStyle w:val="Compact"/>
              <w:spacing w:line="360" w:lineRule="auto"/>
              <w:jc w:val="both"/>
              <w:rPr>
                <w:rFonts w:ascii="Times New Roman" w:hAnsi="Times New Roman" w:cs="Times New Roman"/>
              </w:rPr>
            </w:pPr>
            <w:r w:rsidRPr="00DF306A">
              <w:rPr>
                <w:rFonts w:ascii="Times New Roman" w:hAnsi="Times New Roman" w:cs="Times New Roman"/>
              </w:rPr>
              <w:t>[6.04,11.60]</w:t>
            </w:r>
          </w:p>
        </w:tc>
        <w:tc>
          <w:tcPr>
            <w:tcW w:w="0" w:type="auto"/>
          </w:tcPr>
          <w:p w14:paraId="62CD0D83" w14:textId="06CB38BF" w:rsidR="00C24823" w:rsidRPr="00DC64F4" w:rsidRDefault="00C24823" w:rsidP="00C24823">
            <w:pPr>
              <w:pStyle w:val="Compact"/>
              <w:spacing w:line="360" w:lineRule="auto"/>
              <w:jc w:val="both"/>
              <w:rPr>
                <w:rFonts w:ascii="Times New Roman" w:hAnsi="Times New Roman" w:cs="Times New Roman"/>
              </w:rPr>
            </w:pPr>
            <w:r w:rsidRPr="0013344E">
              <w:rPr>
                <w:rFonts w:ascii="Times New Roman" w:hAnsi="Times New Roman" w:cs="Times New Roman"/>
              </w:rPr>
              <w:t>Yes</w:t>
            </w:r>
          </w:p>
        </w:tc>
      </w:tr>
      <w:tr w:rsidR="00C24823" w:rsidRPr="00DC64F4" w14:paraId="49C76332" w14:textId="77777777" w:rsidTr="007430A9">
        <w:trPr>
          <w:jc w:val="center"/>
        </w:trPr>
        <w:tc>
          <w:tcPr>
            <w:tcW w:w="0" w:type="auto"/>
          </w:tcPr>
          <w:p w14:paraId="748B4355" w14:textId="3532E1F1" w:rsidR="00C24823" w:rsidRPr="00DC64F4" w:rsidRDefault="00C24823" w:rsidP="00C24823">
            <w:pPr>
              <w:pStyle w:val="Compact"/>
              <w:spacing w:line="360" w:lineRule="auto"/>
              <w:jc w:val="both"/>
              <w:rPr>
                <w:rFonts w:ascii="Times New Roman" w:hAnsi="Times New Roman" w:cs="Times New Roman"/>
              </w:rPr>
            </w:pPr>
            <w:r w:rsidRPr="00DC64F4">
              <w:rPr>
                <w:rFonts w:ascii="Times New Roman" w:hAnsi="Times New Roman" w:cs="Times New Roman"/>
              </w:rPr>
              <w:t>US-China trade war</w:t>
            </w:r>
          </w:p>
        </w:tc>
        <w:tc>
          <w:tcPr>
            <w:tcW w:w="0" w:type="auto"/>
          </w:tcPr>
          <w:p w14:paraId="1DA31CC6" w14:textId="37112D6B"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23.86</w:t>
            </w:r>
          </w:p>
        </w:tc>
        <w:tc>
          <w:tcPr>
            <w:tcW w:w="0" w:type="auto"/>
          </w:tcPr>
          <w:p w14:paraId="1593AC60" w14:textId="5CA3364F"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11.73</w:t>
            </w:r>
          </w:p>
        </w:tc>
        <w:tc>
          <w:tcPr>
            <w:tcW w:w="0" w:type="auto"/>
          </w:tcPr>
          <w:p w14:paraId="5D48AD8C" w14:textId="1FC41667"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12.13</w:t>
            </w:r>
          </w:p>
        </w:tc>
        <w:tc>
          <w:tcPr>
            <w:tcW w:w="0" w:type="auto"/>
          </w:tcPr>
          <w:p w14:paraId="4836C96C" w14:textId="553229CF" w:rsidR="00C24823" w:rsidRPr="00DC64F4" w:rsidRDefault="00C24823" w:rsidP="00C24823">
            <w:pPr>
              <w:pStyle w:val="Compact"/>
              <w:spacing w:line="360" w:lineRule="auto"/>
              <w:jc w:val="both"/>
              <w:rPr>
                <w:rFonts w:ascii="Times New Roman" w:hAnsi="Times New Roman" w:cs="Times New Roman"/>
              </w:rPr>
            </w:pPr>
            <w:r w:rsidRPr="00DF306A">
              <w:rPr>
                <w:rFonts w:ascii="Times New Roman" w:hAnsi="Times New Roman" w:cs="Times New Roman"/>
              </w:rPr>
              <w:t>[11.08,15.46]</w:t>
            </w:r>
          </w:p>
        </w:tc>
        <w:tc>
          <w:tcPr>
            <w:tcW w:w="0" w:type="auto"/>
          </w:tcPr>
          <w:p w14:paraId="78DA0DD8" w14:textId="3D4CA937" w:rsidR="00C24823" w:rsidRPr="00DC64F4" w:rsidRDefault="00C24823" w:rsidP="00C24823">
            <w:pPr>
              <w:pStyle w:val="Compact"/>
              <w:spacing w:line="360" w:lineRule="auto"/>
              <w:jc w:val="both"/>
              <w:rPr>
                <w:rFonts w:ascii="Times New Roman" w:hAnsi="Times New Roman" w:cs="Times New Roman"/>
              </w:rPr>
            </w:pPr>
            <w:r w:rsidRPr="0013344E">
              <w:rPr>
                <w:rFonts w:ascii="Times New Roman" w:hAnsi="Times New Roman" w:cs="Times New Roman"/>
              </w:rPr>
              <w:t>Yes</w:t>
            </w:r>
          </w:p>
        </w:tc>
      </w:tr>
      <w:tr w:rsidR="00C24823" w:rsidRPr="00DC64F4" w14:paraId="7C87D36F" w14:textId="77777777" w:rsidTr="007430A9">
        <w:trPr>
          <w:jc w:val="center"/>
        </w:trPr>
        <w:tc>
          <w:tcPr>
            <w:tcW w:w="0" w:type="auto"/>
          </w:tcPr>
          <w:p w14:paraId="0135493D" w14:textId="70AB5F85" w:rsidR="00C24823" w:rsidRPr="00DC64F4" w:rsidRDefault="00C24823" w:rsidP="00C24823">
            <w:pPr>
              <w:pStyle w:val="Compact"/>
              <w:spacing w:line="360" w:lineRule="auto"/>
              <w:jc w:val="both"/>
              <w:rPr>
                <w:rFonts w:ascii="Times New Roman" w:hAnsi="Times New Roman" w:cs="Times New Roman"/>
              </w:rPr>
            </w:pPr>
            <w:r w:rsidRPr="00DC64F4">
              <w:rPr>
                <w:rFonts w:ascii="Times New Roman" w:hAnsi="Times New Roman" w:cs="Times New Roman"/>
              </w:rPr>
              <w:t>COVID-19 pandemic</w:t>
            </w:r>
          </w:p>
        </w:tc>
        <w:tc>
          <w:tcPr>
            <w:tcW w:w="0" w:type="auto"/>
          </w:tcPr>
          <w:p w14:paraId="744754FE" w14:textId="6171D164"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41.75</w:t>
            </w:r>
          </w:p>
        </w:tc>
        <w:tc>
          <w:tcPr>
            <w:tcW w:w="0" w:type="auto"/>
          </w:tcPr>
          <w:p w14:paraId="6F947814" w14:textId="6BA094E7"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21.77</w:t>
            </w:r>
          </w:p>
        </w:tc>
        <w:tc>
          <w:tcPr>
            <w:tcW w:w="0" w:type="auto"/>
          </w:tcPr>
          <w:p w14:paraId="2DCF7A8C" w14:textId="6B41F8A3"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19.98</w:t>
            </w:r>
          </w:p>
        </w:tc>
        <w:tc>
          <w:tcPr>
            <w:tcW w:w="0" w:type="auto"/>
          </w:tcPr>
          <w:p w14:paraId="0B9D1A44" w14:textId="17E77368" w:rsidR="00C24823" w:rsidRPr="00DC64F4" w:rsidRDefault="00C24823" w:rsidP="00C24823">
            <w:pPr>
              <w:pStyle w:val="Compact"/>
              <w:spacing w:line="360" w:lineRule="auto"/>
              <w:jc w:val="both"/>
              <w:rPr>
                <w:rFonts w:ascii="Times New Roman" w:hAnsi="Times New Roman" w:cs="Times New Roman"/>
              </w:rPr>
            </w:pPr>
            <w:r w:rsidRPr="00DF306A">
              <w:rPr>
                <w:rFonts w:ascii="Times New Roman" w:hAnsi="Times New Roman" w:cs="Times New Roman"/>
              </w:rPr>
              <w:t>[7.56,31.12]</w:t>
            </w:r>
          </w:p>
        </w:tc>
        <w:tc>
          <w:tcPr>
            <w:tcW w:w="0" w:type="auto"/>
          </w:tcPr>
          <w:p w14:paraId="2505482B" w14:textId="410474CD" w:rsidR="00C24823" w:rsidRPr="00DC64F4" w:rsidRDefault="00C24823" w:rsidP="00C24823">
            <w:pPr>
              <w:pStyle w:val="Compact"/>
              <w:spacing w:line="360" w:lineRule="auto"/>
              <w:jc w:val="both"/>
              <w:rPr>
                <w:rFonts w:ascii="Times New Roman" w:hAnsi="Times New Roman" w:cs="Times New Roman"/>
              </w:rPr>
            </w:pPr>
            <w:r w:rsidRPr="0013344E">
              <w:rPr>
                <w:rFonts w:ascii="Times New Roman" w:hAnsi="Times New Roman" w:cs="Times New Roman"/>
              </w:rPr>
              <w:t>Yes</w:t>
            </w:r>
          </w:p>
        </w:tc>
      </w:tr>
      <w:tr w:rsidR="00C24823" w:rsidRPr="00DC64F4" w14:paraId="7BFEF065" w14:textId="77777777" w:rsidTr="00DF306A">
        <w:trPr>
          <w:jc w:val="center"/>
        </w:trPr>
        <w:tc>
          <w:tcPr>
            <w:tcW w:w="0" w:type="auto"/>
          </w:tcPr>
          <w:p w14:paraId="01C74496" w14:textId="34FC59FF" w:rsidR="00C24823" w:rsidRPr="00DC64F4" w:rsidRDefault="00C24823" w:rsidP="00C24823">
            <w:pPr>
              <w:pStyle w:val="Compact"/>
              <w:spacing w:line="360" w:lineRule="auto"/>
              <w:jc w:val="both"/>
              <w:rPr>
                <w:rFonts w:ascii="Times New Roman" w:hAnsi="Times New Roman" w:cs="Times New Roman"/>
              </w:rPr>
            </w:pPr>
            <w:r w:rsidRPr="00DC64F4">
              <w:rPr>
                <w:rFonts w:ascii="Times New Roman" w:hAnsi="Times New Roman" w:cs="Times New Roman"/>
              </w:rPr>
              <w:t>Russia-Ukraine war</w:t>
            </w:r>
          </w:p>
        </w:tc>
        <w:tc>
          <w:tcPr>
            <w:tcW w:w="0" w:type="auto"/>
          </w:tcPr>
          <w:p w14:paraId="549EDA53" w14:textId="6FCF7D21"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13.82</w:t>
            </w:r>
          </w:p>
        </w:tc>
        <w:tc>
          <w:tcPr>
            <w:tcW w:w="0" w:type="auto"/>
          </w:tcPr>
          <w:p w14:paraId="6D2A85F5" w14:textId="641F0E97"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13.21</w:t>
            </w:r>
          </w:p>
        </w:tc>
        <w:tc>
          <w:tcPr>
            <w:tcW w:w="0" w:type="auto"/>
          </w:tcPr>
          <w:p w14:paraId="1361F6C0" w14:textId="4D141C72"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0.61</w:t>
            </w:r>
          </w:p>
        </w:tc>
        <w:tc>
          <w:tcPr>
            <w:tcW w:w="0" w:type="auto"/>
          </w:tcPr>
          <w:p w14:paraId="3043E936" w14:textId="53E976CA" w:rsidR="00C24823" w:rsidRPr="00DC64F4" w:rsidRDefault="00C24823" w:rsidP="00C24823">
            <w:pPr>
              <w:pStyle w:val="Compact"/>
              <w:spacing w:line="360" w:lineRule="auto"/>
              <w:jc w:val="both"/>
              <w:rPr>
                <w:rFonts w:ascii="Times New Roman" w:hAnsi="Times New Roman" w:cs="Times New Roman"/>
              </w:rPr>
            </w:pPr>
            <w:r w:rsidRPr="00DF306A">
              <w:rPr>
                <w:rFonts w:ascii="Times New Roman" w:hAnsi="Times New Roman" w:cs="Times New Roman"/>
              </w:rPr>
              <w:t>[-0.92,2.08]</w:t>
            </w:r>
          </w:p>
        </w:tc>
        <w:tc>
          <w:tcPr>
            <w:tcW w:w="0" w:type="auto"/>
          </w:tcPr>
          <w:p w14:paraId="38567EB4" w14:textId="4F32EE1C" w:rsidR="00C24823" w:rsidRPr="00DC64F4" w:rsidRDefault="001C454E" w:rsidP="00C24823">
            <w:pPr>
              <w:pStyle w:val="Compact"/>
              <w:spacing w:line="360" w:lineRule="auto"/>
              <w:jc w:val="both"/>
              <w:rPr>
                <w:rFonts w:ascii="Times New Roman" w:hAnsi="Times New Roman" w:cs="Times New Roman"/>
              </w:rPr>
            </w:pPr>
            <w:r>
              <w:rPr>
                <w:rFonts w:ascii="Times New Roman" w:hAnsi="Times New Roman" w:cs="Times New Roman"/>
              </w:rPr>
              <w:t>No</w:t>
            </w:r>
          </w:p>
        </w:tc>
      </w:tr>
      <w:tr w:rsidR="00C24823" w:rsidRPr="00DC64F4" w14:paraId="6ED3CBA1" w14:textId="77777777" w:rsidTr="00DF306A">
        <w:trPr>
          <w:jc w:val="center"/>
        </w:trPr>
        <w:tc>
          <w:tcPr>
            <w:tcW w:w="0" w:type="auto"/>
          </w:tcPr>
          <w:p w14:paraId="1E00FFB5" w14:textId="471AC92D"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Monetary tightening</w:t>
            </w:r>
          </w:p>
        </w:tc>
        <w:tc>
          <w:tcPr>
            <w:tcW w:w="0" w:type="auto"/>
          </w:tcPr>
          <w:p w14:paraId="275E8571" w14:textId="1AEAFE8F" w:rsidR="00C24823"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17.90</w:t>
            </w:r>
          </w:p>
        </w:tc>
        <w:tc>
          <w:tcPr>
            <w:tcW w:w="0" w:type="auto"/>
          </w:tcPr>
          <w:p w14:paraId="70320CDA" w14:textId="70A437A2"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13.21</w:t>
            </w:r>
          </w:p>
        </w:tc>
        <w:tc>
          <w:tcPr>
            <w:tcW w:w="0" w:type="auto"/>
          </w:tcPr>
          <w:p w14:paraId="4B23E801" w14:textId="6398AD83"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4.69</w:t>
            </w:r>
          </w:p>
        </w:tc>
        <w:tc>
          <w:tcPr>
            <w:tcW w:w="0" w:type="auto"/>
          </w:tcPr>
          <w:p w14:paraId="3B883BEA" w14:textId="2D6EF236" w:rsidR="00C24823" w:rsidRPr="00DC64F4" w:rsidRDefault="00C24823" w:rsidP="00C24823">
            <w:pPr>
              <w:pStyle w:val="Compact"/>
              <w:spacing w:line="360" w:lineRule="auto"/>
              <w:jc w:val="both"/>
              <w:rPr>
                <w:rFonts w:ascii="Times New Roman" w:hAnsi="Times New Roman" w:cs="Times New Roman"/>
              </w:rPr>
            </w:pPr>
            <w:r w:rsidRPr="00DF306A">
              <w:rPr>
                <w:rFonts w:ascii="Times New Roman" w:hAnsi="Times New Roman" w:cs="Times New Roman"/>
              </w:rPr>
              <w:t>[2.57,7.04]</w:t>
            </w:r>
          </w:p>
        </w:tc>
        <w:tc>
          <w:tcPr>
            <w:tcW w:w="0" w:type="auto"/>
          </w:tcPr>
          <w:p w14:paraId="746F59C5" w14:textId="55C15574" w:rsidR="00C24823" w:rsidRPr="00DC64F4" w:rsidRDefault="00C24823" w:rsidP="00C24823">
            <w:pPr>
              <w:pStyle w:val="Compact"/>
              <w:spacing w:line="360" w:lineRule="auto"/>
              <w:jc w:val="both"/>
              <w:rPr>
                <w:rFonts w:ascii="Times New Roman" w:hAnsi="Times New Roman" w:cs="Times New Roman"/>
              </w:rPr>
            </w:pPr>
            <w:r w:rsidRPr="0013344E">
              <w:rPr>
                <w:rFonts w:ascii="Times New Roman" w:hAnsi="Times New Roman" w:cs="Times New Roman"/>
              </w:rPr>
              <w:t>Yes</w:t>
            </w:r>
          </w:p>
        </w:tc>
      </w:tr>
      <w:tr w:rsidR="00C24823" w:rsidRPr="00DC64F4" w14:paraId="5C90A406" w14:textId="77777777" w:rsidTr="007430A9">
        <w:trPr>
          <w:jc w:val="center"/>
        </w:trPr>
        <w:tc>
          <w:tcPr>
            <w:tcW w:w="0" w:type="auto"/>
            <w:tcBorders>
              <w:bottom w:val="single" w:sz="4" w:space="0" w:color="auto"/>
            </w:tcBorders>
          </w:tcPr>
          <w:p w14:paraId="4AC106A5" w14:textId="7C97D280"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US banking crisis</w:t>
            </w:r>
          </w:p>
        </w:tc>
        <w:tc>
          <w:tcPr>
            <w:tcW w:w="0" w:type="auto"/>
            <w:tcBorders>
              <w:bottom w:val="single" w:sz="4" w:space="0" w:color="auto"/>
            </w:tcBorders>
          </w:tcPr>
          <w:p w14:paraId="6A28BDE2" w14:textId="3E7CBF51" w:rsidR="00C24823"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16.87</w:t>
            </w:r>
          </w:p>
        </w:tc>
        <w:tc>
          <w:tcPr>
            <w:tcW w:w="0" w:type="auto"/>
            <w:tcBorders>
              <w:bottom w:val="single" w:sz="4" w:space="0" w:color="auto"/>
            </w:tcBorders>
          </w:tcPr>
          <w:p w14:paraId="38096E0E" w14:textId="39FF0CA1"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19.03</w:t>
            </w:r>
          </w:p>
        </w:tc>
        <w:tc>
          <w:tcPr>
            <w:tcW w:w="0" w:type="auto"/>
            <w:tcBorders>
              <w:bottom w:val="single" w:sz="4" w:space="0" w:color="auto"/>
            </w:tcBorders>
          </w:tcPr>
          <w:p w14:paraId="5CCFD897" w14:textId="7E84C1A5" w:rsidR="00C24823" w:rsidRPr="00DC64F4" w:rsidRDefault="00C24823" w:rsidP="00C24823">
            <w:pPr>
              <w:pStyle w:val="Compact"/>
              <w:spacing w:line="360" w:lineRule="auto"/>
              <w:jc w:val="both"/>
              <w:rPr>
                <w:rFonts w:ascii="Times New Roman" w:hAnsi="Times New Roman" w:cs="Times New Roman"/>
              </w:rPr>
            </w:pPr>
            <w:r>
              <w:rPr>
                <w:rFonts w:ascii="Times New Roman" w:hAnsi="Times New Roman" w:cs="Times New Roman"/>
              </w:rPr>
              <w:t>-2.16</w:t>
            </w:r>
          </w:p>
        </w:tc>
        <w:tc>
          <w:tcPr>
            <w:tcW w:w="0" w:type="auto"/>
            <w:tcBorders>
              <w:bottom w:val="single" w:sz="4" w:space="0" w:color="auto"/>
            </w:tcBorders>
          </w:tcPr>
          <w:p w14:paraId="2CB4F9F7" w14:textId="39E281A3" w:rsidR="00C24823" w:rsidRPr="00DC64F4" w:rsidRDefault="00C24823" w:rsidP="00C24823">
            <w:pPr>
              <w:pStyle w:val="Compact"/>
              <w:spacing w:line="360" w:lineRule="auto"/>
              <w:jc w:val="both"/>
              <w:rPr>
                <w:rFonts w:ascii="Times New Roman" w:hAnsi="Times New Roman" w:cs="Times New Roman"/>
              </w:rPr>
            </w:pPr>
            <w:r w:rsidRPr="00DF306A">
              <w:rPr>
                <w:rFonts w:ascii="Times New Roman" w:hAnsi="Times New Roman" w:cs="Times New Roman"/>
              </w:rPr>
              <w:t>[-3.75,-0.72]</w:t>
            </w:r>
          </w:p>
        </w:tc>
        <w:tc>
          <w:tcPr>
            <w:tcW w:w="0" w:type="auto"/>
            <w:tcBorders>
              <w:bottom w:val="single" w:sz="4" w:space="0" w:color="auto"/>
            </w:tcBorders>
          </w:tcPr>
          <w:p w14:paraId="35E63BCB" w14:textId="2AFBF52D" w:rsidR="00C24823" w:rsidRPr="00DC64F4" w:rsidRDefault="001C454E" w:rsidP="00C24823">
            <w:pPr>
              <w:pStyle w:val="Compact"/>
              <w:spacing w:line="360" w:lineRule="auto"/>
              <w:jc w:val="both"/>
              <w:rPr>
                <w:rFonts w:ascii="Times New Roman" w:hAnsi="Times New Roman" w:cs="Times New Roman"/>
              </w:rPr>
            </w:pPr>
            <w:r>
              <w:rPr>
                <w:rFonts w:ascii="Times New Roman" w:hAnsi="Times New Roman" w:cs="Times New Roman"/>
              </w:rPr>
              <w:t>No</w:t>
            </w:r>
          </w:p>
        </w:tc>
      </w:tr>
    </w:tbl>
    <w:p w14:paraId="5C72AE93" w14:textId="77777777" w:rsidR="00FF5AEC"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Note: MBB denotes a moving-block bootstrap with a 20-trading-day block. Results are described as shock-associated changes and do not by themselves establish causality.</w:t>
      </w:r>
    </w:p>
    <w:p w14:paraId="54EF57AE" w14:textId="77777777" w:rsidR="00477586" w:rsidRPr="00DC64F4" w:rsidRDefault="00477586" w:rsidP="002B6539">
      <w:pPr>
        <w:pStyle w:val="BodyText"/>
        <w:spacing w:line="360" w:lineRule="auto"/>
        <w:jc w:val="both"/>
        <w:rPr>
          <w:rFonts w:ascii="Times New Roman" w:hAnsi="Times New Roman" w:cs="Times New Roman"/>
        </w:rPr>
      </w:pPr>
    </w:p>
    <w:p w14:paraId="36A03480" w14:textId="03B78FB5" w:rsidR="00FF5AEC"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Table </w:t>
      </w:r>
      <w:hyperlink w:anchor="tab:hac">
        <w:r w:rsidR="005D5B62">
          <w:rPr>
            <w:rStyle w:val="Hyperlink"/>
            <w:rFonts w:ascii="Times New Roman" w:hAnsi="Times New Roman" w:cs="Times New Roman"/>
            <w:color w:val="auto"/>
          </w:rPr>
          <w:t>8</w:t>
        </w:r>
      </w:hyperlink>
      <w:r w:rsidRPr="00DC64F4">
        <w:rPr>
          <w:rFonts w:ascii="Times New Roman" w:hAnsi="Times New Roman" w:cs="Times New Roman"/>
        </w:rPr>
        <w:t xml:space="preserve"> reports the monthly regression results. A one-point increase in average VIX is associated with a 0.96-point increase in ASEAN connectedness, holding the other variables constant. Monthly oil-price growth is also positively associated with connectedness. In contrast, the GPR </w:t>
      </w:r>
      <w:r w:rsidRPr="00DC64F4">
        <w:rPr>
          <w:rFonts w:ascii="Times New Roman" w:hAnsi="Times New Roman" w:cs="Times New Roman"/>
        </w:rPr>
        <w:lastRenderedPageBreak/>
        <w:t>coefficient is negative and statistically significant. This result is consistent with temporary regional decoupling during some geopolitical episodes, but the regression cannot identify that mechanism directly. Dollar appreciation, S&amp;P 500 returns, and changes in the two-year Treasury yield are statistically insignificant. The model explains 48.1% of monthly variation in the TCI and is jointly significant. H4 consequently receives mixed support: market-based uncertainty measured by VIX strengthens connectedness, whereas geopolitical risk does not have the hypothesized positive conditional association.</w:t>
      </w:r>
    </w:p>
    <w:p w14:paraId="1748049F" w14:textId="77777777" w:rsidR="0067699E" w:rsidRPr="00DC64F4" w:rsidRDefault="0067699E" w:rsidP="002B6539">
      <w:pPr>
        <w:pStyle w:val="BodyText"/>
        <w:spacing w:line="360" w:lineRule="auto"/>
        <w:jc w:val="both"/>
        <w:rPr>
          <w:rFonts w:ascii="Times New Roman" w:hAnsi="Times New Roman" w:cs="Times New Roman"/>
        </w:rPr>
      </w:pPr>
    </w:p>
    <w:p w14:paraId="3B0AF4A8" w14:textId="3079901A" w:rsidR="00FF5AEC" w:rsidRPr="00DC64F4" w:rsidRDefault="0067699E" w:rsidP="0067699E">
      <w:pPr>
        <w:pStyle w:val="TableCaption"/>
        <w:spacing w:line="360" w:lineRule="auto"/>
        <w:jc w:val="center"/>
        <w:rPr>
          <w:rFonts w:ascii="Times New Roman" w:hAnsi="Times New Roman" w:cs="Times New Roman"/>
          <w:i w:val="0"/>
        </w:rPr>
      </w:pPr>
      <w:bookmarkStart w:id="22" w:name="tab:hac"/>
      <w:r>
        <w:rPr>
          <w:rFonts w:ascii="Times New Roman" w:hAnsi="Times New Roman" w:cs="Times New Roman"/>
          <w:b/>
          <w:bCs/>
          <w:i w:val="0"/>
        </w:rPr>
        <w:t xml:space="preserve">Table 8: </w:t>
      </w:r>
      <w:r w:rsidR="00000000" w:rsidRPr="00DC64F4">
        <w:rPr>
          <w:rFonts w:ascii="Times New Roman" w:hAnsi="Times New Roman" w:cs="Times New Roman"/>
          <w:i w:val="0"/>
        </w:rPr>
        <w:t>Global conditions and ASEAN total connectedness</w:t>
      </w:r>
    </w:p>
    <w:tbl>
      <w:tblPr>
        <w:tblStyle w:val="Table"/>
        <w:tblW w:w="0" w:type="auto"/>
        <w:jc w:val="center"/>
        <w:tblLook w:val="0020" w:firstRow="1" w:lastRow="0" w:firstColumn="0" w:lastColumn="0" w:noHBand="0" w:noVBand="0"/>
      </w:tblPr>
      <w:tblGrid>
        <w:gridCol w:w="2125"/>
        <w:gridCol w:w="1296"/>
        <w:gridCol w:w="1650"/>
        <w:gridCol w:w="1110"/>
        <w:gridCol w:w="1044"/>
      </w:tblGrid>
      <w:tr w:rsidR="00FF5AEC" w:rsidRPr="00DC64F4" w14:paraId="4B1D1DF6" w14:textId="77777777" w:rsidTr="0067699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2E58A8EC"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Variable</w:t>
            </w:r>
          </w:p>
        </w:tc>
        <w:tc>
          <w:tcPr>
            <w:tcW w:w="0" w:type="auto"/>
            <w:tcBorders>
              <w:top w:val="single" w:sz="4" w:space="0" w:color="auto"/>
              <w:bottom w:val="single" w:sz="2" w:space="0" w:color="auto"/>
            </w:tcBorders>
          </w:tcPr>
          <w:p w14:paraId="1A55420C"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Coefficient</w:t>
            </w:r>
          </w:p>
        </w:tc>
        <w:tc>
          <w:tcPr>
            <w:tcW w:w="0" w:type="auto"/>
            <w:tcBorders>
              <w:top w:val="single" w:sz="4" w:space="0" w:color="auto"/>
              <w:bottom w:val="single" w:sz="2" w:space="0" w:color="auto"/>
            </w:tcBorders>
          </w:tcPr>
          <w:p w14:paraId="53D397CE"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HAC std. error</w:t>
            </w:r>
          </w:p>
        </w:tc>
        <w:tc>
          <w:tcPr>
            <w:tcW w:w="0" w:type="auto"/>
            <w:tcBorders>
              <w:top w:val="single" w:sz="4" w:space="0" w:color="auto"/>
              <w:bottom w:val="single" w:sz="2" w:space="0" w:color="auto"/>
            </w:tcBorders>
          </w:tcPr>
          <w:p w14:paraId="7773A4AE" w14:textId="5ABFE600" w:rsidR="00FF5AEC" w:rsidRPr="00DC64F4" w:rsidRDefault="00D95E50" w:rsidP="002B6539">
            <w:pPr>
              <w:pStyle w:val="Compact"/>
              <w:spacing w:line="360" w:lineRule="auto"/>
              <w:jc w:val="both"/>
              <w:rPr>
                <w:rFonts w:ascii="Times New Roman" w:hAnsi="Times New Roman" w:cs="Times New Roman"/>
              </w:rPr>
            </w:pPr>
            <m:oMath>
              <m:r>
                <w:rPr>
                  <w:rFonts w:ascii="Cambria Math" w:hAnsi="Cambria Math" w:cs="Times New Roman"/>
                </w:rPr>
                <m:t>t</m:t>
              </m:r>
            </m:oMath>
            <w:r w:rsidR="00000000" w:rsidRPr="00DC64F4">
              <w:rPr>
                <w:rFonts w:ascii="Times New Roman" w:hAnsi="Times New Roman" w:cs="Times New Roman"/>
              </w:rPr>
              <w:t xml:space="preserve"> statistic</w:t>
            </w:r>
          </w:p>
        </w:tc>
        <w:tc>
          <w:tcPr>
            <w:tcW w:w="0" w:type="auto"/>
            <w:tcBorders>
              <w:top w:val="single" w:sz="4" w:space="0" w:color="auto"/>
              <w:bottom w:val="single" w:sz="2" w:space="0" w:color="auto"/>
            </w:tcBorders>
          </w:tcPr>
          <w:p w14:paraId="2A81A82A" w14:textId="6264484A" w:rsidR="00FF5AEC" w:rsidRPr="00DC64F4" w:rsidRDefault="00D95E50" w:rsidP="002B6539">
            <w:pPr>
              <w:pStyle w:val="Compact"/>
              <w:spacing w:line="360" w:lineRule="auto"/>
              <w:jc w:val="both"/>
              <w:rPr>
                <w:rFonts w:ascii="Times New Roman" w:hAnsi="Times New Roman" w:cs="Times New Roman"/>
              </w:rPr>
            </w:pPr>
            <m:oMath>
              <m:r>
                <w:rPr>
                  <w:rFonts w:ascii="Cambria Math" w:hAnsi="Cambria Math" w:cs="Times New Roman"/>
                </w:rPr>
                <m:t>p</m:t>
              </m:r>
            </m:oMath>
            <w:r w:rsidR="00000000" w:rsidRPr="00DC64F4">
              <w:rPr>
                <w:rFonts w:ascii="Times New Roman" w:hAnsi="Times New Roman" w:cs="Times New Roman"/>
              </w:rPr>
              <w:t xml:space="preserve"> value</w:t>
            </w:r>
          </w:p>
        </w:tc>
      </w:tr>
      <w:tr w:rsidR="00FF5AEC" w:rsidRPr="00DC64F4" w14:paraId="4E7AF46B" w14:textId="77777777" w:rsidTr="0067699E">
        <w:trPr>
          <w:jc w:val="center"/>
        </w:trPr>
        <w:tc>
          <w:tcPr>
            <w:tcW w:w="0" w:type="auto"/>
            <w:tcBorders>
              <w:top w:val="single" w:sz="2" w:space="0" w:color="auto"/>
            </w:tcBorders>
          </w:tcPr>
          <w:p w14:paraId="371343E1"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Intercept</w:t>
            </w:r>
          </w:p>
        </w:tc>
        <w:tc>
          <w:tcPr>
            <w:tcW w:w="0" w:type="auto"/>
            <w:tcBorders>
              <w:top w:val="single" w:sz="2" w:space="0" w:color="auto"/>
            </w:tcBorders>
          </w:tcPr>
          <w:p w14:paraId="791FDC96"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16.379</w:t>
            </w:r>
          </w:p>
        </w:tc>
        <w:tc>
          <w:tcPr>
            <w:tcW w:w="0" w:type="auto"/>
            <w:tcBorders>
              <w:top w:val="single" w:sz="2" w:space="0" w:color="auto"/>
            </w:tcBorders>
          </w:tcPr>
          <w:p w14:paraId="565E5C21"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3.132</w:t>
            </w:r>
          </w:p>
        </w:tc>
        <w:tc>
          <w:tcPr>
            <w:tcW w:w="0" w:type="auto"/>
            <w:tcBorders>
              <w:top w:val="single" w:sz="2" w:space="0" w:color="auto"/>
            </w:tcBorders>
          </w:tcPr>
          <w:p w14:paraId="7D013EB8"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5.229</w:t>
            </w:r>
          </w:p>
        </w:tc>
        <w:tc>
          <w:tcPr>
            <w:tcW w:w="0" w:type="auto"/>
            <w:tcBorders>
              <w:top w:val="single" w:sz="2" w:space="0" w:color="auto"/>
            </w:tcBorders>
          </w:tcPr>
          <w:p w14:paraId="33D005CA" w14:textId="0E64E2DE" w:rsidR="00FF5AEC" w:rsidRPr="00DC64F4" w:rsidRDefault="00D95E50" w:rsidP="0067699E">
            <w:pPr>
              <w:pStyle w:val="Compact"/>
              <w:spacing w:line="360" w:lineRule="auto"/>
              <w:jc w:val="right"/>
              <w:rPr>
                <w:rFonts w:ascii="Times New Roman" w:hAnsi="Times New Roman" w:cs="Times New Roman"/>
              </w:rPr>
            </w:pPr>
            <m:oMath>
              <m:r>
                <m:rPr>
                  <m:sty m:val="p"/>
                </m:rPr>
                <w:rPr>
                  <w:rFonts w:ascii="Cambria Math" w:hAnsi="Cambria Math" w:cs="Times New Roman"/>
                </w:rPr>
                <m:t>&lt;0.001</m:t>
              </m:r>
            </m:oMath>
            <w:r w:rsidR="00000000" w:rsidRPr="00DC64F4">
              <w:rPr>
                <w:rFonts w:ascii="Times New Roman" w:hAnsi="Times New Roman" w:cs="Times New Roman"/>
              </w:rPr>
              <w:t>​</w:t>
            </w:r>
          </w:p>
        </w:tc>
      </w:tr>
      <w:tr w:rsidR="00FF5AEC" w:rsidRPr="00DC64F4" w14:paraId="5F29D676" w14:textId="77777777" w:rsidTr="0067699E">
        <w:trPr>
          <w:jc w:val="center"/>
        </w:trPr>
        <w:tc>
          <w:tcPr>
            <w:tcW w:w="0" w:type="auto"/>
          </w:tcPr>
          <w:p w14:paraId="5DFF8523"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VIX</w:t>
            </w:r>
          </w:p>
        </w:tc>
        <w:tc>
          <w:tcPr>
            <w:tcW w:w="0" w:type="auto"/>
          </w:tcPr>
          <w:p w14:paraId="2EA36882"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0.962</w:t>
            </w:r>
          </w:p>
        </w:tc>
        <w:tc>
          <w:tcPr>
            <w:tcW w:w="0" w:type="auto"/>
          </w:tcPr>
          <w:p w14:paraId="4DED0011"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0.258</w:t>
            </w:r>
          </w:p>
        </w:tc>
        <w:tc>
          <w:tcPr>
            <w:tcW w:w="0" w:type="auto"/>
          </w:tcPr>
          <w:p w14:paraId="182878E6"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3.724</w:t>
            </w:r>
          </w:p>
        </w:tc>
        <w:tc>
          <w:tcPr>
            <w:tcW w:w="0" w:type="auto"/>
          </w:tcPr>
          <w:p w14:paraId="63B2D888" w14:textId="351FA273" w:rsidR="00FF5AEC" w:rsidRPr="00DC64F4" w:rsidRDefault="00D95E50" w:rsidP="0067699E">
            <w:pPr>
              <w:pStyle w:val="Compact"/>
              <w:spacing w:line="360" w:lineRule="auto"/>
              <w:jc w:val="right"/>
              <w:rPr>
                <w:rFonts w:ascii="Times New Roman" w:hAnsi="Times New Roman" w:cs="Times New Roman"/>
              </w:rPr>
            </w:pPr>
            <m:oMath>
              <m:r>
                <m:rPr>
                  <m:sty m:val="p"/>
                </m:rPr>
                <w:rPr>
                  <w:rFonts w:ascii="Cambria Math" w:hAnsi="Cambria Math" w:cs="Times New Roman"/>
                </w:rPr>
                <m:t>&lt;0.001</m:t>
              </m:r>
            </m:oMath>
            <w:r w:rsidR="00000000" w:rsidRPr="00DC64F4">
              <w:rPr>
                <w:rFonts w:ascii="Times New Roman" w:hAnsi="Times New Roman" w:cs="Times New Roman"/>
              </w:rPr>
              <w:t>​</w:t>
            </w:r>
          </w:p>
        </w:tc>
      </w:tr>
      <w:tr w:rsidR="00FF5AEC" w:rsidRPr="00DC64F4" w14:paraId="245C81FF" w14:textId="77777777" w:rsidTr="0067699E">
        <w:trPr>
          <w:jc w:val="center"/>
        </w:trPr>
        <w:tc>
          <w:tcPr>
            <w:tcW w:w="0" w:type="auto"/>
          </w:tcPr>
          <w:p w14:paraId="63154CC6"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GPR</w:t>
            </w:r>
          </w:p>
        </w:tc>
        <w:tc>
          <w:tcPr>
            <w:tcW w:w="0" w:type="auto"/>
          </w:tcPr>
          <w:p w14:paraId="432F34F3"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-0.130</w:t>
            </w:r>
          </w:p>
        </w:tc>
        <w:tc>
          <w:tcPr>
            <w:tcW w:w="0" w:type="auto"/>
          </w:tcPr>
          <w:p w14:paraId="050F3322"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0.029</w:t>
            </w:r>
          </w:p>
        </w:tc>
        <w:tc>
          <w:tcPr>
            <w:tcW w:w="0" w:type="auto"/>
          </w:tcPr>
          <w:p w14:paraId="3329658F"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-4.438</w:t>
            </w:r>
          </w:p>
        </w:tc>
        <w:tc>
          <w:tcPr>
            <w:tcW w:w="0" w:type="auto"/>
          </w:tcPr>
          <w:p w14:paraId="562A005B" w14:textId="47992831" w:rsidR="00FF5AEC" w:rsidRPr="00DC64F4" w:rsidRDefault="00D95E50" w:rsidP="0067699E">
            <w:pPr>
              <w:pStyle w:val="Compact"/>
              <w:spacing w:line="360" w:lineRule="auto"/>
              <w:jc w:val="right"/>
              <w:rPr>
                <w:rFonts w:ascii="Times New Roman" w:hAnsi="Times New Roman" w:cs="Times New Roman"/>
              </w:rPr>
            </w:pPr>
            <m:oMath>
              <m:r>
                <m:rPr>
                  <m:sty m:val="p"/>
                </m:rPr>
                <w:rPr>
                  <w:rFonts w:ascii="Cambria Math" w:hAnsi="Cambria Math" w:cs="Times New Roman"/>
                </w:rPr>
                <m:t>&lt;0.001</m:t>
              </m:r>
            </m:oMath>
            <w:r w:rsidR="00000000" w:rsidRPr="00DC64F4">
              <w:rPr>
                <w:rFonts w:ascii="Times New Roman" w:hAnsi="Times New Roman" w:cs="Times New Roman"/>
              </w:rPr>
              <w:t>​</w:t>
            </w:r>
          </w:p>
        </w:tc>
      </w:tr>
      <w:tr w:rsidR="00FF5AEC" w:rsidRPr="00DC64F4" w14:paraId="3B572536" w14:textId="77777777" w:rsidTr="0067699E">
        <w:trPr>
          <w:jc w:val="center"/>
        </w:trPr>
        <w:tc>
          <w:tcPr>
            <w:tcW w:w="0" w:type="auto"/>
          </w:tcPr>
          <w:p w14:paraId="0BF3CC70" w14:textId="142A6780" w:rsidR="00FF5AEC" w:rsidRPr="00DC64F4" w:rsidRDefault="00D95E50" w:rsidP="002B6539">
            <w:pPr>
              <w:pStyle w:val="Compact"/>
              <w:spacing w:line="360" w:lineRule="auto"/>
              <w:jc w:val="both"/>
              <w:rPr>
                <w:rFonts w:ascii="Times New Roman" w:hAnsi="Times New Roman" w:cs="Times New Roman"/>
              </w:rPr>
            </w:pPr>
            <m:oMath>
              <m:r>
                <w:rPr>
                  <w:rFonts w:ascii="Cambria Math" w:hAnsi="Cambria Math" w:cs="Times New Roman"/>
                </w:rPr>
                <m:t>Δ</m:t>
              </m:r>
            </m:oMath>
            <w:r w:rsidR="00000000" w:rsidRPr="00DC64F4">
              <w:rPr>
                <w:rFonts w:ascii="Times New Roman" w:hAnsi="Times New Roman" w:cs="Times New Roman"/>
              </w:rPr>
              <w:t>Oil</w:t>
            </w:r>
          </w:p>
        </w:tc>
        <w:tc>
          <w:tcPr>
            <w:tcW w:w="0" w:type="auto"/>
          </w:tcPr>
          <w:p w14:paraId="22F68C07"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0.120</w:t>
            </w:r>
          </w:p>
        </w:tc>
        <w:tc>
          <w:tcPr>
            <w:tcW w:w="0" w:type="auto"/>
          </w:tcPr>
          <w:p w14:paraId="6766A9E1"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0.056</w:t>
            </w:r>
          </w:p>
        </w:tc>
        <w:tc>
          <w:tcPr>
            <w:tcW w:w="0" w:type="auto"/>
          </w:tcPr>
          <w:p w14:paraId="68900590"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2.153</w:t>
            </w:r>
          </w:p>
        </w:tc>
        <w:tc>
          <w:tcPr>
            <w:tcW w:w="0" w:type="auto"/>
          </w:tcPr>
          <w:p w14:paraId="78324392"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0.031</w:t>
            </w:r>
          </w:p>
        </w:tc>
      </w:tr>
      <w:tr w:rsidR="00FF5AEC" w:rsidRPr="00DC64F4" w14:paraId="1F0F81FA" w14:textId="77777777" w:rsidTr="0067699E">
        <w:trPr>
          <w:jc w:val="center"/>
        </w:trPr>
        <w:tc>
          <w:tcPr>
            <w:tcW w:w="0" w:type="auto"/>
          </w:tcPr>
          <w:p w14:paraId="193B551F" w14:textId="2FE16935" w:rsidR="00FF5AEC" w:rsidRPr="00DC64F4" w:rsidRDefault="00D95E50" w:rsidP="002B6539">
            <w:pPr>
              <w:pStyle w:val="Compact"/>
              <w:spacing w:line="360" w:lineRule="auto"/>
              <w:jc w:val="both"/>
              <w:rPr>
                <w:rFonts w:ascii="Times New Roman" w:hAnsi="Times New Roman" w:cs="Times New Roman"/>
              </w:rPr>
            </w:pPr>
            <m:oMath>
              <m:r>
                <w:rPr>
                  <w:rFonts w:ascii="Cambria Math" w:hAnsi="Cambria Math" w:cs="Times New Roman"/>
                </w:rPr>
                <m:t>Δ</m:t>
              </m:r>
            </m:oMath>
            <w:r w:rsidR="00000000" w:rsidRPr="00DC64F4">
              <w:rPr>
                <w:rFonts w:ascii="Times New Roman" w:hAnsi="Times New Roman" w:cs="Times New Roman"/>
              </w:rPr>
              <w:t>Dollar</w:t>
            </w:r>
          </w:p>
        </w:tc>
        <w:tc>
          <w:tcPr>
            <w:tcW w:w="0" w:type="auto"/>
          </w:tcPr>
          <w:p w14:paraId="143D4B33"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-0.367</w:t>
            </w:r>
          </w:p>
        </w:tc>
        <w:tc>
          <w:tcPr>
            <w:tcW w:w="0" w:type="auto"/>
          </w:tcPr>
          <w:p w14:paraId="0E7A9B34"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0.506</w:t>
            </w:r>
          </w:p>
        </w:tc>
        <w:tc>
          <w:tcPr>
            <w:tcW w:w="0" w:type="auto"/>
          </w:tcPr>
          <w:p w14:paraId="10A0CBCC"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-0.726</w:t>
            </w:r>
          </w:p>
        </w:tc>
        <w:tc>
          <w:tcPr>
            <w:tcW w:w="0" w:type="auto"/>
          </w:tcPr>
          <w:p w14:paraId="03B7038A"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0.468</w:t>
            </w:r>
          </w:p>
        </w:tc>
      </w:tr>
      <w:tr w:rsidR="00FF5AEC" w:rsidRPr="00DC64F4" w14:paraId="588262DC" w14:textId="77777777" w:rsidTr="0067699E">
        <w:trPr>
          <w:jc w:val="center"/>
        </w:trPr>
        <w:tc>
          <w:tcPr>
            <w:tcW w:w="0" w:type="auto"/>
          </w:tcPr>
          <w:p w14:paraId="30FA1A2E" w14:textId="5D5B2744" w:rsidR="00FF5AEC" w:rsidRPr="00DC64F4" w:rsidRDefault="00D95E50" w:rsidP="002B6539">
            <w:pPr>
              <w:pStyle w:val="Compact"/>
              <w:spacing w:line="360" w:lineRule="auto"/>
              <w:jc w:val="both"/>
              <w:rPr>
                <w:rFonts w:ascii="Times New Roman" w:hAnsi="Times New Roman" w:cs="Times New Roman"/>
              </w:rPr>
            </w:pPr>
            <m:oMath>
              <m:r>
                <w:rPr>
                  <w:rFonts w:ascii="Cambria Math" w:hAnsi="Cambria Math" w:cs="Times New Roman"/>
                </w:rPr>
                <m:t>Δ</m:t>
              </m:r>
            </m:oMath>
            <w:r w:rsidR="00000000" w:rsidRPr="00DC64F4">
              <w:rPr>
                <w:rFonts w:ascii="Times New Roman" w:hAnsi="Times New Roman" w:cs="Times New Roman"/>
              </w:rPr>
              <w:t>S&amp;P 500</w:t>
            </w:r>
          </w:p>
        </w:tc>
        <w:tc>
          <w:tcPr>
            <w:tcW w:w="0" w:type="auto"/>
          </w:tcPr>
          <w:p w14:paraId="05CB1FB2"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0.249</w:t>
            </w:r>
          </w:p>
        </w:tc>
        <w:tc>
          <w:tcPr>
            <w:tcW w:w="0" w:type="auto"/>
          </w:tcPr>
          <w:p w14:paraId="5C8B9FFE"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0.153</w:t>
            </w:r>
          </w:p>
        </w:tc>
        <w:tc>
          <w:tcPr>
            <w:tcW w:w="0" w:type="auto"/>
          </w:tcPr>
          <w:p w14:paraId="7385B32E"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1.627</w:t>
            </w:r>
          </w:p>
        </w:tc>
        <w:tc>
          <w:tcPr>
            <w:tcW w:w="0" w:type="auto"/>
          </w:tcPr>
          <w:p w14:paraId="6B37D8BB"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0.104</w:t>
            </w:r>
          </w:p>
        </w:tc>
      </w:tr>
      <w:tr w:rsidR="00FF5AEC" w:rsidRPr="00DC64F4" w14:paraId="0A21D45A" w14:textId="77777777" w:rsidTr="0067699E">
        <w:trPr>
          <w:jc w:val="center"/>
        </w:trPr>
        <w:tc>
          <w:tcPr>
            <w:tcW w:w="0" w:type="auto"/>
            <w:tcBorders>
              <w:bottom w:val="single" w:sz="4" w:space="0" w:color="auto"/>
            </w:tcBorders>
          </w:tcPr>
          <w:p w14:paraId="1D17858A" w14:textId="10DFD595" w:rsidR="00FF5AEC" w:rsidRPr="00DC64F4" w:rsidRDefault="00D95E50" w:rsidP="002B6539">
            <w:pPr>
              <w:pStyle w:val="Compact"/>
              <w:spacing w:line="360" w:lineRule="auto"/>
              <w:jc w:val="both"/>
              <w:rPr>
                <w:rFonts w:ascii="Times New Roman" w:hAnsi="Times New Roman" w:cs="Times New Roman"/>
              </w:rPr>
            </w:pPr>
            <m:oMath>
              <m:r>
                <w:rPr>
                  <w:rFonts w:ascii="Cambria Math" w:hAnsi="Cambria Math" w:cs="Times New Roman"/>
                </w:rPr>
                <m:t>Δ</m:t>
              </m:r>
            </m:oMath>
            <w:r w:rsidR="00000000" w:rsidRPr="00DC64F4">
              <w:rPr>
                <w:rFonts w:ascii="Times New Roman" w:hAnsi="Times New Roman" w:cs="Times New Roman"/>
              </w:rPr>
              <w:t>US two-year yield</w:t>
            </w:r>
          </w:p>
        </w:tc>
        <w:tc>
          <w:tcPr>
            <w:tcW w:w="0" w:type="auto"/>
            <w:tcBorders>
              <w:bottom w:val="single" w:sz="4" w:space="0" w:color="auto"/>
            </w:tcBorders>
          </w:tcPr>
          <w:p w14:paraId="2A6ABD06"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2.263</w:t>
            </w:r>
          </w:p>
        </w:tc>
        <w:tc>
          <w:tcPr>
            <w:tcW w:w="0" w:type="auto"/>
            <w:tcBorders>
              <w:bottom w:val="single" w:sz="4" w:space="0" w:color="auto"/>
            </w:tcBorders>
          </w:tcPr>
          <w:p w14:paraId="5BE26A5E"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2.888</w:t>
            </w:r>
          </w:p>
        </w:tc>
        <w:tc>
          <w:tcPr>
            <w:tcW w:w="0" w:type="auto"/>
            <w:tcBorders>
              <w:bottom w:val="single" w:sz="4" w:space="0" w:color="auto"/>
            </w:tcBorders>
          </w:tcPr>
          <w:p w14:paraId="1817742A"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0.784</w:t>
            </w:r>
          </w:p>
        </w:tc>
        <w:tc>
          <w:tcPr>
            <w:tcW w:w="0" w:type="auto"/>
            <w:tcBorders>
              <w:bottom w:val="single" w:sz="4" w:space="0" w:color="auto"/>
            </w:tcBorders>
          </w:tcPr>
          <w:p w14:paraId="56D024D5"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0.433</w:t>
            </w:r>
          </w:p>
        </w:tc>
      </w:tr>
      <w:tr w:rsidR="00FF5AEC" w:rsidRPr="00DC64F4" w14:paraId="4D51DC83" w14:textId="77777777" w:rsidTr="0067699E">
        <w:trPr>
          <w:jc w:val="center"/>
        </w:trPr>
        <w:tc>
          <w:tcPr>
            <w:tcW w:w="0" w:type="auto"/>
            <w:tcBorders>
              <w:top w:val="single" w:sz="4" w:space="0" w:color="auto"/>
            </w:tcBorders>
          </w:tcPr>
          <w:p w14:paraId="4EDC336C"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Observations</w:t>
            </w:r>
          </w:p>
        </w:tc>
        <w:tc>
          <w:tcPr>
            <w:tcW w:w="0" w:type="auto"/>
            <w:gridSpan w:val="4"/>
            <w:tcBorders>
              <w:top w:val="single" w:sz="4" w:space="0" w:color="auto"/>
            </w:tcBorders>
          </w:tcPr>
          <w:p w14:paraId="70AD8EF2"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185</w:t>
            </w:r>
          </w:p>
        </w:tc>
      </w:tr>
      <w:tr w:rsidR="00FF5AEC" w:rsidRPr="00DC64F4" w14:paraId="51B85E91" w14:textId="77777777" w:rsidTr="0067699E">
        <w:trPr>
          <w:jc w:val="center"/>
        </w:trPr>
        <w:tc>
          <w:tcPr>
            <w:tcW w:w="0" w:type="auto"/>
          </w:tcPr>
          <w:p w14:paraId="58857E81" w14:textId="6B06A233" w:rsidR="00FF5AEC" w:rsidRPr="00DC64F4" w:rsidRDefault="00000000" w:rsidP="002B6539">
            <w:pPr>
              <w:pStyle w:val="Compact"/>
              <w:spacing w:line="36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DC64F4">
              <w:rPr>
                <w:rFonts w:ascii="Times New Roman" w:hAnsi="Times New Roman" w:cs="Times New Roman"/>
              </w:rPr>
              <w:t xml:space="preserve"> / adjusted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p>
        </w:tc>
        <w:tc>
          <w:tcPr>
            <w:tcW w:w="0" w:type="auto"/>
            <w:gridSpan w:val="4"/>
          </w:tcPr>
          <w:p w14:paraId="145310CE"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0.481 / 0.464</w:t>
            </w:r>
          </w:p>
        </w:tc>
      </w:tr>
      <w:tr w:rsidR="00FF5AEC" w:rsidRPr="00DC64F4" w14:paraId="1E9DFD07" w14:textId="77777777" w:rsidTr="0067699E">
        <w:trPr>
          <w:jc w:val="center"/>
        </w:trPr>
        <w:tc>
          <w:tcPr>
            <w:tcW w:w="0" w:type="auto"/>
          </w:tcPr>
          <w:p w14:paraId="2910AF34" w14:textId="77777777" w:rsidR="00FF5AEC" w:rsidRPr="00DC64F4" w:rsidRDefault="00000000" w:rsidP="002B6539">
            <w:pPr>
              <w:pStyle w:val="Compact"/>
              <w:spacing w:line="360" w:lineRule="auto"/>
              <w:jc w:val="both"/>
              <w:rPr>
                <w:rFonts w:ascii="Times New Roman" w:hAnsi="Times New Roman" w:cs="Times New Roman"/>
              </w:rPr>
            </w:pPr>
            <w:r w:rsidRPr="00DC64F4">
              <w:rPr>
                <w:rFonts w:ascii="Times New Roman" w:hAnsi="Times New Roman" w:cs="Times New Roman"/>
              </w:rPr>
              <w:t>HAC maximum lag</w:t>
            </w:r>
          </w:p>
        </w:tc>
        <w:tc>
          <w:tcPr>
            <w:tcW w:w="0" w:type="auto"/>
            <w:gridSpan w:val="4"/>
          </w:tcPr>
          <w:p w14:paraId="001E1F28" w14:textId="77777777"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12 months</w:t>
            </w:r>
          </w:p>
        </w:tc>
      </w:tr>
      <w:tr w:rsidR="00FF5AEC" w:rsidRPr="00DC64F4" w14:paraId="42600181" w14:textId="77777777" w:rsidTr="0067699E">
        <w:trPr>
          <w:jc w:val="center"/>
        </w:trPr>
        <w:tc>
          <w:tcPr>
            <w:tcW w:w="0" w:type="auto"/>
            <w:tcBorders>
              <w:bottom w:val="single" w:sz="4" w:space="0" w:color="auto"/>
            </w:tcBorders>
          </w:tcPr>
          <w:p w14:paraId="2E00B190" w14:textId="16C8CC79" w:rsidR="00FF5AEC" w:rsidRPr="00DC64F4" w:rsidRDefault="00D95E50" w:rsidP="002B6539">
            <w:pPr>
              <w:pStyle w:val="Compact"/>
              <w:spacing w:line="360" w:lineRule="auto"/>
              <w:jc w:val="both"/>
              <w:rPr>
                <w:rFonts w:ascii="Times New Roman" w:hAnsi="Times New Roman" w:cs="Times New Roman"/>
              </w:rPr>
            </w:pPr>
            <m:oMath>
              <m:r>
                <w:rPr>
                  <w:rFonts w:ascii="Cambria Math" w:hAnsi="Cambria Math" w:cs="Times New Roman"/>
                </w:rPr>
                <m:t>F</m:t>
              </m:r>
            </m:oMath>
            <w:r w:rsidR="00000000" w:rsidRPr="00DC64F4">
              <w:rPr>
                <w:rFonts w:ascii="Times New Roman" w:hAnsi="Times New Roman" w:cs="Times New Roman"/>
              </w:rPr>
              <w:t xml:space="preserve"> statistic (</w:t>
            </w:r>
            <m:oMath>
              <m:r>
                <w:rPr>
                  <w:rFonts w:ascii="Cambria Math" w:hAnsi="Cambria Math" w:cs="Times New Roman"/>
                </w:rPr>
                <m:t>p</m:t>
              </m:r>
            </m:oMath>
            <w:r w:rsidR="00000000" w:rsidRPr="00DC64F4">
              <w:rPr>
                <w:rFonts w:ascii="Times New Roman" w:hAnsi="Times New Roman" w:cs="Times New Roman"/>
              </w:rPr>
              <w:t xml:space="preserve"> value)</w:t>
            </w:r>
          </w:p>
        </w:tc>
        <w:tc>
          <w:tcPr>
            <w:tcW w:w="0" w:type="auto"/>
            <w:gridSpan w:val="4"/>
            <w:tcBorders>
              <w:bottom w:val="single" w:sz="4" w:space="0" w:color="auto"/>
            </w:tcBorders>
          </w:tcPr>
          <w:p w14:paraId="6BA8B621" w14:textId="001F2ACF" w:rsidR="00FF5AEC" w:rsidRPr="00DC64F4" w:rsidRDefault="00000000" w:rsidP="0067699E">
            <w:pPr>
              <w:pStyle w:val="Compact"/>
              <w:spacing w:line="360" w:lineRule="auto"/>
              <w:jc w:val="right"/>
              <w:rPr>
                <w:rFonts w:ascii="Times New Roman" w:hAnsi="Times New Roman" w:cs="Times New Roman"/>
              </w:rPr>
            </w:pPr>
            <w:r w:rsidRPr="00DC64F4">
              <w:rPr>
                <w:rFonts w:ascii="Times New Roman" w:hAnsi="Times New Roman" w:cs="Times New Roman"/>
              </w:rPr>
              <w:t>5.929 (</w:t>
            </w:r>
            <m:oMath>
              <m:r>
                <m:rPr>
                  <m:sty m:val="p"/>
                </m:rPr>
                <w:rPr>
                  <w:rFonts w:ascii="Cambria Math" w:hAnsi="Cambria Math" w:cs="Times New Roman"/>
                </w:rPr>
                <m:t>&lt;0.001</m:t>
              </m:r>
            </m:oMath>
            <w:r w:rsidRPr="00DC64F4">
              <w:rPr>
                <w:rFonts w:ascii="Times New Roman" w:hAnsi="Times New Roman" w:cs="Times New Roman"/>
              </w:rPr>
              <w:t>)</w:t>
            </w:r>
          </w:p>
        </w:tc>
      </w:tr>
    </w:tbl>
    <w:bookmarkEnd w:id="22"/>
    <w:p w14:paraId="782692E4" w14:textId="77777777"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Note: The dependent variable is the month-end rolling TCI. VIX and GPR are monthly averages. Oil, dollar, and S&amp;P 500 variables are monthly percentage changes; the Treasury yield is a monthly percentage-point change. Standard errors are Newey–West HAC estimates.</w:t>
      </w:r>
    </w:p>
    <w:p w14:paraId="7ADE3DA5" w14:textId="77777777" w:rsidR="00FF5AEC" w:rsidRPr="00DC64F4" w:rsidRDefault="00000000" w:rsidP="002B6539">
      <w:pPr>
        <w:pStyle w:val="Heading2"/>
        <w:spacing w:line="360" w:lineRule="auto"/>
        <w:jc w:val="both"/>
        <w:rPr>
          <w:rFonts w:ascii="Times New Roman" w:hAnsi="Times New Roman" w:cs="Times New Roman"/>
          <w:b/>
          <w:bCs/>
          <w:color w:val="auto"/>
          <w:sz w:val="24"/>
          <w:szCs w:val="24"/>
        </w:rPr>
      </w:pPr>
      <w:bookmarkStart w:id="23" w:name="comparison-with-prior-asean-evidence"/>
      <w:bookmarkEnd w:id="21"/>
      <w:r w:rsidRPr="00DC64F4">
        <w:rPr>
          <w:rStyle w:val="SectionNumber"/>
          <w:rFonts w:ascii="Times New Roman" w:hAnsi="Times New Roman" w:cs="Times New Roman"/>
          <w:b/>
          <w:bCs/>
          <w:color w:val="auto"/>
          <w:sz w:val="24"/>
          <w:szCs w:val="24"/>
        </w:rPr>
        <w:lastRenderedPageBreak/>
        <w:t>5.6</w:t>
      </w:r>
      <w:r w:rsidRPr="00DC64F4">
        <w:rPr>
          <w:rFonts w:ascii="Times New Roman" w:hAnsi="Times New Roman" w:cs="Times New Roman"/>
          <w:b/>
          <w:bCs/>
          <w:color w:val="auto"/>
          <w:sz w:val="24"/>
          <w:szCs w:val="24"/>
        </w:rPr>
        <w:tab/>
        <w:t>Comparison with prior ASEAN evidence</w:t>
      </w:r>
    </w:p>
    <w:p w14:paraId="3AEFD6DB" w14:textId="77777777"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The findings reinforce, but also qualify, earlier evidence on ASEAN volatility transmission. The sharp increases in regional connectedness during COVID-19, the US–China trade-war escalation, and the taper tantrum are consistent with Vo and Tran (2020), who show that shocks from the US equity market spill over to ASEAN markets, and with Chow (2017), who links Asian-market exposure to financial openness. The COVID-19 increase also accords with Sethapramote et al. (2023), who find stronger global-to-ASEAN and intraregional spillovers during the pandemic. The present estimates extend those studies by identifying how a common external disturbance is redistributed within the ASEAN network across several episodes: Indonesia and Thailand are the principal full-sample transmitters, whereas Singapore is a net receiver in the baseline model.</w:t>
      </w:r>
    </w:p>
    <w:p w14:paraId="0C2AECCA" w14:textId="44A3C58E" w:rsidR="0042344A"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The results for Vietnam add a further qualification. Vo and Ellis (2018) document Vietnam’s increasing linkages with advanced markets, while Al Anshari (2025) find relatively weak full-period correlations between Vietnam and the other ASEAN-6 markets but identify Vietnam as informative for distinguishing network regimes. The large own-market variance share found here is consistent with that relative separation, yet the directional estimates show that separation is not equivalent to a permanently passive role. Vietnam is a modest receiver under the range-based baseline but becomes a transmitter under some return-based proxies. This measurement sensitivity complements the policy-uncertainty evidence of Hoque et al. (2026): the direction and strength of ASEAN connectedness depend on both the source of uncertainty and the empirical representation of volatility. Accordingly, the contribution of this study is not a universal ranking of markets, but evidence that regional systemic roles are state and measurement dependent.</w:t>
      </w:r>
    </w:p>
    <w:p w14:paraId="43623FBA" w14:textId="77777777" w:rsidR="00FF5AEC" w:rsidRPr="00DC64F4" w:rsidRDefault="00000000" w:rsidP="002B6539">
      <w:pPr>
        <w:pStyle w:val="Heading1"/>
        <w:spacing w:line="360" w:lineRule="auto"/>
        <w:jc w:val="both"/>
        <w:rPr>
          <w:rFonts w:ascii="Times New Roman" w:hAnsi="Times New Roman" w:cs="Times New Roman"/>
          <w:b/>
          <w:bCs/>
          <w:color w:val="auto"/>
          <w:sz w:val="24"/>
          <w:szCs w:val="24"/>
        </w:rPr>
      </w:pPr>
      <w:bookmarkStart w:id="24" w:name="sec:robustness"/>
      <w:bookmarkEnd w:id="14"/>
      <w:bookmarkEnd w:id="23"/>
      <w:r w:rsidRPr="00DC64F4">
        <w:rPr>
          <w:rStyle w:val="SectionNumber"/>
          <w:rFonts w:ascii="Times New Roman" w:hAnsi="Times New Roman" w:cs="Times New Roman"/>
          <w:b/>
          <w:bCs/>
          <w:color w:val="auto"/>
          <w:sz w:val="24"/>
          <w:szCs w:val="24"/>
        </w:rPr>
        <w:t>6</w:t>
      </w:r>
      <w:r w:rsidRPr="00DC64F4">
        <w:rPr>
          <w:rFonts w:ascii="Times New Roman" w:hAnsi="Times New Roman" w:cs="Times New Roman"/>
          <w:b/>
          <w:bCs/>
          <w:color w:val="auto"/>
          <w:sz w:val="24"/>
          <w:szCs w:val="24"/>
        </w:rPr>
        <w:tab/>
        <w:t>Robustness and Additional Analysis</w:t>
      </w:r>
    </w:p>
    <w:p w14:paraId="2B339BF6" w14:textId="10142F38" w:rsidR="00FF5AEC" w:rsidRPr="00DC64F4" w:rsidRDefault="00000000" w:rsidP="002B6539">
      <w:pPr>
        <w:pStyle w:val="FirstParagraph"/>
        <w:spacing w:line="360" w:lineRule="auto"/>
        <w:jc w:val="both"/>
        <w:rPr>
          <w:rFonts w:ascii="Times New Roman" w:hAnsi="Times New Roman" w:cs="Times New Roman"/>
        </w:rPr>
      </w:pPr>
      <w:r w:rsidRPr="00DC64F4">
        <w:rPr>
          <w:rFonts w:ascii="Times New Roman" w:hAnsi="Times New Roman" w:cs="Times New Roman"/>
        </w:rPr>
        <w:t>The aggregate finding of positive, time-varying ASEAN connectedness survives changes in the forecast horizon, rolling-window length, currency denomination, frequency, and VAR lag order. Figure </w:t>
      </w:r>
      <w:hyperlink w:anchor="fig:robustness-comparison">
        <w:r w:rsidRPr="00DC64F4">
          <w:rPr>
            <w:rStyle w:val="Hyperlink"/>
            <w:rFonts w:ascii="Times New Roman" w:hAnsi="Times New Roman" w:cs="Times New Roman"/>
            <w:color w:val="auto"/>
          </w:rPr>
          <w:t>4</w:t>
        </w:r>
      </w:hyperlink>
      <w:r w:rsidRPr="00DC64F4">
        <w:rPr>
          <w:rFonts w:ascii="Times New Roman" w:hAnsi="Times New Roman" w:cs="Times New Roman"/>
        </w:rPr>
        <w:t xml:space="preserve"> summarizes the sensitivity of mean TCI to the volatility proxy, sampling frequency, rolling-window length, and forecast horizon, while Table </w:t>
      </w:r>
      <w:hyperlink w:anchor="tab:robustness">
        <w:r w:rsidR="006C2C11">
          <w:rPr>
            <w:rStyle w:val="Hyperlink"/>
            <w:rFonts w:ascii="Times New Roman" w:hAnsi="Times New Roman" w:cs="Times New Roman"/>
            <w:color w:val="auto"/>
          </w:rPr>
          <w:t>9</w:t>
        </w:r>
      </w:hyperlink>
      <w:r w:rsidRPr="00DC64F4">
        <w:rPr>
          <w:rFonts w:ascii="Times New Roman" w:hAnsi="Times New Roman" w:cs="Times New Roman"/>
        </w:rPr>
        <w:t xml:space="preserve"> reports representative specifications and Vietnam’s directional position. Within the daily Parkinson models, mean TCI remains close to 20% and Vietnam remains a net receiver. Fixed VAR lag orders of one, two, and three produce mean TCI values of 20.04%, 20.80%, and 21.62%, respectively.</w:t>
      </w:r>
    </w:p>
    <w:p w14:paraId="75F2FA97" w14:textId="77777777" w:rsidR="00FF5AEC"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lastRenderedPageBreak/>
        <w:t>The magnitude of connectedness is nevertheless sensitive to the volatility proxy and sampling frequency. Panel 1 shows that weekly estimates exceed their daily counterparts for all five proxies, with the largest frequency difference under the Parkinson measure. Panels 2 and 3 show that the daily mean TCI is comparatively stable across rolling windows of 200, 250, and 300 trading days and forecast horizons of 5, 10, and 20 days; the ordering across proxies is also preserved. More importantly for H3, Vietnam is a net receiver in the Parkinson and US-dollar specifications but a net transmitter in local-currency squared- and absolute-return specifications. Its share of net-transmitter windows ranges from approximately 37% to 66%. The hypothesis that Vietnam is generally a receiver is therefore supported by the baseline range-based model but not robust across all measurement choices. A return-based GARCH-filtered EWMA exercise is retained as supplementary correlation evidence and is not presented as a DCC-GARCH model.</w:t>
      </w:r>
    </w:p>
    <w:p w14:paraId="6EFD9FD1" w14:textId="4F4C3CF2" w:rsidR="00B70010" w:rsidRDefault="00B70010" w:rsidP="002B6539">
      <w:pPr>
        <w:pStyle w:val="BodyText"/>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AFBF4EF" wp14:editId="380265C1">
            <wp:extent cx="5935980" cy="1808480"/>
            <wp:effectExtent l="0" t="0" r="0" b="0"/>
            <wp:docPr id="841181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1808480"/>
                    </a:xfrm>
                    <a:prstGeom prst="rect">
                      <a:avLst/>
                    </a:prstGeom>
                    <a:noFill/>
                    <a:ln>
                      <a:noFill/>
                    </a:ln>
                  </pic:spPr>
                </pic:pic>
              </a:graphicData>
            </a:graphic>
          </wp:inline>
        </w:drawing>
      </w:r>
    </w:p>
    <w:p w14:paraId="0D864599" w14:textId="77777777" w:rsidR="00B70010" w:rsidRDefault="00B70010" w:rsidP="00B70010">
      <w:pPr>
        <w:pStyle w:val="ImageCaption"/>
        <w:spacing w:line="360" w:lineRule="auto"/>
        <w:jc w:val="center"/>
        <w:rPr>
          <w:rFonts w:ascii="Times New Roman" w:hAnsi="Times New Roman" w:cs="Times New Roman"/>
          <w:i w:val="0"/>
          <w:iCs/>
        </w:rPr>
      </w:pPr>
      <w:r w:rsidRPr="00B70010">
        <w:rPr>
          <w:rFonts w:ascii="Times New Roman" w:hAnsi="Times New Roman" w:cs="Times New Roman"/>
          <w:b/>
          <w:bCs/>
          <w:i w:val="0"/>
          <w:iCs/>
        </w:rPr>
        <w:t xml:space="preserve">Figure 4: </w:t>
      </w:r>
      <w:r w:rsidRPr="00B70010">
        <w:rPr>
          <w:rFonts w:ascii="Times New Roman" w:hAnsi="Times New Roman" w:cs="Times New Roman"/>
          <w:i w:val="0"/>
          <w:iCs/>
        </w:rPr>
        <w:t>Robustness of mean total connectedness</w:t>
      </w:r>
    </w:p>
    <w:p w14:paraId="1705A61D" w14:textId="77777777" w:rsidR="00B70010" w:rsidRPr="00DC64F4" w:rsidRDefault="00B70010" w:rsidP="00B70010">
      <w:pPr>
        <w:spacing w:line="360" w:lineRule="auto"/>
        <w:rPr>
          <w:rFonts w:ascii="Times New Roman" w:hAnsi="Times New Roman" w:cs="Times New Roman"/>
        </w:rPr>
      </w:pPr>
      <w:r w:rsidRPr="00DC64F4">
        <w:rPr>
          <w:rFonts w:ascii="Times New Roman" w:hAnsi="Times New Roman" w:cs="Times New Roman"/>
        </w:rPr>
        <w:t xml:space="preserve">Note: Panel 1 compares daily and weekly mean TCI estimates across the Parkinson, squared-return, US-dollar squared-return, absolute-return, and US-dollar absolute-return volatility proxies; error bars denote standard errors. Panel 2 reports daily mean TCI for rolling-window lengths </w:t>
      </w:r>
      <m:oMath>
        <m:r>
          <m:rPr>
            <m:sty m:val="p"/>
          </m:rPr>
          <w:rPr>
            <w:rFonts w:ascii="Cambria Math" w:hAnsi="Cambria Math" w:cs="Times New Roman"/>
          </w:rPr>
          <m:t>W∈{200,250,300}</m:t>
        </m:r>
      </m:oMath>
      <w:r w:rsidRPr="00DC64F4">
        <w:rPr>
          <w:rFonts w:ascii="Times New Roman" w:hAnsi="Times New Roman" w:cs="Times New Roman"/>
        </w:rPr>
        <w:t xml:space="preserve"> trading days. Panel 3 reports daily mean TCI for forecast horizons </w:t>
      </w:r>
      <m:oMath>
        <m:r>
          <m:rPr>
            <m:sty m:val="p"/>
          </m:rPr>
          <w:rPr>
            <w:rFonts w:ascii="Cambria Math" w:hAnsi="Cambria Math" w:cs="Times New Roman"/>
          </w:rPr>
          <m:t>H∈{5,10,20}</m:t>
        </m:r>
      </m:oMath>
      <w:r w:rsidRPr="00DC64F4">
        <w:rPr>
          <w:rFonts w:ascii="Times New Roman" w:hAnsi="Times New Roman" w:cs="Times New Roman"/>
        </w:rPr>
        <w:t xml:space="preserve"> days. In Panels 2 and 3, the non-varied baseline settings are </w:t>
      </w:r>
      <m:oMath>
        <m:r>
          <m:rPr>
            <m:sty m:val="p"/>
          </m:rPr>
          <w:rPr>
            <w:rFonts w:ascii="Cambria Math" w:hAnsi="Cambria Math" w:cs="Times New Roman"/>
          </w:rPr>
          <m:t>W=250</m:t>
        </m:r>
      </m:oMath>
      <w:r w:rsidRPr="00DC64F4">
        <w:rPr>
          <w:rFonts w:ascii="Times New Roman" w:hAnsi="Times New Roman" w:cs="Times New Roman"/>
        </w:rPr>
        <w:t xml:space="preserve"> and </w:t>
      </w:r>
      <m:oMath>
        <m:r>
          <m:rPr>
            <m:sty m:val="p"/>
          </m:rPr>
          <w:rPr>
            <w:rFonts w:ascii="Cambria Math" w:hAnsi="Cambria Math" w:cs="Times New Roman"/>
          </w:rPr>
          <m:t>H=10</m:t>
        </m:r>
      </m:oMath>
      <w:r w:rsidRPr="00DC64F4">
        <w:rPr>
          <w:rFonts w:ascii="Times New Roman" w:hAnsi="Times New Roman" w:cs="Times New Roman"/>
        </w:rPr>
        <w:t>.</w:t>
      </w:r>
    </w:p>
    <w:p w14:paraId="4155BFDA" w14:textId="77777777" w:rsidR="00B70010" w:rsidRPr="00B70010" w:rsidRDefault="00B70010" w:rsidP="00B70010">
      <w:pPr>
        <w:pStyle w:val="ImageCaption"/>
        <w:spacing w:line="360" w:lineRule="auto"/>
        <w:rPr>
          <w:rFonts w:ascii="Times New Roman" w:hAnsi="Times New Roman" w:cs="Times New Roman"/>
          <w:i w:val="0"/>
          <w:iCs/>
        </w:rPr>
      </w:pPr>
    </w:p>
    <w:p w14:paraId="13F813FD" w14:textId="7328B2CE" w:rsidR="00B70010" w:rsidRPr="00B70010" w:rsidRDefault="00B70010" w:rsidP="002B6539">
      <w:pPr>
        <w:pStyle w:val="BodyText"/>
        <w:spacing w:line="360" w:lineRule="auto"/>
        <w:jc w:val="both"/>
        <w:rPr>
          <w:rFonts w:ascii="Times New Roman" w:hAnsi="Times New Roman" w:cs="Times New Roman"/>
        </w:rPr>
      </w:pPr>
    </w:p>
    <w:p w14:paraId="577CE3BB" w14:textId="77777777" w:rsidR="00B70010" w:rsidRDefault="00B70010" w:rsidP="002B6539">
      <w:pPr>
        <w:pStyle w:val="BodyText"/>
        <w:spacing w:line="360" w:lineRule="auto"/>
        <w:jc w:val="both"/>
        <w:rPr>
          <w:rFonts w:ascii="Times New Roman" w:hAnsi="Times New Roman" w:cs="Times New Roman"/>
        </w:rPr>
      </w:pPr>
    </w:p>
    <w:p w14:paraId="54B93829" w14:textId="119E84FB" w:rsidR="00B70010" w:rsidRPr="00DC64F4" w:rsidRDefault="00B70010" w:rsidP="00B70010">
      <w:pPr>
        <w:pStyle w:val="TableCaption"/>
        <w:spacing w:line="360" w:lineRule="auto"/>
        <w:jc w:val="center"/>
        <w:rPr>
          <w:rFonts w:ascii="Times New Roman" w:hAnsi="Times New Roman" w:cs="Times New Roman"/>
          <w:i w:val="0"/>
        </w:rPr>
      </w:pPr>
      <w:r>
        <w:rPr>
          <w:rFonts w:ascii="Times New Roman" w:hAnsi="Times New Roman" w:cs="Times New Roman"/>
          <w:b/>
          <w:bCs/>
          <w:i w:val="0"/>
        </w:rPr>
        <w:lastRenderedPageBreak/>
        <w:t xml:space="preserve">Table </w:t>
      </w:r>
      <w:r>
        <w:rPr>
          <w:rFonts w:ascii="Times New Roman" w:hAnsi="Times New Roman" w:cs="Times New Roman"/>
          <w:b/>
          <w:bCs/>
          <w:i w:val="0"/>
        </w:rPr>
        <w:t>9</w:t>
      </w:r>
      <w:r>
        <w:rPr>
          <w:rFonts w:ascii="Times New Roman" w:hAnsi="Times New Roman" w:cs="Times New Roman"/>
          <w:b/>
          <w:bCs/>
          <w:i w:val="0"/>
        </w:rPr>
        <w:t xml:space="preserve">: </w:t>
      </w:r>
      <w:r>
        <w:rPr>
          <w:rFonts w:ascii="Times New Roman" w:hAnsi="Times New Roman" w:cs="Times New Roman"/>
          <w:i w:val="0"/>
        </w:rPr>
        <w:t>Selected robustness results</w:t>
      </w:r>
    </w:p>
    <w:tbl>
      <w:tblPr>
        <w:tblStyle w:val="Table"/>
        <w:tblW w:w="0" w:type="auto"/>
        <w:jc w:val="center"/>
        <w:tblLook w:val="0020" w:firstRow="1" w:lastRow="0" w:firstColumn="0" w:lastColumn="0" w:noHBand="0" w:noVBand="0"/>
      </w:tblPr>
      <w:tblGrid>
        <w:gridCol w:w="1858"/>
        <w:gridCol w:w="2744"/>
        <w:gridCol w:w="1161"/>
        <w:gridCol w:w="1631"/>
        <w:gridCol w:w="2182"/>
      </w:tblGrid>
      <w:tr w:rsidR="00B70010" w:rsidRPr="00DC64F4" w14:paraId="636C332C" w14:textId="77777777" w:rsidTr="00C02F4A">
        <w:trPr>
          <w:cnfStyle w:val="100000000000" w:firstRow="1" w:lastRow="0" w:firstColumn="0" w:lastColumn="0" w:oddVBand="0" w:evenVBand="0" w:oddHBand="0" w:evenHBand="0" w:firstRowFirstColumn="0" w:firstRowLastColumn="0" w:lastRowFirstColumn="0" w:lastRowLastColumn="0"/>
          <w:tblHeader/>
          <w:jc w:val="center"/>
        </w:trPr>
        <w:tc>
          <w:tcPr>
            <w:tcW w:w="1858" w:type="dxa"/>
            <w:tcBorders>
              <w:top w:val="single" w:sz="4" w:space="0" w:color="auto"/>
              <w:bottom w:val="single" w:sz="2" w:space="0" w:color="auto"/>
            </w:tcBorders>
          </w:tcPr>
          <w:p w14:paraId="60AC6D0F" w14:textId="77FE15A3" w:rsidR="00B70010" w:rsidRPr="00DC64F4" w:rsidRDefault="00B70010" w:rsidP="007430A9">
            <w:pPr>
              <w:pStyle w:val="Compact"/>
              <w:spacing w:line="360" w:lineRule="auto"/>
              <w:jc w:val="both"/>
              <w:rPr>
                <w:rFonts w:ascii="Times New Roman" w:hAnsi="Times New Roman" w:cs="Times New Roman"/>
              </w:rPr>
            </w:pPr>
            <w:r>
              <w:rPr>
                <w:rFonts w:ascii="Times New Roman" w:hAnsi="Times New Roman" w:cs="Times New Roman"/>
              </w:rPr>
              <w:t>Frequency/proxy</w:t>
            </w:r>
          </w:p>
        </w:tc>
        <w:tc>
          <w:tcPr>
            <w:tcW w:w="2744" w:type="dxa"/>
            <w:tcBorders>
              <w:top w:val="single" w:sz="4" w:space="0" w:color="auto"/>
              <w:bottom w:val="single" w:sz="2" w:space="0" w:color="auto"/>
            </w:tcBorders>
          </w:tcPr>
          <w:p w14:paraId="51E0D56E" w14:textId="3A7354E3" w:rsidR="00B70010" w:rsidRPr="00DC64F4" w:rsidRDefault="00B70010" w:rsidP="007430A9">
            <w:pPr>
              <w:pStyle w:val="Compact"/>
              <w:spacing w:line="360" w:lineRule="auto"/>
              <w:jc w:val="both"/>
              <w:rPr>
                <w:rFonts w:ascii="Times New Roman" w:hAnsi="Times New Roman" w:cs="Times New Roman"/>
              </w:rPr>
            </w:pPr>
            <w:r w:rsidRPr="00DC64F4">
              <w:rPr>
                <w:rFonts w:ascii="Times New Roman" w:hAnsi="Times New Roman" w:cs="Times New Roman"/>
              </w:rPr>
              <w:t>C</w:t>
            </w:r>
            <w:r>
              <w:rPr>
                <w:rFonts w:ascii="Times New Roman" w:hAnsi="Times New Roman" w:cs="Times New Roman"/>
              </w:rPr>
              <w:t>urrency/specification</w:t>
            </w:r>
          </w:p>
        </w:tc>
        <w:tc>
          <w:tcPr>
            <w:tcW w:w="0" w:type="auto"/>
            <w:tcBorders>
              <w:top w:val="single" w:sz="4" w:space="0" w:color="auto"/>
              <w:bottom w:val="single" w:sz="2" w:space="0" w:color="auto"/>
            </w:tcBorders>
          </w:tcPr>
          <w:p w14:paraId="3968B5E7" w14:textId="74E182D5" w:rsidR="00B70010" w:rsidRPr="00DC64F4" w:rsidRDefault="00B70010" w:rsidP="007430A9">
            <w:pPr>
              <w:pStyle w:val="Compact"/>
              <w:spacing w:line="360" w:lineRule="auto"/>
              <w:jc w:val="both"/>
              <w:rPr>
                <w:rFonts w:ascii="Times New Roman" w:hAnsi="Times New Roman" w:cs="Times New Roman"/>
              </w:rPr>
            </w:pPr>
            <w:r>
              <w:rPr>
                <w:rFonts w:ascii="Times New Roman" w:hAnsi="Times New Roman" w:cs="Times New Roman"/>
              </w:rPr>
              <w:t>Mean TCI</w:t>
            </w:r>
          </w:p>
        </w:tc>
        <w:tc>
          <w:tcPr>
            <w:tcW w:w="0" w:type="auto"/>
            <w:tcBorders>
              <w:top w:val="single" w:sz="4" w:space="0" w:color="auto"/>
              <w:bottom w:val="single" w:sz="2" w:space="0" w:color="auto"/>
            </w:tcBorders>
          </w:tcPr>
          <w:p w14:paraId="011729B3" w14:textId="478CA129" w:rsidR="00B70010" w:rsidRPr="00DC64F4" w:rsidRDefault="00B70010" w:rsidP="007430A9">
            <w:pPr>
              <w:pStyle w:val="Compact"/>
              <w:spacing w:line="360" w:lineRule="auto"/>
              <w:jc w:val="both"/>
              <w:rPr>
                <w:rFonts w:ascii="Times New Roman" w:hAnsi="Times New Roman" w:cs="Times New Roman"/>
              </w:rPr>
            </w:pPr>
            <w:r>
              <w:rPr>
                <w:rFonts w:ascii="Times New Roman" w:hAnsi="Times New Roman" w:cs="Times New Roman"/>
              </w:rPr>
              <w:t>Mean net VNM</w:t>
            </w:r>
          </w:p>
        </w:tc>
        <w:tc>
          <w:tcPr>
            <w:tcW w:w="0" w:type="auto"/>
            <w:tcBorders>
              <w:top w:val="single" w:sz="4" w:space="0" w:color="auto"/>
              <w:bottom w:val="single" w:sz="2" w:space="0" w:color="auto"/>
            </w:tcBorders>
          </w:tcPr>
          <w:p w14:paraId="70A77624" w14:textId="51127F7E" w:rsidR="00B70010" w:rsidRPr="00DC64F4" w:rsidRDefault="00B70010" w:rsidP="007430A9">
            <w:pPr>
              <w:pStyle w:val="Compact"/>
              <w:spacing w:line="360" w:lineRule="auto"/>
              <w:jc w:val="both"/>
              <w:rPr>
                <w:rFonts w:ascii="Times New Roman" w:hAnsi="Times New Roman" w:cs="Times New Roman"/>
              </w:rPr>
            </w:pPr>
            <w:r>
              <w:rPr>
                <w:rFonts w:ascii="Times New Roman" w:hAnsi="Times New Roman" w:cs="Times New Roman"/>
              </w:rPr>
              <w:t>VNM transmitter (%)</w:t>
            </w:r>
          </w:p>
        </w:tc>
      </w:tr>
      <w:tr w:rsidR="00B70010" w:rsidRPr="00DC64F4" w14:paraId="5B8EF8A9" w14:textId="77777777" w:rsidTr="00C02F4A">
        <w:trPr>
          <w:jc w:val="center"/>
        </w:trPr>
        <w:tc>
          <w:tcPr>
            <w:tcW w:w="1858" w:type="dxa"/>
            <w:tcBorders>
              <w:top w:val="single" w:sz="2" w:space="0" w:color="auto"/>
            </w:tcBorders>
          </w:tcPr>
          <w:p w14:paraId="48F3FA2C" w14:textId="04908C34" w:rsidR="00B70010" w:rsidRPr="00DC64F4" w:rsidRDefault="00B70010" w:rsidP="00C02F4A">
            <w:pPr>
              <w:pStyle w:val="Compact"/>
              <w:spacing w:line="360" w:lineRule="auto"/>
              <w:rPr>
                <w:rFonts w:ascii="Times New Roman" w:hAnsi="Times New Roman" w:cs="Times New Roman"/>
              </w:rPr>
            </w:pPr>
            <w:r w:rsidRPr="00B70010">
              <w:rPr>
                <w:rFonts w:ascii="Times New Roman" w:hAnsi="Times New Roman" w:cs="Times New Roman"/>
              </w:rPr>
              <w:t>Daily Parkinson</w:t>
            </w:r>
          </w:p>
        </w:tc>
        <w:tc>
          <w:tcPr>
            <w:tcW w:w="2744" w:type="dxa"/>
            <w:tcBorders>
              <w:top w:val="single" w:sz="2" w:space="0" w:color="auto"/>
            </w:tcBorders>
          </w:tcPr>
          <w:p w14:paraId="52D145FF" w14:textId="04F01CA3" w:rsidR="00B70010" w:rsidRPr="00DC64F4" w:rsidRDefault="00246C41" w:rsidP="00C02F4A">
            <w:pPr>
              <w:pStyle w:val="Compact"/>
              <w:spacing w:line="360" w:lineRule="auto"/>
              <w:rPr>
                <w:rFonts w:ascii="Times New Roman" w:hAnsi="Times New Roman" w:cs="Times New Roman"/>
              </w:rPr>
            </w:pPr>
            <w:r>
              <w:rPr>
                <w:rFonts w:ascii="Times New Roman" w:hAnsi="Times New Roman" w:cs="Times New Roman"/>
              </w:rPr>
              <w:t>250 days, H = 10</w:t>
            </w:r>
          </w:p>
        </w:tc>
        <w:tc>
          <w:tcPr>
            <w:tcW w:w="0" w:type="auto"/>
            <w:tcBorders>
              <w:top w:val="single" w:sz="2" w:space="0" w:color="auto"/>
            </w:tcBorders>
          </w:tcPr>
          <w:p w14:paraId="41772393" w14:textId="32C42A39" w:rsidR="00B70010" w:rsidRPr="00DC64F4" w:rsidRDefault="00C02F4A" w:rsidP="007430A9">
            <w:pPr>
              <w:pStyle w:val="Compact"/>
              <w:spacing w:line="360" w:lineRule="auto"/>
              <w:jc w:val="right"/>
              <w:rPr>
                <w:rFonts w:ascii="Times New Roman" w:hAnsi="Times New Roman" w:cs="Times New Roman"/>
              </w:rPr>
            </w:pPr>
            <w:r>
              <w:rPr>
                <w:rFonts w:ascii="Times New Roman" w:hAnsi="Times New Roman" w:cs="Times New Roman"/>
              </w:rPr>
              <w:t>20.04</w:t>
            </w:r>
          </w:p>
        </w:tc>
        <w:tc>
          <w:tcPr>
            <w:tcW w:w="0" w:type="auto"/>
            <w:tcBorders>
              <w:top w:val="single" w:sz="2" w:space="0" w:color="auto"/>
            </w:tcBorders>
          </w:tcPr>
          <w:p w14:paraId="129C9360" w14:textId="07DA6B7F"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-0.72</w:t>
            </w:r>
          </w:p>
        </w:tc>
        <w:tc>
          <w:tcPr>
            <w:tcW w:w="0" w:type="auto"/>
            <w:tcBorders>
              <w:top w:val="single" w:sz="2" w:space="0" w:color="auto"/>
            </w:tcBorders>
          </w:tcPr>
          <w:p w14:paraId="1BCE7C9B" w14:textId="385795FE"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37.52</w:t>
            </w:r>
          </w:p>
        </w:tc>
      </w:tr>
      <w:tr w:rsidR="00B70010" w:rsidRPr="00DC64F4" w14:paraId="02F27AA3" w14:textId="77777777" w:rsidTr="00C02F4A">
        <w:trPr>
          <w:jc w:val="center"/>
        </w:trPr>
        <w:tc>
          <w:tcPr>
            <w:tcW w:w="1858" w:type="dxa"/>
          </w:tcPr>
          <w:p w14:paraId="16E647A2" w14:textId="517B7691" w:rsidR="00B70010" w:rsidRPr="00DC64F4" w:rsidRDefault="00B70010" w:rsidP="00C02F4A">
            <w:pPr>
              <w:pStyle w:val="Compact"/>
              <w:spacing w:line="360" w:lineRule="auto"/>
              <w:rPr>
                <w:rFonts w:ascii="Times New Roman" w:hAnsi="Times New Roman" w:cs="Times New Roman"/>
              </w:rPr>
            </w:pPr>
            <w:r w:rsidRPr="00B70010">
              <w:rPr>
                <w:rFonts w:ascii="Times New Roman" w:hAnsi="Times New Roman" w:cs="Times New Roman"/>
              </w:rPr>
              <w:t>Daily Parkinson</w:t>
            </w:r>
          </w:p>
        </w:tc>
        <w:tc>
          <w:tcPr>
            <w:tcW w:w="2744" w:type="dxa"/>
          </w:tcPr>
          <w:p w14:paraId="1B56DC55" w14:textId="1B0A76AF" w:rsidR="00B70010" w:rsidRPr="00DC64F4" w:rsidRDefault="00246C41" w:rsidP="00C02F4A">
            <w:pPr>
              <w:pStyle w:val="Compact"/>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0</w:t>
            </w:r>
            <w:r>
              <w:rPr>
                <w:rFonts w:ascii="Times New Roman" w:hAnsi="Times New Roman" w:cs="Times New Roman"/>
              </w:rPr>
              <w:t>0 days, H = 10</w:t>
            </w:r>
          </w:p>
        </w:tc>
        <w:tc>
          <w:tcPr>
            <w:tcW w:w="0" w:type="auto"/>
          </w:tcPr>
          <w:p w14:paraId="6E4F717B" w14:textId="734AC1B9" w:rsidR="00B70010" w:rsidRPr="00DC64F4" w:rsidRDefault="00420FF6" w:rsidP="007430A9">
            <w:pPr>
              <w:pStyle w:val="Compact"/>
              <w:spacing w:line="360" w:lineRule="auto"/>
              <w:jc w:val="right"/>
              <w:rPr>
                <w:rFonts w:ascii="Times New Roman" w:hAnsi="Times New Roman" w:cs="Times New Roman"/>
              </w:rPr>
            </w:pPr>
            <w:r>
              <w:rPr>
                <w:rFonts w:ascii="Times New Roman" w:hAnsi="Times New Roman" w:cs="Times New Roman"/>
              </w:rPr>
              <w:t>19.70</w:t>
            </w:r>
          </w:p>
        </w:tc>
        <w:tc>
          <w:tcPr>
            <w:tcW w:w="0" w:type="auto"/>
          </w:tcPr>
          <w:p w14:paraId="78C17C42" w14:textId="6AF6F5F2"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-0.44</w:t>
            </w:r>
          </w:p>
        </w:tc>
        <w:tc>
          <w:tcPr>
            <w:tcW w:w="0" w:type="auto"/>
          </w:tcPr>
          <w:p w14:paraId="31C8E47E" w14:textId="51A05E21"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40.24</w:t>
            </w:r>
          </w:p>
        </w:tc>
      </w:tr>
      <w:tr w:rsidR="00B70010" w:rsidRPr="00DC64F4" w14:paraId="1895A195" w14:textId="77777777" w:rsidTr="00C02F4A">
        <w:trPr>
          <w:jc w:val="center"/>
        </w:trPr>
        <w:tc>
          <w:tcPr>
            <w:tcW w:w="1858" w:type="dxa"/>
          </w:tcPr>
          <w:p w14:paraId="2B576FEB" w14:textId="3F08D481" w:rsidR="00B70010" w:rsidRPr="00DC64F4" w:rsidRDefault="00B70010" w:rsidP="00C02F4A">
            <w:pPr>
              <w:pStyle w:val="Compact"/>
              <w:spacing w:line="360" w:lineRule="auto"/>
              <w:rPr>
                <w:rFonts w:ascii="Times New Roman" w:hAnsi="Times New Roman" w:cs="Times New Roman"/>
              </w:rPr>
            </w:pPr>
            <w:r w:rsidRPr="00B70010">
              <w:rPr>
                <w:rFonts w:ascii="Times New Roman" w:hAnsi="Times New Roman" w:cs="Times New Roman"/>
              </w:rPr>
              <w:t>Daily Parkinson</w:t>
            </w:r>
          </w:p>
        </w:tc>
        <w:tc>
          <w:tcPr>
            <w:tcW w:w="2744" w:type="dxa"/>
          </w:tcPr>
          <w:p w14:paraId="546D66C2" w14:textId="28D037CC" w:rsidR="00B70010" w:rsidRPr="00DC64F4" w:rsidRDefault="00246C41" w:rsidP="00C02F4A">
            <w:pPr>
              <w:pStyle w:val="Compact"/>
              <w:spacing w:line="360" w:lineRule="auto"/>
              <w:rPr>
                <w:rFonts w:ascii="Times New Roman" w:hAnsi="Times New Roman" w:cs="Times New Roman"/>
              </w:rPr>
            </w:pPr>
            <w:r>
              <w:rPr>
                <w:rFonts w:ascii="Times New Roman" w:hAnsi="Times New Roman" w:cs="Times New Roman"/>
              </w:rPr>
              <w:t>30</w:t>
            </w:r>
            <w:r>
              <w:rPr>
                <w:rFonts w:ascii="Times New Roman" w:hAnsi="Times New Roman" w:cs="Times New Roman"/>
              </w:rPr>
              <w:t>0 days, H = 10</w:t>
            </w:r>
          </w:p>
        </w:tc>
        <w:tc>
          <w:tcPr>
            <w:tcW w:w="0" w:type="auto"/>
          </w:tcPr>
          <w:p w14:paraId="040C0FE6" w14:textId="296BE6B2" w:rsidR="00B70010" w:rsidRPr="00DC64F4" w:rsidRDefault="00420FF6" w:rsidP="007430A9">
            <w:pPr>
              <w:pStyle w:val="Compact"/>
              <w:spacing w:line="360" w:lineRule="auto"/>
              <w:jc w:val="right"/>
              <w:rPr>
                <w:rFonts w:ascii="Times New Roman" w:hAnsi="Times New Roman" w:cs="Times New Roman"/>
              </w:rPr>
            </w:pPr>
            <w:r>
              <w:rPr>
                <w:rFonts w:ascii="Times New Roman" w:hAnsi="Times New Roman" w:cs="Times New Roman"/>
              </w:rPr>
              <w:t>20.24</w:t>
            </w:r>
          </w:p>
        </w:tc>
        <w:tc>
          <w:tcPr>
            <w:tcW w:w="0" w:type="auto"/>
          </w:tcPr>
          <w:p w14:paraId="5DCAA1DA" w14:textId="706E1669"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-1.07</w:t>
            </w:r>
          </w:p>
        </w:tc>
        <w:tc>
          <w:tcPr>
            <w:tcW w:w="0" w:type="auto"/>
          </w:tcPr>
          <w:p w14:paraId="41B003FC" w14:textId="666DDC27"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36.70</w:t>
            </w:r>
          </w:p>
        </w:tc>
      </w:tr>
      <w:tr w:rsidR="00B70010" w:rsidRPr="00DC64F4" w14:paraId="2318AF39" w14:textId="77777777" w:rsidTr="00C02F4A">
        <w:trPr>
          <w:jc w:val="center"/>
        </w:trPr>
        <w:tc>
          <w:tcPr>
            <w:tcW w:w="1858" w:type="dxa"/>
          </w:tcPr>
          <w:p w14:paraId="3F648C19" w14:textId="4BCAE977" w:rsidR="00B70010" w:rsidRPr="00DC64F4" w:rsidRDefault="00B70010" w:rsidP="00C02F4A">
            <w:pPr>
              <w:pStyle w:val="Compact"/>
              <w:spacing w:line="360" w:lineRule="auto"/>
              <w:rPr>
                <w:rFonts w:ascii="Times New Roman" w:hAnsi="Times New Roman" w:cs="Times New Roman"/>
              </w:rPr>
            </w:pPr>
            <w:r>
              <w:rPr>
                <w:rFonts w:ascii="Times New Roman" w:hAnsi="Times New Roman" w:cs="Times New Roman"/>
              </w:rPr>
              <w:t>Daily squared return</w:t>
            </w:r>
          </w:p>
        </w:tc>
        <w:tc>
          <w:tcPr>
            <w:tcW w:w="2744" w:type="dxa"/>
          </w:tcPr>
          <w:p w14:paraId="0F5F730D" w14:textId="5524C4F0" w:rsidR="00B70010" w:rsidRPr="00DC64F4" w:rsidRDefault="00241702" w:rsidP="00C02F4A">
            <w:pPr>
              <w:pStyle w:val="Compact"/>
              <w:spacing w:line="360" w:lineRule="auto"/>
              <w:rPr>
                <w:rFonts w:ascii="Times New Roman" w:hAnsi="Times New Roman" w:cs="Times New Roman"/>
              </w:rPr>
            </w:pPr>
            <w:r>
              <w:rPr>
                <w:rFonts w:ascii="Times New Roman" w:hAnsi="Times New Roman" w:cs="Times New Roman"/>
              </w:rPr>
              <w:t>Local currency</w:t>
            </w:r>
          </w:p>
        </w:tc>
        <w:tc>
          <w:tcPr>
            <w:tcW w:w="0" w:type="auto"/>
          </w:tcPr>
          <w:p w14:paraId="5BCD76A3" w14:textId="3ECEF207" w:rsidR="00B70010" w:rsidRPr="00DC64F4" w:rsidRDefault="00420FF6" w:rsidP="007430A9">
            <w:pPr>
              <w:pStyle w:val="Compact"/>
              <w:spacing w:line="360" w:lineRule="auto"/>
              <w:jc w:val="right"/>
              <w:rPr>
                <w:rFonts w:ascii="Times New Roman" w:hAnsi="Times New Roman" w:cs="Times New Roman"/>
              </w:rPr>
            </w:pPr>
            <w:r>
              <w:rPr>
                <w:rFonts w:ascii="Times New Roman" w:hAnsi="Times New Roman" w:cs="Times New Roman"/>
              </w:rPr>
              <w:t>11.88</w:t>
            </w:r>
          </w:p>
        </w:tc>
        <w:tc>
          <w:tcPr>
            <w:tcW w:w="0" w:type="auto"/>
          </w:tcPr>
          <w:p w14:paraId="744D3EE7" w14:textId="641BBF6C"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0.64</w:t>
            </w:r>
          </w:p>
        </w:tc>
        <w:tc>
          <w:tcPr>
            <w:tcW w:w="0" w:type="auto"/>
          </w:tcPr>
          <w:p w14:paraId="52730F24" w14:textId="1D1D42B4"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62.90</w:t>
            </w:r>
          </w:p>
        </w:tc>
      </w:tr>
      <w:tr w:rsidR="00B70010" w:rsidRPr="00DC64F4" w14:paraId="0DF769A3" w14:textId="77777777" w:rsidTr="00C02F4A">
        <w:trPr>
          <w:jc w:val="center"/>
        </w:trPr>
        <w:tc>
          <w:tcPr>
            <w:tcW w:w="1858" w:type="dxa"/>
          </w:tcPr>
          <w:p w14:paraId="0506DAB4" w14:textId="425BB60C" w:rsidR="00B70010" w:rsidRPr="00DC64F4" w:rsidRDefault="00B70010" w:rsidP="00C02F4A">
            <w:pPr>
              <w:pStyle w:val="Compact"/>
              <w:spacing w:line="360" w:lineRule="auto"/>
              <w:rPr>
                <w:rFonts w:ascii="Times New Roman" w:hAnsi="Times New Roman" w:cs="Times New Roman"/>
              </w:rPr>
            </w:pPr>
            <w:r>
              <w:rPr>
                <w:rFonts w:ascii="Times New Roman" w:hAnsi="Times New Roman" w:cs="Times New Roman"/>
              </w:rPr>
              <w:t>Daily squared return</w:t>
            </w:r>
          </w:p>
        </w:tc>
        <w:tc>
          <w:tcPr>
            <w:tcW w:w="2744" w:type="dxa"/>
          </w:tcPr>
          <w:p w14:paraId="7300D952" w14:textId="290FE61F" w:rsidR="00B70010" w:rsidRPr="00DC64F4" w:rsidRDefault="00241702" w:rsidP="00C02F4A">
            <w:pPr>
              <w:pStyle w:val="Compact"/>
              <w:spacing w:line="360" w:lineRule="auto"/>
              <w:rPr>
                <w:rFonts w:ascii="Times New Roman" w:hAnsi="Times New Roman" w:cs="Times New Roman"/>
              </w:rPr>
            </w:pPr>
            <w:r>
              <w:rPr>
                <w:rFonts w:ascii="Times New Roman" w:hAnsi="Times New Roman" w:cs="Times New Roman"/>
              </w:rPr>
              <w:t>US dollar</w:t>
            </w:r>
          </w:p>
        </w:tc>
        <w:tc>
          <w:tcPr>
            <w:tcW w:w="0" w:type="auto"/>
          </w:tcPr>
          <w:p w14:paraId="029E05E5" w14:textId="0E080F5E" w:rsidR="00B70010" w:rsidRPr="00DC64F4" w:rsidRDefault="00420FF6" w:rsidP="007430A9">
            <w:pPr>
              <w:pStyle w:val="Compact"/>
              <w:spacing w:line="360" w:lineRule="auto"/>
              <w:jc w:val="right"/>
              <w:rPr>
                <w:rFonts w:ascii="Times New Roman" w:hAnsi="Times New Roman" w:cs="Times New Roman"/>
              </w:rPr>
            </w:pPr>
            <w:r>
              <w:rPr>
                <w:rFonts w:ascii="Times New Roman" w:hAnsi="Times New Roman" w:cs="Times New Roman"/>
              </w:rPr>
              <w:t>10.53</w:t>
            </w:r>
          </w:p>
        </w:tc>
        <w:tc>
          <w:tcPr>
            <w:tcW w:w="0" w:type="auto"/>
          </w:tcPr>
          <w:p w14:paraId="0354D346" w14:textId="2540912C"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-0.18</w:t>
            </w:r>
          </w:p>
        </w:tc>
        <w:tc>
          <w:tcPr>
            <w:tcW w:w="0" w:type="auto"/>
          </w:tcPr>
          <w:p w14:paraId="6839D6EE" w14:textId="4F8149DD"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41.48</w:t>
            </w:r>
          </w:p>
        </w:tc>
      </w:tr>
      <w:tr w:rsidR="00B70010" w:rsidRPr="00DC64F4" w14:paraId="6F681430" w14:textId="77777777" w:rsidTr="00C02F4A">
        <w:trPr>
          <w:jc w:val="center"/>
        </w:trPr>
        <w:tc>
          <w:tcPr>
            <w:tcW w:w="1858" w:type="dxa"/>
          </w:tcPr>
          <w:p w14:paraId="679C43BE" w14:textId="0C6B6DF8" w:rsidR="00B70010" w:rsidRPr="00DC64F4" w:rsidRDefault="00B70010" w:rsidP="00C02F4A">
            <w:pPr>
              <w:pStyle w:val="Compact"/>
              <w:spacing w:line="360" w:lineRule="auto"/>
              <w:rPr>
                <w:rFonts w:ascii="Times New Roman" w:hAnsi="Times New Roman" w:cs="Times New Roman"/>
              </w:rPr>
            </w:pPr>
            <w:r>
              <w:rPr>
                <w:rFonts w:ascii="Times New Roman" w:hAnsi="Times New Roman" w:cs="Times New Roman"/>
              </w:rPr>
              <w:t xml:space="preserve">Daily </w:t>
            </w:r>
            <w:r>
              <w:rPr>
                <w:rFonts w:ascii="Times New Roman" w:hAnsi="Times New Roman" w:cs="Times New Roman"/>
              </w:rPr>
              <w:t>absolute</w:t>
            </w:r>
            <w:r>
              <w:rPr>
                <w:rFonts w:ascii="Times New Roman" w:hAnsi="Times New Roman" w:cs="Times New Roman"/>
              </w:rPr>
              <w:t xml:space="preserve"> return</w:t>
            </w:r>
          </w:p>
        </w:tc>
        <w:tc>
          <w:tcPr>
            <w:tcW w:w="2744" w:type="dxa"/>
          </w:tcPr>
          <w:p w14:paraId="70DFAC55" w14:textId="5039D6EB" w:rsidR="00B70010" w:rsidRPr="00DC64F4" w:rsidRDefault="00241702" w:rsidP="00C02F4A">
            <w:pPr>
              <w:pStyle w:val="Compact"/>
              <w:spacing w:line="360" w:lineRule="auto"/>
              <w:rPr>
                <w:rFonts w:ascii="Times New Roman" w:hAnsi="Times New Roman" w:cs="Times New Roman"/>
              </w:rPr>
            </w:pPr>
            <w:r>
              <w:rPr>
                <w:rFonts w:ascii="Times New Roman" w:hAnsi="Times New Roman" w:cs="Times New Roman"/>
              </w:rPr>
              <w:t>Local currency</w:t>
            </w:r>
          </w:p>
        </w:tc>
        <w:tc>
          <w:tcPr>
            <w:tcW w:w="0" w:type="auto"/>
          </w:tcPr>
          <w:p w14:paraId="4FE330B0" w14:textId="09EBF5A1" w:rsidR="00B70010" w:rsidRPr="00DC64F4" w:rsidRDefault="00420FF6" w:rsidP="007430A9">
            <w:pPr>
              <w:pStyle w:val="Compact"/>
              <w:spacing w:line="360" w:lineRule="auto"/>
              <w:jc w:val="right"/>
              <w:rPr>
                <w:rFonts w:ascii="Times New Roman" w:hAnsi="Times New Roman" w:cs="Times New Roman"/>
              </w:rPr>
            </w:pPr>
            <w:r>
              <w:rPr>
                <w:rFonts w:ascii="Times New Roman" w:hAnsi="Times New Roman" w:cs="Times New Roman"/>
              </w:rPr>
              <w:t>10.68</w:t>
            </w:r>
          </w:p>
        </w:tc>
        <w:tc>
          <w:tcPr>
            <w:tcW w:w="0" w:type="auto"/>
          </w:tcPr>
          <w:p w14:paraId="59CFBADC" w14:textId="6DFD1A76"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0.66</w:t>
            </w:r>
          </w:p>
        </w:tc>
        <w:tc>
          <w:tcPr>
            <w:tcW w:w="0" w:type="auto"/>
          </w:tcPr>
          <w:p w14:paraId="11406B7B" w14:textId="782EC0BE"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66.13</w:t>
            </w:r>
          </w:p>
        </w:tc>
      </w:tr>
      <w:tr w:rsidR="00B70010" w:rsidRPr="00DC64F4" w14:paraId="72D01C7B" w14:textId="77777777" w:rsidTr="00E36A95">
        <w:trPr>
          <w:jc w:val="center"/>
        </w:trPr>
        <w:tc>
          <w:tcPr>
            <w:tcW w:w="1858" w:type="dxa"/>
          </w:tcPr>
          <w:p w14:paraId="06DB72B9" w14:textId="7FAAB1DC" w:rsidR="00B70010" w:rsidRPr="00DC64F4" w:rsidRDefault="00B70010" w:rsidP="00C02F4A">
            <w:pPr>
              <w:pStyle w:val="Compact"/>
              <w:spacing w:line="360" w:lineRule="auto"/>
              <w:rPr>
                <w:rFonts w:ascii="Times New Roman" w:hAnsi="Times New Roman" w:cs="Times New Roman"/>
              </w:rPr>
            </w:pPr>
            <w:r>
              <w:rPr>
                <w:rFonts w:ascii="Times New Roman" w:hAnsi="Times New Roman" w:cs="Times New Roman"/>
              </w:rPr>
              <w:t>Daily absolute return</w:t>
            </w:r>
          </w:p>
        </w:tc>
        <w:tc>
          <w:tcPr>
            <w:tcW w:w="2744" w:type="dxa"/>
          </w:tcPr>
          <w:p w14:paraId="2BCCCB4C" w14:textId="493C6779" w:rsidR="00B70010" w:rsidRPr="00DC64F4" w:rsidRDefault="00241702" w:rsidP="00C02F4A">
            <w:pPr>
              <w:pStyle w:val="Compact"/>
              <w:spacing w:line="360" w:lineRule="auto"/>
              <w:rPr>
                <w:rFonts w:ascii="Times New Roman" w:hAnsi="Times New Roman" w:cs="Times New Roman"/>
              </w:rPr>
            </w:pPr>
            <w:r>
              <w:rPr>
                <w:rFonts w:ascii="Times New Roman" w:hAnsi="Times New Roman" w:cs="Times New Roman"/>
              </w:rPr>
              <w:t>US dollar</w:t>
            </w:r>
          </w:p>
        </w:tc>
        <w:tc>
          <w:tcPr>
            <w:tcW w:w="0" w:type="auto"/>
          </w:tcPr>
          <w:p w14:paraId="6A9FDCE7" w14:textId="06444764" w:rsidR="00B70010" w:rsidRPr="00DC64F4" w:rsidRDefault="00420FF6" w:rsidP="007430A9">
            <w:pPr>
              <w:pStyle w:val="Compact"/>
              <w:spacing w:line="360" w:lineRule="auto"/>
              <w:jc w:val="right"/>
              <w:rPr>
                <w:rFonts w:ascii="Times New Roman" w:hAnsi="Times New Roman" w:cs="Times New Roman"/>
              </w:rPr>
            </w:pPr>
            <w:r>
              <w:rPr>
                <w:rFonts w:ascii="Times New Roman" w:hAnsi="Times New Roman" w:cs="Times New Roman"/>
              </w:rPr>
              <w:t>9.31</w:t>
            </w:r>
          </w:p>
        </w:tc>
        <w:tc>
          <w:tcPr>
            <w:tcW w:w="0" w:type="auto"/>
          </w:tcPr>
          <w:p w14:paraId="11EA6FE6" w14:textId="48EA620A"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-0.10</w:t>
            </w:r>
          </w:p>
        </w:tc>
        <w:tc>
          <w:tcPr>
            <w:tcW w:w="0" w:type="auto"/>
          </w:tcPr>
          <w:p w14:paraId="69D38632" w14:textId="55EC5403"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42.69</w:t>
            </w:r>
          </w:p>
        </w:tc>
      </w:tr>
      <w:tr w:rsidR="00B70010" w:rsidRPr="00DC64F4" w14:paraId="7F881418" w14:textId="77777777" w:rsidTr="00E36A95">
        <w:trPr>
          <w:jc w:val="center"/>
        </w:trPr>
        <w:tc>
          <w:tcPr>
            <w:tcW w:w="1858" w:type="dxa"/>
            <w:tcBorders>
              <w:bottom w:val="single" w:sz="4" w:space="0" w:color="auto"/>
            </w:tcBorders>
          </w:tcPr>
          <w:p w14:paraId="5EEACE54" w14:textId="0378452C" w:rsidR="00B70010" w:rsidRDefault="00B70010" w:rsidP="00C02F4A">
            <w:pPr>
              <w:pStyle w:val="Compact"/>
              <w:spacing w:line="360" w:lineRule="auto"/>
              <w:rPr>
                <w:rFonts w:ascii="Times New Roman" w:hAnsi="Times New Roman" w:cs="Times New Roman"/>
              </w:rPr>
            </w:pPr>
            <w:r>
              <w:rPr>
                <w:rFonts w:ascii="Times New Roman" w:hAnsi="Times New Roman" w:cs="Times New Roman"/>
              </w:rPr>
              <w:t>Weekly Parkinson</w:t>
            </w:r>
          </w:p>
        </w:tc>
        <w:tc>
          <w:tcPr>
            <w:tcW w:w="2744" w:type="dxa"/>
            <w:tcBorders>
              <w:bottom w:val="single" w:sz="4" w:space="0" w:color="auto"/>
            </w:tcBorders>
          </w:tcPr>
          <w:p w14:paraId="70FA550A" w14:textId="0516AE1B" w:rsidR="00B70010" w:rsidRPr="00DC64F4" w:rsidRDefault="00241702" w:rsidP="00C02F4A">
            <w:pPr>
              <w:pStyle w:val="Compact"/>
              <w:spacing w:line="360" w:lineRule="auto"/>
              <w:rPr>
                <w:rFonts w:ascii="Times New Roman" w:hAnsi="Times New Roman" w:cs="Times New Roman"/>
              </w:rPr>
            </w:pPr>
            <w:r>
              <w:rPr>
                <w:rFonts w:ascii="Times New Roman" w:hAnsi="Times New Roman" w:cs="Times New Roman"/>
              </w:rPr>
              <w:t>50 weeks, H = 2</w:t>
            </w:r>
          </w:p>
        </w:tc>
        <w:tc>
          <w:tcPr>
            <w:tcW w:w="0" w:type="auto"/>
            <w:tcBorders>
              <w:bottom w:val="single" w:sz="4" w:space="0" w:color="auto"/>
            </w:tcBorders>
          </w:tcPr>
          <w:p w14:paraId="4E9D4962" w14:textId="253DD7D7" w:rsidR="00B70010" w:rsidRPr="00DC64F4" w:rsidRDefault="00420FF6" w:rsidP="007430A9">
            <w:pPr>
              <w:pStyle w:val="Compact"/>
              <w:spacing w:line="360" w:lineRule="auto"/>
              <w:jc w:val="right"/>
              <w:rPr>
                <w:rFonts w:ascii="Times New Roman" w:hAnsi="Times New Roman" w:cs="Times New Roman"/>
              </w:rPr>
            </w:pPr>
            <w:r>
              <w:rPr>
                <w:rFonts w:ascii="Times New Roman" w:hAnsi="Times New Roman" w:cs="Times New Roman"/>
              </w:rPr>
              <w:t>37.06</w:t>
            </w:r>
          </w:p>
        </w:tc>
        <w:tc>
          <w:tcPr>
            <w:tcW w:w="0" w:type="auto"/>
            <w:tcBorders>
              <w:bottom w:val="single" w:sz="4" w:space="0" w:color="auto"/>
            </w:tcBorders>
          </w:tcPr>
          <w:p w14:paraId="03150C0C" w14:textId="31441B74"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-1.84</w:t>
            </w:r>
          </w:p>
        </w:tc>
        <w:tc>
          <w:tcPr>
            <w:tcW w:w="0" w:type="auto"/>
            <w:tcBorders>
              <w:bottom w:val="single" w:sz="4" w:space="0" w:color="auto"/>
            </w:tcBorders>
          </w:tcPr>
          <w:p w14:paraId="597BDADC" w14:textId="7A788ECF" w:rsidR="00B70010" w:rsidRPr="00DC64F4" w:rsidRDefault="002F0AAD" w:rsidP="007430A9">
            <w:pPr>
              <w:pStyle w:val="Compact"/>
              <w:spacing w:line="360" w:lineRule="auto"/>
              <w:jc w:val="right"/>
              <w:rPr>
                <w:rFonts w:ascii="Times New Roman" w:hAnsi="Times New Roman" w:cs="Times New Roman"/>
              </w:rPr>
            </w:pPr>
            <w:r>
              <w:rPr>
                <w:rFonts w:ascii="Times New Roman" w:hAnsi="Times New Roman" w:cs="Times New Roman"/>
              </w:rPr>
              <w:t>42.49</w:t>
            </w:r>
          </w:p>
        </w:tc>
      </w:tr>
    </w:tbl>
    <w:p w14:paraId="624F6DC6" w14:textId="6D395220"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Note: Mean net VNM is Vietnam’s average TO-minus-FROM connectedness. Positive values indicate a net transmitter. Weekly windows and horizons are selected to approximate the calendar duration of the daily baseline.</w:t>
      </w:r>
    </w:p>
    <w:p w14:paraId="1C3332DA" w14:textId="77777777" w:rsidR="00FF5AEC" w:rsidRPr="00DC64F4" w:rsidRDefault="00000000" w:rsidP="002B6539">
      <w:pPr>
        <w:pStyle w:val="Heading1"/>
        <w:spacing w:line="360" w:lineRule="auto"/>
        <w:jc w:val="both"/>
        <w:rPr>
          <w:rFonts w:ascii="Times New Roman" w:hAnsi="Times New Roman" w:cs="Times New Roman"/>
          <w:b/>
          <w:bCs/>
          <w:color w:val="auto"/>
          <w:sz w:val="24"/>
          <w:szCs w:val="24"/>
        </w:rPr>
      </w:pPr>
      <w:bookmarkStart w:id="25" w:name="sec:conclusion"/>
      <w:bookmarkEnd w:id="24"/>
      <w:r w:rsidRPr="00DC64F4">
        <w:rPr>
          <w:rStyle w:val="SectionNumber"/>
          <w:rFonts w:ascii="Times New Roman" w:hAnsi="Times New Roman" w:cs="Times New Roman"/>
          <w:b/>
          <w:bCs/>
          <w:color w:val="auto"/>
          <w:sz w:val="24"/>
          <w:szCs w:val="24"/>
        </w:rPr>
        <w:t>7</w:t>
      </w:r>
      <w:r w:rsidRPr="00DC64F4">
        <w:rPr>
          <w:rFonts w:ascii="Times New Roman" w:hAnsi="Times New Roman" w:cs="Times New Roman"/>
          <w:b/>
          <w:bCs/>
          <w:color w:val="auto"/>
          <w:sz w:val="24"/>
          <w:szCs w:val="24"/>
        </w:rPr>
        <w:tab/>
        <w:t>Conclusions and Policy Implications</w:t>
      </w:r>
    </w:p>
    <w:p w14:paraId="73329A93" w14:textId="77777777" w:rsidR="00FF5AEC" w:rsidRPr="00DC64F4" w:rsidRDefault="00000000" w:rsidP="007C5098">
      <w:pPr>
        <w:pStyle w:val="FirstParagraph"/>
        <w:spacing w:line="360" w:lineRule="auto"/>
        <w:jc w:val="both"/>
        <w:rPr>
          <w:rFonts w:ascii="Times New Roman" w:hAnsi="Times New Roman" w:cs="Times New Roman"/>
        </w:rPr>
      </w:pPr>
      <w:r w:rsidRPr="00DC64F4">
        <w:rPr>
          <w:rFonts w:ascii="Times New Roman" w:hAnsi="Times New Roman" w:cs="Times New Roman"/>
        </w:rPr>
        <w:t>This paper examines volatility transmission among six ASEAN equity markets from January 2010 to July 2026. The full-sample TCI of approximately 17.15% confirms economically meaningful regional interdependence, while the rolling mean of 20.04% and maximum of 48.84% show that the intensity of transmission varies markedly over time. Thailand and Indonesia are net transmitters in the full-sample baseline, and Vietnam has the largest own-market variance share and a modest net-receiver position.</w:t>
      </w:r>
    </w:p>
    <w:p w14:paraId="7761013F" w14:textId="77777777" w:rsidR="00FF5AEC" w:rsidRPr="00DC64F4" w:rsidRDefault="00000000" w:rsidP="007C5098">
      <w:pPr>
        <w:pStyle w:val="BodyText"/>
        <w:spacing w:line="360" w:lineRule="auto"/>
        <w:jc w:val="both"/>
        <w:rPr>
          <w:rFonts w:ascii="Times New Roman" w:hAnsi="Times New Roman" w:cs="Times New Roman"/>
        </w:rPr>
      </w:pPr>
      <w:r w:rsidRPr="00DC64F4">
        <w:rPr>
          <w:rFonts w:ascii="Times New Roman" w:hAnsi="Times New Roman" w:cs="Times New Roman"/>
        </w:rPr>
        <w:lastRenderedPageBreak/>
        <w:t>The event evidence shows that global disturbances do not affect the ASEAN network uniformly. Six of eight episodes are associated with significant increases in connectedness, and the COVID-19 period produces by far the largest change. Russia’s invasion of Ukraine does not generate a statistically distinguishable increase within the selected window, while connectedness declines during the US banking crisis. Likewise, the continuous-indicator regression finds a positive association with VIX and oil-price changes but a negative association with geopolitical risk. These differences caution against treating all forms of global uncertainty as equivalent.</w:t>
      </w:r>
    </w:p>
    <w:p w14:paraId="5F79B3DD" w14:textId="77777777" w:rsidR="00FF5AEC" w:rsidRPr="00DC64F4" w:rsidRDefault="00000000" w:rsidP="007C5098">
      <w:pPr>
        <w:pStyle w:val="BodyText"/>
        <w:spacing w:line="360" w:lineRule="auto"/>
        <w:jc w:val="both"/>
        <w:rPr>
          <w:rFonts w:ascii="Times New Roman" w:hAnsi="Times New Roman" w:cs="Times New Roman"/>
        </w:rPr>
      </w:pPr>
      <w:r w:rsidRPr="00DC64F4">
        <w:rPr>
          <w:rFonts w:ascii="Times New Roman" w:hAnsi="Times New Roman" w:cs="Times New Roman"/>
        </w:rPr>
        <w:t>For investors, the results imply that regional diversification benefits are state dependent and can deteriorate during periods of market-wide stress. For policymakers, monitoring directional measures is useful because the markets transmitting risk can change across episodes. The sensitivity of Vietnam’s net position is itself an important finding: its classification depends on the volatility proxy, currency denomination, and frequency, even though the baseline model identifies it as relatively insulated and usually a receiver.</w:t>
      </w:r>
    </w:p>
    <w:p w14:paraId="5AF6075D" w14:textId="77777777" w:rsidR="00FF5AEC" w:rsidRPr="00DC64F4" w:rsidRDefault="00000000" w:rsidP="007C5098">
      <w:pPr>
        <w:pStyle w:val="BodyText"/>
        <w:spacing w:line="360" w:lineRule="auto"/>
        <w:jc w:val="both"/>
        <w:rPr>
          <w:rFonts w:ascii="Times New Roman" w:hAnsi="Times New Roman" w:cs="Times New Roman"/>
        </w:rPr>
      </w:pPr>
      <w:r w:rsidRPr="00DC64F4">
        <w:rPr>
          <w:rFonts w:ascii="Times New Roman" w:hAnsi="Times New Roman" w:cs="Times New Roman"/>
        </w:rPr>
        <w:t>Several limitations qualify the conclusions. Rolling estimates overlap mechanically, event windows cannot fully isolate concurrent shocks, and the uncertainty regressions establish association rather than causality. Range-based, squared-return, and absolute-return volatility measures capture different features of market variation, producing differences in estimated connectedness. Future research could apply a time-varying-parameter VAR, examine tail or frequency-specific connectedness, or extend the network to ASEAN exchange rates and sectoral equity indices.</w:t>
      </w:r>
    </w:p>
    <w:p w14:paraId="5BB0633B" w14:textId="77777777" w:rsidR="00FF5AEC" w:rsidRPr="001C4A78" w:rsidRDefault="00000000" w:rsidP="002B6539">
      <w:pPr>
        <w:pStyle w:val="Heading1"/>
        <w:spacing w:line="360" w:lineRule="auto"/>
        <w:jc w:val="both"/>
        <w:rPr>
          <w:rFonts w:ascii="Times New Roman" w:hAnsi="Times New Roman" w:cs="Times New Roman"/>
          <w:b/>
          <w:bCs/>
          <w:color w:val="auto"/>
          <w:sz w:val="24"/>
          <w:szCs w:val="24"/>
        </w:rPr>
      </w:pPr>
      <w:bookmarkStart w:id="26" w:name="app:diagnostic-figures"/>
      <w:bookmarkEnd w:id="25"/>
      <w:r w:rsidRPr="001C4A78">
        <w:rPr>
          <w:rFonts w:ascii="Times New Roman" w:hAnsi="Times New Roman" w:cs="Times New Roman"/>
          <w:b/>
          <w:bCs/>
          <w:color w:val="auto"/>
          <w:sz w:val="24"/>
          <w:szCs w:val="24"/>
        </w:rPr>
        <w:lastRenderedPageBreak/>
        <w:t>Appendix A: Supplementary Time-Series Figures</w:t>
      </w:r>
    </w:p>
    <w:p w14:paraId="18DBB277" w14:textId="3F86F91C" w:rsidR="00FF5AEC" w:rsidRPr="00DC64F4" w:rsidRDefault="00000000" w:rsidP="001C4A78">
      <w:pPr>
        <w:pStyle w:val="FirstParagraph"/>
        <w:spacing w:line="360" w:lineRule="auto"/>
        <w:jc w:val="center"/>
        <w:rPr>
          <w:rFonts w:ascii="Times New Roman" w:hAnsi="Times New Roman" w:cs="Times New Roman"/>
        </w:rPr>
      </w:pPr>
      <w:r w:rsidRPr="00DC64F4">
        <w:rPr>
          <w:rFonts w:ascii="Times New Roman" w:hAnsi="Times New Roman" w:cs="Times New Roman"/>
          <w:noProof/>
        </w:rPr>
        <w:drawing>
          <wp:inline distT="0" distB="0" distL="0" distR="0" wp14:anchorId="5696B7A1" wp14:editId="0C509F76">
            <wp:extent cx="5908600" cy="5744705"/>
            <wp:effectExtent l="0" t="0" r="0" b="0"/>
            <wp:docPr id="53" name="Picture" descr="image"/>
            <wp:cNvGraphicFramePr/>
            <a:graphic xmlns:a="http://schemas.openxmlformats.org/drawingml/2006/main">
              <a:graphicData uri="http://schemas.openxmlformats.org/drawingml/2006/picture">
                <pic:pic xmlns:pic="http://schemas.openxmlformats.org/drawingml/2006/picture">
                  <pic:nvPicPr>
                    <pic:cNvPr id="54" name="Picture" descr="../outputs/figures/returns_timeseries_intersection.png"/>
                    <pic:cNvPicPr>
                      <a:picLocks noChangeAspect="1" noChangeArrowheads="1"/>
                    </pic:cNvPicPr>
                  </pic:nvPicPr>
                  <pic:blipFill>
                    <a:blip r:embed="rId9"/>
                    <a:stretch>
                      <a:fillRect/>
                    </a:stretch>
                  </pic:blipFill>
                  <pic:spPr bwMode="auto">
                    <a:xfrm>
                      <a:off x="0" y="0"/>
                      <a:ext cx="5973176" cy="5807490"/>
                    </a:xfrm>
                    <a:prstGeom prst="rect">
                      <a:avLst/>
                    </a:prstGeom>
                    <a:noFill/>
                    <a:ln w="9525">
                      <a:noFill/>
                      <a:headEnd/>
                      <a:tailEnd/>
                    </a:ln>
                  </pic:spPr>
                </pic:pic>
              </a:graphicData>
            </a:graphic>
          </wp:inline>
        </w:drawing>
      </w:r>
      <w:bookmarkStart w:id="27" w:name="fig:returns-top"/>
      <w:bookmarkEnd w:id="27"/>
    </w:p>
    <w:p w14:paraId="55059142" w14:textId="77777777" w:rsidR="00860303" w:rsidRDefault="001C4A78" w:rsidP="002B6539">
      <w:pPr>
        <w:pStyle w:val="BodyText"/>
        <w:spacing w:line="360" w:lineRule="auto"/>
        <w:jc w:val="both"/>
        <w:rPr>
          <w:rFonts w:ascii="Times New Roman" w:hAnsi="Times New Roman" w:cs="Times New Roman"/>
        </w:rPr>
      </w:pPr>
      <w:r>
        <w:rPr>
          <w:rFonts w:ascii="Times New Roman" w:hAnsi="Times New Roman" w:cs="Times New Roman"/>
          <w:b/>
          <w:bCs/>
        </w:rPr>
        <w:t xml:space="preserve">Figure A1: </w:t>
      </w:r>
      <w:r>
        <w:rPr>
          <w:rFonts w:ascii="Times New Roman" w:hAnsi="Times New Roman" w:cs="Times New Roman"/>
        </w:rPr>
        <w:t xml:space="preserve">Daily local-currency equity-index returns: </w:t>
      </w:r>
      <w:r w:rsidRPr="001C4A78">
        <w:rPr>
          <w:rFonts w:ascii="Times New Roman" w:hAnsi="Times New Roman" w:cs="Times New Roman"/>
        </w:rPr>
        <w:t>Indonesia, Malaysia, the Philippines</w:t>
      </w:r>
      <w:r w:rsidR="00860303">
        <w:rPr>
          <w:rFonts w:ascii="Times New Roman" w:hAnsi="Times New Roman" w:cs="Times New Roman"/>
        </w:rPr>
        <w:t>, Singapore, Thailand, and Vietnam</w:t>
      </w:r>
    </w:p>
    <w:p w14:paraId="4EABCC98" w14:textId="51A26A24" w:rsidR="001C4A78" w:rsidRPr="001C4A78" w:rsidRDefault="001C4A78" w:rsidP="002B6539">
      <w:pPr>
        <w:pStyle w:val="BodyText"/>
        <w:spacing w:line="360" w:lineRule="auto"/>
        <w:jc w:val="both"/>
        <w:rPr>
          <w:rFonts w:ascii="Times New Roman" w:hAnsi="Times New Roman" w:cs="Times New Roman"/>
        </w:rPr>
      </w:pPr>
      <w:r w:rsidRPr="001C4A78">
        <w:rPr>
          <w:rFonts w:ascii="Times New Roman" w:hAnsi="Times New Roman" w:cs="Times New Roman"/>
        </w:rPr>
        <w:t>Note: Returns are continuously compounded percentages calculated on trading dates common to all six markets.</w:t>
      </w:r>
    </w:p>
    <w:p w14:paraId="05299AF8" w14:textId="7AD2215D" w:rsidR="00FF5AEC" w:rsidRPr="00DC64F4" w:rsidRDefault="00FF5AEC" w:rsidP="00860303">
      <w:pPr>
        <w:pStyle w:val="BodyText"/>
        <w:spacing w:line="360" w:lineRule="auto"/>
        <w:jc w:val="center"/>
        <w:rPr>
          <w:rFonts w:ascii="Times New Roman" w:hAnsi="Times New Roman" w:cs="Times New Roman"/>
        </w:rPr>
      </w:pPr>
      <w:bookmarkStart w:id="28" w:name="fig:returns-bottom"/>
      <w:bookmarkEnd w:id="28"/>
    </w:p>
    <w:p w14:paraId="282AD08C" w14:textId="76A7CEF3" w:rsidR="00FF5AEC" w:rsidRPr="00DC64F4" w:rsidRDefault="00000000" w:rsidP="007E7EE6">
      <w:pPr>
        <w:pStyle w:val="BodyText"/>
        <w:spacing w:line="360" w:lineRule="auto"/>
        <w:jc w:val="center"/>
        <w:rPr>
          <w:rFonts w:ascii="Times New Roman" w:hAnsi="Times New Roman" w:cs="Times New Roman"/>
        </w:rPr>
      </w:pPr>
      <w:r w:rsidRPr="00DC64F4">
        <w:rPr>
          <w:rFonts w:ascii="Times New Roman" w:hAnsi="Times New Roman" w:cs="Times New Roman"/>
          <w:noProof/>
        </w:rPr>
        <w:lastRenderedPageBreak/>
        <w:drawing>
          <wp:inline distT="0" distB="0" distL="0" distR="0" wp14:anchorId="0DB4A309" wp14:editId="0894C3A4">
            <wp:extent cx="5942252" cy="6566116"/>
            <wp:effectExtent l="0" t="0" r="0" b="0"/>
            <wp:docPr id="60" name="Picture" descr="image"/>
            <wp:cNvGraphicFramePr/>
            <a:graphic xmlns:a="http://schemas.openxmlformats.org/drawingml/2006/main">
              <a:graphicData uri="http://schemas.openxmlformats.org/drawingml/2006/picture">
                <pic:pic xmlns:pic="http://schemas.openxmlformats.org/drawingml/2006/picture">
                  <pic:nvPicPr>
                    <pic:cNvPr id="61" name="Picture" descr="../outputs/figures/volatility_vol_parkinson_intersection.png"/>
                    <pic:cNvPicPr>
                      <a:picLocks noChangeAspect="1" noChangeArrowheads="1"/>
                    </pic:cNvPicPr>
                  </pic:nvPicPr>
                  <pic:blipFill>
                    <a:blip r:embed="rId10"/>
                    <a:stretch>
                      <a:fillRect/>
                    </a:stretch>
                  </pic:blipFill>
                  <pic:spPr bwMode="auto">
                    <a:xfrm>
                      <a:off x="0" y="0"/>
                      <a:ext cx="5985505" cy="6613910"/>
                    </a:xfrm>
                    <a:prstGeom prst="rect">
                      <a:avLst/>
                    </a:prstGeom>
                    <a:noFill/>
                    <a:ln w="9525">
                      <a:noFill/>
                      <a:headEnd/>
                      <a:tailEnd/>
                    </a:ln>
                  </pic:spPr>
                </pic:pic>
              </a:graphicData>
            </a:graphic>
          </wp:inline>
        </w:drawing>
      </w:r>
      <w:bookmarkStart w:id="29" w:name="fig:volatility-top"/>
      <w:bookmarkEnd w:id="29"/>
    </w:p>
    <w:p w14:paraId="4A314933" w14:textId="5FAD279E" w:rsidR="007E7EE6" w:rsidRPr="007E7EE6" w:rsidRDefault="007E7EE6" w:rsidP="002B6539">
      <w:pPr>
        <w:pStyle w:val="BodyText"/>
        <w:spacing w:line="360" w:lineRule="auto"/>
        <w:jc w:val="both"/>
        <w:rPr>
          <w:rFonts w:ascii="Times New Roman" w:hAnsi="Times New Roman" w:cs="Times New Roman"/>
        </w:rPr>
      </w:pPr>
      <w:r>
        <w:rPr>
          <w:rFonts w:ascii="Times New Roman" w:hAnsi="Times New Roman" w:cs="Times New Roman"/>
          <w:b/>
          <w:bCs/>
        </w:rPr>
        <w:t xml:space="preserve">Figure A2: </w:t>
      </w:r>
      <w:r w:rsidRPr="007E7EE6">
        <w:rPr>
          <w:rFonts w:ascii="Times New Roman" w:hAnsi="Times New Roman" w:cs="Times New Roman"/>
        </w:rPr>
        <w:t xml:space="preserve">Daily Parkinson range-volatility estimates: Indonesia, Malaysia, </w:t>
      </w:r>
      <w:r>
        <w:rPr>
          <w:rFonts w:ascii="Times New Roman" w:hAnsi="Times New Roman" w:cs="Times New Roman"/>
        </w:rPr>
        <w:t xml:space="preserve">the </w:t>
      </w:r>
      <w:r w:rsidRPr="007E7EE6">
        <w:rPr>
          <w:rFonts w:ascii="Times New Roman" w:hAnsi="Times New Roman" w:cs="Times New Roman"/>
        </w:rPr>
        <w:t>Philippines</w:t>
      </w:r>
      <w:r>
        <w:rPr>
          <w:rFonts w:ascii="Times New Roman" w:hAnsi="Times New Roman" w:cs="Times New Roman"/>
        </w:rPr>
        <w:t xml:space="preserve">, </w:t>
      </w:r>
      <w:r>
        <w:rPr>
          <w:rFonts w:ascii="Times New Roman" w:hAnsi="Times New Roman" w:cs="Times New Roman"/>
        </w:rPr>
        <w:t>Singapore, Thailand, and Vietnam</w:t>
      </w:r>
    </w:p>
    <w:p w14:paraId="4C31B116" w14:textId="0E9CE89D" w:rsidR="00FF5AEC" w:rsidRPr="00DC64F4" w:rsidRDefault="00000000" w:rsidP="002B6539">
      <w:pPr>
        <w:pStyle w:val="BodyText"/>
        <w:spacing w:line="360" w:lineRule="auto"/>
        <w:jc w:val="both"/>
        <w:rPr>
          <w:rFonts w:ascii="Times New Roman" w:hAnsi="Times New Roman" w:cs="Times New Roman"/>
        </w:rPr>
      </w:pPr>
      <w:r w:rsidRPr="00DC64F4">
        <w:rPr>
          <w:rFonts w:ascii="Times New Roman" w:hAnsi="Times New Roman" w:cs="Times New Roman"/>
        </w:rPr>
        <w:t xml:space="preserve">Note: The figure presents unlogged Parkinson estimates. The connectedness model uses the logarithmic transformation of each series. </w:t>
      </w:r>
      <w:bookmarkStart w:id="30" w:name="fig:volatility-bottom"/>
      <w:bookmarkEnd w:id="30"/>
    </w:p>
    <w:p w14:paraId="52687C84" w14:textId="5223A174" w:rsidR="00D17042" w:rsidRPr="00D17042" w:rsidRDefault="00462F31" w:rsidP="00D17042">
      <w:pPr>
        <w:pStyle w:val="Heading1"/>
        <w:spacing w:line="360" w:lineRule="auto"/>
        <w:jc w:val="both"/>
        <w:rPr>
          <w:rFonts w:ascii="Times New Roman" w:hAnsi="Times New Roman" w:cs="Times New Roman"/>
          <w:b/>
          <w:bCs/>
          <w:color w:val="auto"/>
          <w:sz w:val="24"/>
          <w:szCs w:val="24"/>
        </w:rPr>
      </w:pPr>
      <w:bookmarkStart w:id="31" w:name="ref-AlAnshari2025"/>
      <w:bookmarkStart w:id="32" w:name="refs"/>
      <w:r>
        <w:rPr>
          <w:rFonts w:ascii="Times New Roman" w:hAnsi="Times New Roman" w:cs="Times New Roman"/>
          <w:b/>
          <w:bCs/>
          <w:color w:val="auto"/>
          <w:sz w:val="24"/>
          <w:szCs w:val="24"/>
        </w:rPr>
        <w:lastRenderedPageBreak/>
        <w:t xml:space="preserve">References </w:t>
      </w:r>
    </w:p>
    <w:bookmarkEnd w:id="26"/>
    <w:bookmarkEnd w:id="31"/>
    <w:bookmarkEnd w:id="32"/>
    <w:p w14:paraId="5E8A2561" w14:textId="17BC6BCF" w:rsidR="004907EA" w:rsidRDefault="004907EA" w:rsidP="002B6539">
      <w:pPr>
        <w:pStyle w:val="Bibliography"/>
        <w:spacing w:line="360" w:lineRule="auto"/>
        <w:jc w:val="both"/>
        <w:rPr>
          <w:rFonts w:ascii="Times New Roman" w:hAnsi="Times New Roman" w:cs="Times New Roman"/>
        </w:rPr>
      </w:pPr>
      <w:r w:rsidRPr="004907EA">
        <w:rPr>
          <w:rFonts w:ascii="Times New Roman" w:hAnsi="Times New Roman" w:cs="Times New Roman"/>
        </w:rPr>
        <w:t xml:space="preserve">Al Anshari, M. F. (2025). Shocks, structure, and signals: Mapping the evolution of ASEAN-6 stock market networks before, during, and after COVID-19 using graph neural networks. Asian Journal of Social and Humanities, 3(12), 2080–2095. </w:t>
      </w:r>
      <w:hyperlink r:id="rId11" w:history="1">
        <w:r w:rsidR="006763A5" w:rsidRPr="001B4ADD">
          <w:rPr>
            <w:rStyle w:val="Hyperlink"/>
            <w:rFonts w:ascii="Times New Roman" w:hAnsi="Times New Roman" w:cs="Times New Roman"/>
          </w:rPr>
          <w:t>https://doi.org/10.59888/ajosh.v3i12.613</w:t>
        </w:r>
      </w:hyperlink>
    </w:p>
    <w:p w14:paraId="27A2899B" w14:textId="74222FA1" w:rsidR="003A1FA3"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Bank for International Settlements. (2015, September 13). EME vulnerabilities take centre stage. BIS Quarterly Review. </w:t>
      </w:r>
      <w:hyperlink r:id="rId12" w:history="1">
        <w:r w:rsidRPr="001B4ADD">
          <w:rPr>
            <w:rStyle w:val="Hyperlink"/>
            <w:rFonts w:ascii="Times New Roman" w:hAnsi="Times New Roman" w:cs="Times New Roman"/>
          </w:rPr>
          <w:t>https://www.bis.org/publ/qtrpdf/r_qt1509a.htm</w:t>
        </w:r>
      </w:hyperlink>
      <w:r w:rsidRPr="003A1FA3">
        <w:rPr>
          <w:rFonts w:ascii="Times New Roman" w:hAnsi="Times New Roman" w:cs="Times New Roman"/>
        </w:rPr>
        <w:t xml:space="preserve"> </w:t>
      </w:r>
    </w:p>
    <w:p w14:paraId="7D2C1523" w14:textId="212FE15C" w:rsidR="003A1FA3"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Bernanke, B. S. (2013, May 22). The economic outlook: Testimony before the Joint Economic Committee, U.S. Congress. Board of Governors of the Federal Reserve System. </w:t>
      </w:r>
      <w:hyperlink r:id="rId13" w:history="1">
        <w:r w:rsidR="00A80BBA" w:rsidRPr="001B4ADD">
          <w:rPr>
            <w:rStyle w:val="Hyperlink"/>
            <w:rFonts w:ascii="Times New Roman" w:hAnsi="Times New Roman" w:cs="Times New Roman"/>
          </w:rPr>
          <w:t>https://www.federalreserve.gov/newsevents/testimony/bernanke20130522a.htm</w:t>
        </w:r>
      </w:hyperlink>
    </w:p>
    <w:p w14:paraId="5A812921" w14:textId="6CCC858B" w:rsidR="003A1FA3"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Board of Governors of the Federal Reserve System. (2023a, May 19). Record of policy actions of the Board of Governors. </w:t>
      </w:r>
      <w:hyperlink r:id="rId14" w:history="1">
        <w:r w:rsidRPr="001B4ADD">
          <w:rPr>
            <w:rStyle w:val="Hyperlink"/>
            <w:rFonts w:ascii="Times New Roman" w:hAnsi="Times New Roman" w:cs="Times New Roman"/>
          </w:rPr>
          <w:t>https://www.federalreserve.gov/publications/2022-ar-record-of-policy-actions-of-the-board-of-governors.htm</w:t>
        </w:r>
      </w:hyperlink>
    </w:p>
    <w:p w14:paraId="30B7AEF9" w14:textId="63764381" w:rsidR="00B93DE1"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Board of Governors of the Federal Reserve System. (2023b, April 28). Review of the Federal Reserve’s supervision and regulation of Silicon Valley Bank. </w:t>
      </w:r>
      <w:hyperlink r:id="rId15" w:history="1">
        <w:r w:rsidR="00B93DE1" w:rsidRPr="001B4ADD">
          <w:rPr>
            <w:rStyle w:val="Hyperlink"/>
            <w:rFonts w:ascii="Times New Roman" w:hAnsi="Times New Roman" w:cs="Times New Roman"/>
          </w:rPr>
          <w:t>https://www.federalreserve.gov/publications/files/svb-review-20230428.pdf</w:t>
        </w:r>
      </w:hyperlink>
    </w:p>
    <w:p w14:paraId="221CA366" w14:textId="5705D4E0" w:rsidR="003A1FA3"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Caldara, D., &amp; Iacoviello, M. (2022). Measuring geopolitical risk. American Economic Review, 112(4), 1194–1225. </w:t>
      </w:r>
      <w:hyperlink r:id="rId16" w:history="1">
        <w:r w:rsidRPr="001B4ADD">
          <w:rPr>
            <w:rStyle w:val="Hyperlink"/>
            <w:rFonts w:ascii="Times New Roman" w:hAnsi="Times New Roman" w:cs="Times New Roman"/>
          </w:rPr>
          <w:t>https://doi.org/10.1257/aer.20191823</w:t>
        </w:r>
      </w:hyperlink>
    </w:p>
    <w:p w14:paraId="712CD7A3" w14:textId="0B6E97E7" w:rsidR="003A1FA3"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Chow,</w:t>
      </w:r>
      <w:r>
        <w:rPr>
          <w:rFonts w:ascii="Times New Roman" w:hAnsi="Times New Roman" w:cs="Times New Roman"/>
        </w:rPr>
        <w:t xml:space="preserve"> </w:t>
      </w:r>
      <w:r w:rsidRPr="003A1FA3">
        <w:rPr>
          <w:rFonts w:ascii="Times New Roman" w:hAnsi="Times New Roman" w:cs="Times New Roman"/>
        </w:rPr>
        <w:t>H.</w:t>
      </w:r>
      <w:r>
        <w:rPr>
          <w:rFonts w:ascii="Times New Roman" w:hAnsi="Times New Roman" w:cs="Times New Roman"/>
        </w:rPr>
        <w:t xml:space="preserve"> </w:t>
      </w:r>
      <w:r w:rsidRPr="003A1FA3">
        <w:rPr>
          <w:rFonts w:ascii="Times New Roman" w:hAnsi="Times New Roman" w:cs="Times New Roman"/>
        </w:rPr>
        <w:t>K.</w:t>
      </w:r>
      <w:r>
        <w:rPr>
          <w:rFonts w:ascii="Times New Roman" w:hAnsi="Times New Roman" w:cs="Times New Roman"/>
        </w:rPr>
        <w:t xml:space="preserve"> </w:t>
      </w:r>
      <w:r w:rsidRPr="003A1FA3">
        <w:rPr>
          <w:rFonts w:ascii="Times New Roman" w:hAnsi="Times New Roman" w:cs="Times New Roman"/>
        </w:rPr>
        <w:t>(2017).</w:t>
      </w:r>
      <w:r>
        <w:rPr>
          <w:rFonts w:ascii="Times New Roman" w:hAnsi="Times New Roman" w:cs="Times New Roman"/>
        </w:rPr>
        <w:t xml:space="preserve"> </w:t>
      </w:r>
      <w:r w:rsidRPr="003A1FA3">
        <w:rPr>
          <w:rFonts w:ascii="Times New Roman" w:hAnsi="Times New Roman" w:cs="Times New Roman"/>
        </w:rPr>
        <w:t>Volatility</w:t>
      </w:r>
      <w:r>
        <w:rPr>
          <w:rFonts w:ascii="Times New Roman" w:hAnsi="Times New Roman" w:cs="Times New Roman"/>
        </w:rPr>
        <w:t xml:space="preserve"> </w:t>
      </w:r>
      <w:r w:rsidRPr="003A1FA3">
        <w:rPr>
          <w:rFonts w:ascii="Times New Roman" w:hAnsi="Times New Roman" w:cs="Times New Roman"/>
        </w:rPr>
        <w:t>spill</w:t>
      </w:r>
      <w:r>
        <w:rPr>
          <w:rFonts w:ascii="Times New Roman" w:hAnsi="Times New Roman" w:cs="Times New Roman"/>
        </w:rPr>
        <w:t xml:space="preserve"> </w:t>
      </w:r>
      <w:r w:rsidRPr="003A1FA3">
        <w:rPr>
          <w:rFonts w:ascii="Times New Roman" w:hAnsi="Times New Roman" w:cs="Times New Roman"/>
        </w:rPr>
        <w:t>overs</w:t>
      </w:r>
      <w:r>
        <w:rPr>
          <w:rFonts w:ascii="Times New Roman" w:hAnsi="Times New Roman" w:cs="Times New Roman"/>
        </w:rPr>
        <w:t xml:space="preserve"> </w:t>
      </w:r>
      <w:r w:rsidRPr="003A1FA3">
        <w:rPr>
          <w:rFonts w:ascii="Times New Roman" w:hAnsi="Times New Roman" w:cs="Times New Roman"/>
        </w:rPr>
        <w:t>and</w:t>
      </w:r>
      <w:r>
        <w:rPr>
          <w:rFonts w:ascii="Times New Roman" w:hAnsi="Times New Roman" w:cs="Times New Roman"/>
        </w:rPr>
        <w:t xml:space="preserve"> </w:t>
      </w:r>
      <w:r w:rsidRPr="003A1FA3">
        <w:rPr>
          <w:rFonts w:ascii="Times New Roman" w:hAnsi="Times New Roman" w:cs="Times New Roman"/>
        </w:rPr>
        <w:t>linkages</w:t>
      </w:r>
      <w:r>
        <w:rPr>
          <w:rFonts w:ascii="Times New Roman" w:hAnsi="Times New Roman" w:cs="Times New Roman"/>
        </w:rPr>
        <w:t xml:space="preserve"> </w:t>
      </w:r>
      <w:r w:rsidRPr="003A1FA3">
        <w:rPr>
          <w:rFonts w:ascii="Times New Roman" w:hAnsi="Times New Roman" w:cs="Times New Roman"/>
        </w:rPr>
        <w:t>in</w:t>
      </w:r>
      <w:r>
        <w:rPr>
          <w:rFonts w:ascii="Times New Roman" w:hAnsi="Times New Roman" w:cs="Times New Roman"/>
        </w:rPr>
        <w:t xml:space="preserve"> </w:t>
      </w:r>
      <w:r w:rsidRPr="003A1FA3">
        <w:rPr>
          <w:rFonts w:ascii="Times New Roman" w:hAnsi="Times New Roman" w:cs="Times New Roman"/>
        </w:rPr>
        <w:t>Asian</w:t>
      </w:r>
      <w:r>
        <w:rPr>
          <w:rFonts w:ascii="Times New Roman" w:hAnsi="Times New Roman" w:cs="Times New Roman"/>
        </w:rPr>
        <w:t xml:space="preserve"> </w:t>
      </w:r>
      <w:r w:rsidRPr="003A1FA3">
        <w:rPr>
          <w:rFonts w:ascii="Times New Roman" w:hAnsi="Times New Roman" w:cs="Times New Roman"/>
        </w:rPr>
        <w:t>stock</w:t>
      </w:r>
      <w:r>
        <w:rPr>
          <w:rFonts w:ascii="Times New Roman" w:hAnsi="Times New Roman" w:cs="Times New Roman"/>
        </w:rPr>
        <w:t xml:space="preserve"> </w:t>
      </w:r>
      <w:r w:rsidRPr="003A1FA3">
        <w:rPr>
          <w:rFonts w:ascii="Times New Roman" w:hAnsi="Times New Roman" w:cs="Times New Roman"/>
        </w:rPr>
        <w:t>markets.</w:t>
      </w:r>
      <w:r>
        <w:rPr>
          <w:rFonts w:ascii="Times New Roman" w:hAnsi="Times New Roman" w:cs="Times New Roman"/>
        </w:rPr>
        <w:t xml:space="preserve"> </w:t>
      </w:r>
      <w:r w:rsidRPr="003A1FA3">
        <w:rPr>
          <w:rFonts w:ascii="Times New Roman" w:hAnsi="Times New Roman" w:cs="Times New Roman"/>
        </w:rPr>
        <w:t>Emerging</w:t>
      </w:r>
      <w:r>
        <w:rPr>
          <w:rFonts w:ascii="Times New Roman" w:hAnsi="Times New Roman" w:cs="Times New Roman"/>
        </w:rPr>
        <w:t xml:space="preserve"> </w:t>
      </w:r>
      <w:r w:rsidRPr="003A1FA3">
        <w:rPr>
          <w:rFonts w:ascii="Times New Roman" w:hAnsi="Times New Roman" w:cs="Times New Roman"/>
        </w:rPr>
        <w:t xml:space="preserve">Markets Finance and Trade, 53(12), 2770–2781. </w:t>
      </w:r>
      <w:hyperlink r:id="rId17" w:history="1">
        <w:r w:rsidRPr="001B4ADD">
          <w:rPr>
            <w:rStyle w:val="Hyperlink"/>
            <w:rFonts w:ascii="Times New Roman" w:hAnsi="Times New Roman" w:cs="Times New Roman"/>
          </w:rPr>
          <w:t>https://doi.org/10.1080/1540496X.2017.1314960</w:t>
        </w:r>
      </w:hyperlink>
    </w:p>
    <w:p w14:paraId="6008E510" w14:textId="3E25975E" w:rsidR="003A1FA3"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Diebold, F. X., &amp; Yilmaz, K. (2012). Better to give than to receive: Predictive directional measurement of volatility spillovers. International Journal of Forecasting, 28(1), 57–66. </w:t>
      </w:r>
      <w:hyperlink r:id="rId18" w:history="1">
        <w:r w:rsidRPr="001B4ADD">
          <w:rPr>
            <w:rStyle w:val="Hyperlink"/>
            <w:rFonts w:ascii="Times New Roman" w:hAnsi="Times New Roman" w:cs="Times New Roman"/>
          </w:rPr>
          <w:t>https://doi.org/10.1016/j.ijforecast.2011.02.006</w:t>
        </w:r>
      </w:hyperlink>
    </w:p>
    <w:p w14:paraId="6E6F38B8" w14:textId="131638A9" w:rsidR="003A1FA3"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Diebold, F. X., &amp; Yilmaz, K. (2014). On the network topology of variance decompositions: Measuring the connectedness of financial firms. Journal of Econometrics, 182(1), 119–134. </w:t>
      </w:r>
      <w:hyperlink r:id="rId19" w:history="1">
        <w:r w:rsidRPr="001B4ADD">
          <w:rPr>
            <w:rStyle w:val="Hyperlink"/>
            <w:rFonts w:ascii="Times New Roman" w:hAnsi="Times New Roman" w:cs="Times New Roman"/>
          </w:rPr>
          <w:t>https://doi.org/10.1016/j.jeconom.2014.04.012</w:t>
        </w:r>
      </w:hyperlink>
    </w:p>
    <w:p w14:paraId="19A28A17" w14:textId="434150A0" w:rsidR="003A1FA3"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lastRenderedPageBreak/>
        <w:t xml:space="preserve">European Central Bank. (2012, June). Financial stability review: June 2012. </w:t>
      </w:r>
      <w:hyperlink r:id="rId20" w:history="1">
        <w:r w:rsidR="00F65089" w:rsidRPr="001B4ADD">
          <w:rPr>
            <w:rStyle w:val="Hyperlink"/>
            <w:rFonts w:ascii="Times New Roman" w:hAnsi="Times New Roman" w:cs="Times New Roman"/>
          </w:rPr>
          <w:t>https://www.ecb.europa.eu/pub/pdf/fsr/financi</w:t>
        </w:r>
        <w:r w:rsidR="00F65089" w:rsidRPr="001B4ADD">
          <w:rPr>
            <w:rStyle w:val="Hyperlink"/>
            <w:rFonts w:ascii="Times New Roman" w:hAnsi="Times New Roman" w:cs="Times New Roman"/>
          </w:rPr>
          <w:t>a</w:t>
        </w:r>
        <w:r w:rsidR="00F65089" w:rsidRPr="001B4ADD">
          <w:rPr>
            <w:rStyle w:val="Hyperlink"/>
            <w:rFonts w:ascii="Times New Roman" w:hAnsi="Times New Roman" w:cs="Times New Roman"/>
          </w:rPr>
          <w:t>lstabilityreview201206en.pdf</w:t>
        </w:r>
      </w:hyperlink>
    </w:p>
    <w:p w14:paraId="63A18127" w14:textId="0F5C917B" w:rsidR="007D4649"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Forbes, K. J., &amp; Rigobon, R. (2002). No contagion, only interdependence: Measuring stock market comovements. The Journal of Finance, 57(5), 2223–2261. </w:t>
      </w:r>
      <w:hyperlink r:id="rId21" w:history="1">
        <w:r w:rsidR="00667B37" w:rsidRPr="001B4ADD">
          <w:rPr>
            <w:rStyle w:val="Hyperlink"/>
            <w:rFonts w:ascii="Times New Roman" w:hAnsi="Times New Roman" w:cs="Times New Roman"/>
          </w:rPr>
          <w:t>https:</w:t>
        </w:r>
        <w:r w:rsidR="00667B37" w:rsidRPr="001B4ADD">
          <w:rPr>
            <w:rStyle w:val="Hyperlink"/>
            <w:rFonts w:ascii="Times New Roman" w:hAnsi="Times New Roman" w:cs="Times New Roman"/>
          </w:rPr>
          <w:t>/</w:t>
        </w:r>
        <w:r w:rsidR="00667B37" w:rsidRPr="001B4ADD">
          <w:rPr>
            <w:rStyle w:val="Hyperlink"/>
            <w:rFonts w:ascii="Times New Roman" w:hAnsi="Times New Roman" w:cs="Times New Roman"/>
          </w:rPr>
          <w:t>/doi.org/10.1111/0022-1082.00494</w:t>
        </w:r>
      </w:hyperlink>
    </w:p>
    <w:p w14:paraId="7F804DE2" w14:textId="1975E7B3" w:rsidR="007D4649"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Hoque, M. E., Low, S.-W., Tee, L.-T., Uddin, M. A., Kew, S.-R., Billah, M., &amp; Bil gili, F. (2026). Contemporaneous and lagged connectedness among international cate gorical economic policy uncertainty and ASEAN-5 stock markets: Do policy uncer tainty sources and determinants matter? Financial Innovation, 12, Article 93. </w:t>
      </w:r>
      <w:hyperlink r:id="rId22" w:history="1">
        <w:r w:rsidR="007D4649" w:rsidRPr="001B4ADD">
          <w:rPr>
            <w:rStyle w:val="Hyperlink"/>
            <w:rFonts w:ascii="Times New Roman" w:hAnsi="Times New Roman" w:cs="Times New Roman"/>
          </w:rPr>
          <w:t>https://doi.org/10.1186/s40854-025-00895-5</w:t>
        </w:r>
      </w:hyperlink>
    </w:p>
    <w:p w14:paraId="44267717" w14:textId="4515586B" w:rsidR="007D4649"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Künsch, H. R. (1989). The jackknife and the bootstrap for general stationary observations. The Annals of Statistics, 17(3), 1217–1241. </w:t>
      </w:r>
      <w:hyperlink r:id="rId23" w:history="1">
        <w:r w:rsidR="007D4649" w:rsidRPr="001B4ADD">
          <w:rPr>
            <w:rStyle w:val="Hyperlink"/>
            <w:rFonts w:ascii="Times New Roman" w:hAnsi="Times New Roman" w:cs="Times New Roman"/>
          </w:rPr>
          <w:t>https://doi.org/10.1214/aos/1176347265</w:t>
        </w:r>
      </w:hyperlink>
    </w:p>
    <w:p w14:paraId="66E09402" w14:textId="6FF488E6" w:rsidR="007D4649"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Newey, W. K., &amp; West, K. D. (1987). A simple, positive semi-definite, heteroskedasticity and autocorrelation consistent covariance matrix. Econometrica, 55(3), 703–708. </w:t>
      </w:r>
      <w:hyperlink r:id="rId24" w:history="1">
        <w:r w:rsidR="007D4649" w:rsidRPr="001B4ADD">
          <w:rPr>
            <w:rStyle w:val="Hyperlink"/>
            <w:rFonts w:ascii="Times New Roman" w:hAnsi="Times New Roman" w:cs="Times New Roman"/>
          </w:rPr>
          <w:t>https://doi.org/10.2307/1913610</w:t>
        </w:r>
      </w:hyperlink>
    </w:p>
    <w:p w14:paraId="212D0B8F" w14:textId="582A92F0" w:rsidR="007D4649"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Office of the United States Trade Representative. (2018, March 22). Section 301 fact sheet. </w:t>
      </w:r>
      <w:hyperlink r:id="rId25" w:history="1">
        <w:r w:rsidR="00FC5647" w:rsidRPr="001B4ADD">
          <w:rPr>
            <w:rStyle w:val="Hyperlink"/>
            <w:rFonts w:ascii="Times New Roman" w:hAnsi="Times New Roman" w:cs="Times New Roman"/>
          </w:rPr>
          <w:t>https://ustr.gov/about-us/policy-offices/press-office/fact-sheets/2018/march/section-301-fact-</w:t>
        </w:r>
        <w:r w:rsidR="00FC5647" w:rsidRPr="001B4ADD">
          <w:rPr>
            <w:rStyle w:val="Hyperlink"/>
            <w:rFonts w:ascii="Times New Roman" w:hAnsi="Times New Roman" w:cs="Times New Roman"/>
          </w:rPr>
          <w:t>s</w:t>
        </w:r>
        <w:r w:rsidR="00FC5647" w:rsidRPr="001B4ADD">
          <w:rPr>
            <w:rStyle w:val="Hyperlink"/>
            <w:rFonts w:ascii="Times New Roman" w:hAnsi="Times New Roman" w:cs="Times New Roman"/>
          </w:rPr>
          <w:t>heet</w:t>
        </w:r>
      </w:hyperlink>
    </w:p>
    <w:p w14:paraId="65AD7331" w14:textId="098CB38D" w:rsidR="00FC5647"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Parkinson, M. (1980). The extreme value method for estimating the variance of the rate of return. The Journal of Business, 53(1), 61–65. </w:t>
      </w:r>
      <w:hyperlink r:id="rId26" w:history="1">
        <w:r w:rsidR="00FC5647" w:rsidRPr="001B4ADD">
          <w:rPr>
            <w:rStyle w:val="Hyperlink"/>
            <w:rFonts w:ascii="Times New Roman" w:hAnsi="Times New Roman" w:cs="Times New Roman"/>
          </w:rPr>
          <w:t>https://doi.org/10.1086/296071</w:t>
        </w:r>
      </w:hyperlink>
    </w:p>
    <w:p w14:paraId="454089C7" w14:textId="04DFDF16" w:rsidR="00FC5647"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Pesaran, M. H., &amp; Shin, Y. (1998). Generalized impulse response analysis in linear multivariate models. Economics Letters, 58(1), 17–29. </w:t>
      </w:r>
      <w:hyperlink r:id="rId27" w:history="1">
        <w:r w:rsidR="00FC5647" w:rsidRPr="001B4ADD">
          <w:rPr>
            <w:rStyle w:val="Hyperlink"/>
            <w:rFonts w:ascii="Times New Roman" w:hAnsi="Times New Roman" w:cs="Times New Roman"/>
          </w:rPr>
          <w:t>https://doi.org/10.1016/S0165-1765(97)00214-0</w:t>
        </w:r>
      </w:hyperlink>
    </w:p>
    <w:p w14:paraId="3FDF2337" w14:textId="5D28AB63" w:rsidR="00FC5647"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Sethapramote, Y., Prukumpai, S., &amp; Dacuycuy, L. B. (2023). Dynamic connectedness in the ASEAN’s equity markets during the COVID-19 pandemic. DLSU Business &amp; Economics Review, 32(2), Article 1. </w:t>
      </w:r>
      <w:hyperlink r:id="rId28" w:history="1">
        <w:r w:rsidR="00FC5647" w:rsidRPr="001B4ADD">
          <w:rPr>
            <w:rStyle w:val="Hyperlink"/>
            <w:rFonts w:ascii="Times New Roman" w:hAnsi="Times New Roman" w:cs="Times New Roman"/>
          </w:rPr>
          <w:t>https://doi.org/10.59588/2243-786X.1153</w:t>
        </w:r>
      </w:hyperlink>
    </w:p>
    <w:p w14:paraId="26261E56" w14:textId="5878C5FD" w:rsidR="00FC5647"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United Nations General Assembly. (2022, March 2). Aggression against Ukraine (A/RES/ES 11/1). United Nations. </w:t>
      </w:r>
      <w:hyperlink r:id="rId29" w:history="1">
        <w:r w:rsidR="00FC5647" w:rsidRPr="001B4ADD">
          <w:rPr>
            <w:rStyle w:val="Hyperlink"/>
            <w:rFonts w:ascii="Times New Roman" w:hAnsi="Times New Roman" w:cs="Times New Roman"/>
          </w:rPr>
          <w:t>https://digitallibrary.un.org/record/3959039</w:t>
        </w:r>
      </w:hyperlink>
    </w:p>
    <w:p w14:paraId="6D972B42" w14:textId="1BF31E6E" w:rsidR="00FC5647"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lastRenderedPageBreak/>
        <w:t xml:space="preserve">Vo, X. V., &amp; Ellis, C. (2018). International financial integration: Stock return linkages and volatility transmission between Vietnam and advanced countries. Emerging Markets Review, 36, 19–27. </w:t>
      </w:r>
      <w:hyperlink r:id="rId30" w:history="1">
        <w:r w:rsidR="00FC5647" w:rsidRPr="001B4ADD">
          <w:rPr>
            <w:rStyle w:val="Hyperlink"/>
            <w:rFonts w:ascii="Times New Roman" w:hAnsi="Times New Roman" w:cs="Times New Roman"/>
          </w:rPr>
          <w:t>https://doi.org/10.1016/j.ememar.2018.03.007</w:t>
        </w:r>
      </w:hyperlink>
    </w:p>
    <w:p w14:paraId="62980D69" w14:textId="6E2D70BF" w:rsidR="00FC5647"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Vo, X. V., &amp; Tran, T. T. A. (2020). Modelling volatility spillovers from the US equity market to ASEAN stock markets. Pacific-Basin Finance Journal, 59, Article 101246. </w:t>
      </w:r>
      <w:hyperlink r:id="rId31" w:history="1">
        <w:r w:rsidR="00FC5647" w:rsidRPr="001B4ADD">
          <w:rPr>
            <w:rStyle w:val="Hyperlink"/>
            <w:rFonts w:ascii="Times New Roman" w:hAnsi="Times New Roman" w:cs="Times New Roman"/>
          </w:rPr>
          <w:t>https://doi.org/10.1016/j.pacfin.2019.101246</w:t>
        </w:r>
      </w:hyperlink>
    </w:p>
    <w:p w14:paraId="1B17F97E" w14:textId="2DACC682" w:rsidR="00FF5AEC" w:rsidRDefault="003A1FA3" w:rsidP="002B6539">
      <w:pPr>
        <w:pStyle w:val="Bibliography"/>
        <w:spacing w:line="360" w:lineRule="auto"/>
        <w:jc w:val="both"/>
        <w:rPr>
          <w:rFonts w:ascii="Times New Roman" w:hAnsi="Times New Roman" w:cs="Times New Roman"/>
        </w:rPr>
      </w:pPr>
      <w:r w:rsidRPr="003A1FA3">
        <w:rPr>
          <w:rFonts w:ascii="Times New Roman" w:hAnsi="Times New Roman" w:cs="Times New Roman"/>
        </w:rPr>
        <w:t xml:space="preserve">World Health Organization. (2020, January 30). Statement on the second meeting of the Inter national Health Regulations (2005) Emergency Committee regarding the outbreak of novel coronavirus (2019-nCoV). </w:t>
      </w:r>
      <w:hyperlink r:id="rId32" w:history="1">
        <w:r w:rsidR="00FC5647" w:rsidRPr="001B4ADD">
          <w:rPr>
            <w:rStyle w:val="Hyperlink"/>
            <w:rFonts w:ascii="Times New Roman" w:hAnsi="Times New Roman" w:cs="Times New Roman"/>
          </w:rPr>
          <w:t>https://www.who.int/news/item/30-01-2020-statement-on-the-second-meeting-of-the-international-health-regulations-(2005)-emergency-committee-regarding-the-outbreak-of-novel-coronavirus-(2019-ncov</w:t>
        </w:r>
        <w:r w:rsidR="00FC5647" w:rsidRPr="001B4ADD">
          <w:rPr>
            <w:rStyle w:val="Hyperlink"/>
            <w:rFonts w:ascii="Times New Roman" w:hAnsi="Times New Roman" w:cs="Times New Roman"/>
          </w:rPr>
          <w:t>)</w:t>
        </w:r>
      </w:hyperlink>
    </w:p>
    <w:p w14:paraId="74D9DD08" w14:textId="77777777" w:rsidR="00FC5647" w:rsidRDefault="00FC5647" w:rsidP="002B6539">
      <w:pPr>
        <w:pStyle w:val="Bibliography"/>
        <w:spacing w:line="360" w:lineRule="auto"/>
        <w:jc w:val="both"/>
        <w:rPr>
          <w:rFonts w:ascii="Times New Roman" w:hAnsi="Times New Roman" w:cs="Times New Roman"/>
        </w:rPr>
      </w:pPr>
    </w:p>
    <w:p w14:paraId="5E99133F" w14:textId="77777777" w:rsidR="00FC5647" w:rsidRPr="00DC64F4" w:rsidRDefault="00FC5647" w:rsidP="002B6539">
      <w:pPr>
        <w:pStyle w:val="Bibliography"/>
        <w:spacing w:line="360" w:lineRule="auto"/>
        <w:jc w:val="both"/>
        <w:rPr>
          <w:rFonts w:ascii="Times New Roman" w:hAnsi="Times New Roman" w:cs="Times New Roman"/>
        </w:rPr>
      </w:pPr>
    </w:p>
    <w:sectPr w:rsidR="00FC5647" w:rsidRPr="00DC64F4" w:rsidSect="003461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FAC4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4302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F5AEC"/>
    <w:rsid w:val="00012102"/>
    <w:rsid w:val="00033478"/>
    <w:rsid w:val="000E2391"/>
    <w:rsid w:val="00101E06"/>
    <w:rsid w:val="001465AB"/>
    <w:rsid w:val="00164E8A"/>
    <w:rsid w:val="001A7C6C"/>
    <w:rsid w:val="001C454E"/>
    <w:rsid w:val="001C4A78"/>
    <w:rsid w:val="001C6633"/>
    <w:rsid w:val="001D2CB6"/>
    <w:rsid w:val="002108D9"/>
    <w:rsid w:val="002236DD"/>
    <w:rsid w:val="00241702"/>
    <w:rsid w:val="00246C41"/>
    <w:rsid w:val="0026122A"/>
    <w:rsid w:val="00266C20"/>
    <w:rsid w:val="00287AD7"/>
    <w:rsid w:val="002B6539"/>
    <w:rsid w:val="002F0AAD"/>
    <w:rsid w:val="00346139"/>
    <w:rsid w:val="003756BC"/>
    <w:rsid w:val="003A1FA3"/>
    <w:rsid w:val="003F00C0"/>
    <w:rsid w:val="00416B1B"/>
    <w:rsid w:val="00420FF6"/>
    <w:rsid w:val="0042344A"/>
    <w:rsid w:val="00444BC6"/>
    <w:rsid w:val="00462F31"/>
    <w:rsid w:val="00477586"/>
    <w:rsid w:val="004907EA"/>
    <w:rsid w:val="004D66B3"/>
    <w:rsid w:val="00573C2D"/>
    <w:rsid w:val="005D5B62"/>
    <w:rsid w:val="006315D2"/>
    <w:rsid w:val="006415FE"/>
    <w:rsid w:val="0064511F"/>
    <w:rsid w:val="006528B1"/>
    <w:rsid w:val="00661C75"/>
    <w:rsid w:val="00667B37"/>
    <w:rsid w:val="006763A5"/>
    <w:rsid w:val="0067699E"/>
    <w:rsid w:val="006C2C11"/>
    <w:rsid w:val="006D7933"/>
    <w:rsid w:val="006E6FA3"/>
    <w:rsid w:val="00722900"/>
    <w:rsid w:val="007229BF"/>
    <w:rsid w:val="00746509"/>
    <w:rsid w:val="00755CAD"/>
    <w:rsid w:val="00756595"/>
    <w:rsid w:val="007840C8"/>
    <w:rsid w:val="00791596"/>
    <w:rsid w:val="007C5098"/>
    <w:rsid w:val="007D4649"/>
    <w:rsid w:val="007D571C"/>
    <w:rsid w:val="007E7EE6"/>
    <w:rsid w:val="008023C3"/>
    <w:rsid w:val="0085266F"/>
    <w:rsid w:val="008537B3"/>
    <w:rsid w:val="00860252"/>
    <w:rsid w:val="00860303"/>
    <w:rsid w:val="00871A67"/>
    <w:rsid w:val="00871C12"/>
    <w:rsid w:val="008A7CC5"/>
    <w:rsid w:val="008E130D"/>
    <w:rsid w:val="008E4990"/>
    <w:rsid w:val="008E527F"/>
    <w:rsid w:val="00906234"/>
    <w:rsid w:val="009108AE"/>
    <w:rsid w:val="00932232"/>
    <w:rsid w:val="0093624A"/>
    <w:rsid w:val="009E6CED"/>
    <w:rsid w:val="00A02F06"/>
    <w:rsid w:val="00A21B30"/>
    <w:rsid w:val="00A60875"/>
    <w:rsid w:val="00A672B5"/>
    <w:rsid w:val="00A80BBA"/>
    <w:rsid w:val="00A9659F"/>
    <w:rsid w:val="00AA4E34"/>
    <w:rsid w:val="00AD5897"/>
    <w:rsid w:val="00AF1DD5"/>
    <w:rsid w:val="00AF5640"/>
    <w:rsid w:val="00B10C0D"/>
    <w:rsid w:val="00B262E7"/>
    <w:rsid w:val="00B40DD1"/>
    <w:rsid w:val="00B70010"/>
    <w:rsid w:val="00B72E49"/>
    <w:rsid w:val="00B93DE1"/>
    <w:rsid w:val="00C02F4A"/>
    <w:rsid w:val="00C10B2C"/>
    <w:rsid w:val="00C146AE"/>
    <w:rsid w:val="00C24823"/>
    <w:rsid w:val="00C24D66"/>
    <w:rsid w:val="00C37C08"/>
    <w:rsid w:val="00C67171"/>
    <w:rsid w:val="00C92AAB"/>
    <w:rsid w:val="00CD1654"/>
    <w:rsid w:val="00CD4E70"/>
    <w:rsid w:val="00CF596A"/>
    <w:rsid w:val="00D17042"/>
    <w:rsid w:val="00D95E50"/>
    <w:rsid w:val="00DA0EE8"/>
    <w:rsid w:val="00DA67A2"/>
    <w:rsid w:val="00DC64F4"/>
    <w:rsid w:val="00DE32EC"/>
    <w:rsid w:val="00DE3DFC"/>
    <w:rsid w:val="00DE4492"/>
    <w:rsid w:val="00DF306A"/>
    <w:rsid w:val="00E016CE"/>
    <w:rsid w:val="00E05E2B"/>
    <w:rsid w:val="00E07294"/>
    <w:rsid w:val="00E36A95"/>
    <w:rsid w:val="00E44CBB"/>
    <w:rsid w:val="00E450C9"/>
    <w:rsid w:val="00F15ABF"/>
    <w:rsid w:val="00F20FCC"/>
    <w:rsid w:val="00F26743"/>
    <w:rsid w:val="00F65089"/>
    <w:rsid w:val="00F813C3"/>
    <w:rsid w:val="00FB35C3"/>
    <w:rsid w:val="00FC5647"/>
    <w:rsid w:val="00FD4233"/>
    <w:rsid w:val="00FF5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76509"/>
  <w15:docId w15:val="{4C0C64BA-8DD1-495E-BD5B-33E2E815C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6315D2"/>
    <w:rPr>
      <w:color w:val="666666"/>
    </w:rPr>
  </w:style>
  <w:style w:type="character" w:styleId="UnresolvedMention">
    <w:name w:val="Unresolved Mention"/>
    <w:basedOn w:val="DefaultParagraphFont"/>
    <w:uiPriority w:val="99"/>
    <w:semiHidden/>
    <w:unhideWhenUsed/>
    <w:rsid w:val="003A1FA3"/>
    <w:rPr>
      <w:color w:val="605E5C"/>
      <w:shd w:val="clear" w:color="auto" w:fill="E1DFDD"/>
    </w:rPr>
  </w:style>
  <w:style w:type="character" w:styleId="FollowedHyperlink">
    <w:name w:val="FollowedHyperlink"/>
    <w:basedOn w:val="DefaultParagraphFont"/>
    <w:rsid w:val="00B93D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ederalreserve.gov/newsevents/testimony/bernanke20130522a.htm" TargetMode="External"/><Relationship Id="rId18" Type="http://schemas.openxmlformats.org/officeDocument/2006/relationships/hyperlink" Target="https://doi.org/10.1016/j.ijforecast.2011.02.006" TargetMode="External"/><Relationship Id="rId26" Type="http://schemas.openxmlformats.org/officeDocument/2006/relationships/hyperlink" Target="https://doi.org/10.1086/296071" TargetMode="External"/><Relationship Id="rId3" Type="http://schemas.openxmlformats.org/officeDocument/2006/relationships/settings" Target="settings.xml"/><Relationship Id="rId21" Type="http://schemas.openxmlformats.org/officeDocument/2006/relationships/hyperlink" Target="https://doi.org/10.1111/0022-1082.00494"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bis.org/publ/qtrpdf/r_qt1509a.htm" TargetMode="External"/><Relationship Id="rId17" Type="http://schemas.openxmlformats.org/officeDocument/2006/relationships/hyperlink" Target="https://doi.org/10.1080/1540496X.2017.1314960" TargetMode="External"/><Relationship Id="rId25" Type="http://schemas.openxmlformats.org/officeDocument/2006/relationships/hyperlink" Target="https://ustr.gov/about-us/policy-offices/press-office/fact-sheets/2018/march/section-301-fact-sheet"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257/aer.20191823" TargetMode="External"/><Relationship Id="rId20" Type="http://schemas.openxmlformats.org/officeDocument/2006/relationships/hyperlink" Target="https://www.ecb.europa.eu/pub/pdf/fsr/financialstabilityreview201206en.pdf" TargetMode="External"/><Relationship Id="rId29" Type="http://schemas.openxmlformats.org/officeDocument/2006/relationships/hyperlink" Target="https://digitallibrary.un.org/record/395903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59888/ajosh.v3i12.613" TargetMode="External"/><Relationship Id="rId24" Type="http://schemas.openxmlformats.org/officeDocument/2006/relationships/hyperlink" Target="https://doi.org/10.2307/1913610" TargetMode="External"/><Relationship Id="rId32" Type="http://schemas.openxmlformats.org/officeDocument/2006/relationships/hyperlink" Target="https://www.who.int/news/item/30-01-2020-statement-on-the-second-meeting-of-the-international-health-regulations-(2005)-emergency-committee-regarding-the-outbreak-of-novel-coronavirus-(2019-ncov)" TargetMode="External"/><Relationship Id="rId5" Type="http://schemas.openxmlformats.org/officeDocument/2006/relationships/image" Target="media/image1.png"/><Relationship Id="rId15" Type="http://schemas.openxmlformats.org/officeDocument/2006/relationships/hyperlink" Target="https://www.federalreserve.gov/publications/files/svb-review-20230428.pdf" TargetMode="External"/><Relationship Id="rId23" Type="http://schemas.openxmlformats.org/officeDocument/2006/relationships/hyperlink" Target="https://doi.org/10.1214/aos/1176347265" TargetMode="External"/><Relationship Id="rId28" Type="http://schemas.openxmlformats.org/officeDocument/2006/relationships/hyperlink" Target="https://doi.org/10.59588/2243-786X.1153" TargetMode="External"/><Relationship Id="rId10" Type="http://schemas.openxmlformats.org/officeDocument/2006/relationships/image" Target="media/image6.png"/><Relationship Id="rId19" Type="http://schemas.openxmlformats.org/officeDocument/2006/relationships/hyperlink" Target="https://doi.org/10.1016/j.jeconom.2014.04.012" TargetMode="External"/><Relationship Id="rId31" Type="http://schemas.openxmlformats.org/officeDocument/2006/relationships/hyperlink" Target="https://doi.org/10.1016/j.pacfin.2019.10124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federalreserve.gov/publications/2022-ar-record-of-policy-actions-of-the-board-of-governors.htm" TargetMode="External"/><Relationship Id="rId22" Type="http://schemas.openxmlformats.org/officeDocument/2006/relationships/hyperlink" Target="https://doi.org/10.1186/s40854-025-00895-5" TargetMode="External"/><Relationship Id="rId27" Type="http://schemas.openxmlformats.org/officeDocument/2006/relationships/hyperlink" Target="https://doi.org/10.1016/S0165-1765(97)00214-0" TargetMode="External"/><Relationship Id="rId30" Type="http://schemas.openxmlformats.org/officeDocument/2006/relationships/hyperlink" Target="https://doi.org/10.1016/j.ememar.2018.03.007"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29</Pages>
  <Words>6836</Words>
  <Characters>38968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Thanh 10L 28. Nguyễn Nhật</cp:lastModifiedBy>
  <cp:revision>120</cp:revision>
  <dcterms:created xsi:type="dcterms:W3CDTF">2026-08-13T08:22:00Z</dcterms:created>
  <dcterms:modified xsi:type="dcterms:W3CDTF">2026-08-13T10:53:00Z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examines the magnitude, direction, and evolution of volatility transmission among the equity markets of Indonesia, Malaysia, the Philippines, Singapore, Thailand, and Vietnam from January 2010 to July 2026. Using range-based volatility and a generalized forecast-error variance-decomposition framework, the study estimates total, directional, pairwise, and net connectedness. Full-sample volatility connectedness is approximately 17.15%, while the mean 250-day rolling index is 20.04%. Thailand and Indonesia are net transmitters in the baseline model, whereas Vietnam is a modest net receiver and exhibits the largest own-market variance share. Moving-block bootstrap comparisons identify significant shock-associated increases in six of eight prespecified episodes, with the largest increase occurring during the COVID-19 pandemic. Monthly regressions with heteroskedasticity- and autocorrelation-consistent inference show that the VIX and oil-price changes are positively associated with regional connectedness, while geopolitical risk is negatively associated with it. Vietnam’s directional role is sensitive to the volatility proxy and currency denomination, cautioning against a fixed classification of the market as a transmitter or receiver. The findings demonstrate that ASEAN systemic risk is strongly time varying and that diversification benefits can weaken precisely when global uncertainty is elevated.Keywords: ASEAN equity markets; volatility spillovers; financial connectedness; systemic risk; geopolitical risk; VietnamJEL classification: C32; F36; G11; G15</vt:lpwstr>
  </property>
  <property fmtid="{D5CDD505-2E9C-101B-9397-08002B2CF9AE}" pid="3" name="bibliography">
    <vt:lpwstr>references.bib</vt:lpwstr>
  </property>
  <property fmtid="{D5CDD505-2E9C-101B-9397-08002B2CF9AE}" pid="4" name="csl">
    <vt:lpwstr>apa.csl</vt:lpwstr>
  </property>
</Properties>
</file>