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B14261" w:rsidP="3CCCF31E" w:rsidRDefault="11B14261" w14:paraId="6AD820C2" w14:textId="24DE7C4F">
      <w:pPr>
        <w:pStyle w:val="Heading1"/>
      </w:pPr>
      <w:r w:rsidR="11B14261">
        <w:rPr/>
        <w:t>How to Backtest?</w:t>
      </w:r>
    </w:p>
    <w:p xmlns:wp14="http://schemas.microsoft.com/office/word/2010/wordml" wp14:paraId="2C078E63" wp14:textId="19AC3487">
      <w:r w:rsidR="6803DBE6">
        <w:rPr/>
        <w:t>There are multiple ways of measuring success</w:t>
      </w:r>
      <w:r w:rsidR="1DA9923F">
        <w:rPr/>
        <w:t xml:space="preserve"> when </w:t>
      </w:r>
      <w:r w:rsidR="1DA9923F">
        <w:rPr/>
        <w:t>backtesting</w:t>
      </w:r>
      <w:r w:rsidR="1DA9923F">
        <w:rPr/>
        <w:t xml:space="preserve"> between spread based analysis and traditional mean/variance framework (Markowitz)</w:t>
      </w:r>
      <w:r w:rsidR="6803DBE6">
        <w:rPr/>
        <w:t>:</w:t>
      </w:r>
    </w:p>
    <w:p w:rsidR="17B638E0" w:rsidP="4C8B5440" w:rsidRDefault="17B638E0" w14:paraId="1882274F" w14:textId="1D2D65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CA53F95" w:rsidR="6803DBE6">
        <w:rPr>
          <w:sz w:val="24"/>
          <w:szCs w:val="24"/>
        </w:rPr>
        <w:t>Sharpe Ratio</w:t>
      </w:r>
    </w:p>
    <w:p w:rsidR="5BAAE452" w:rsidP="5CA53F95" w:rsidRDefault="5BAAE452" w14:paraId="10156D1A" w14:textId="680A5E8D">
      <w:pPr>
        <w:pStyle w:val="ListParagraph"/>
        <w:numPr>
          <w:ilvl w:val="1"/>
          <w:numId w:val="2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354A2A" w:rsidR="5BAAE45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Sharpe, William F. "The </w:t>
      </w:r>
      <w:r w:rsidRPr="67354A2A" w:rsidR="5BAAE45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sharpe</w:t>
      </w:r>
      <w:r w:rsidRPr="67354A2A" w:rsidR="5BAAE45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ratio." Streetwise–the Best of the Journal of Portfolio Management 3.3 (1998): 169-85.</w:t>
      </w:r>
    </w:p>
    <w:p w:rsidR="17B638E0" w:rsidP="4C8B5440" w:rsidRDefault="17B638E0" w14:paraId="6EE43C09" w14:textId="6E827B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696ECE1" w:rsidR="17B638E0">
        <w:rPr>
          <w:sz w:val="24"/>
          <w:szCs w:val="24"/>
        </w:rPr>
        <w:t>Volatility Reduction</w:t>
      </w:r>
    </w:p>
    <w:p w:rsidR="70CD5EC7" w:rsidP="2696ECE1" w:rsidRDefault="70CD5EC7" w14:paraId="7D6C2629" w14:textId="1C6AB90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696ECE1" w:rsidR="70CD5E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Moreira, </w:t>
      </w:r>
      <w:r w:rsidRPr="2696ECE1" w:rsidR="70CD5EC7">
        <w:rPr>
          <w:rFonts w:ascii="Aptos" w:hAnsi="Aptos" w:eastAsia="Aptos" w:cs="Aptos"/>
          <w:noProof w:val="0"/>
          <w:sz w:val="24"/>
          <w:szCs w:val="24"/>
          <w:lang w:val="en-US"/>
        </w:rPr>
        <w:t>A.</w:t>
      </w:r>
      <w:r w:rsidRPr="2696ECE1" w:rsidR="70CD5E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Muir, E. (2017) 'Volatility-Managed Portfolios', </w:t>
      </w:r>
      <w:r w:rsidRPr="2696ECE1" w:rsidR="70CD5EC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Journal of Finance</w:t>
      </w:r>
      <w:r w:rsidRPr="2696ECE1" w:rsidR="70CD5EC7">
        <w:rPr>
          <w:rFonts w:ascii="Aptos" w:hAnsi="Aptos" w:eastAsia="Aptos" w:cs="Aptos"/>
          <w:noProof w:val="0"/>
          <w:sz w:val="24"/>
          <w:szCs w:val="24"/>
          <w:lang w:val="en-US"/>
        </w:rPr>
        <w:t>, 72(4), pp. 1611–1644.</w:t>
      </w:r>
    </w:p>
    <w:p w:rsidR="4C8B5440" w:rsidP="67354A2A" w:rsidRDefault="4C8B5440" w14:paraId="513D4D7E" w14:textId="659DD53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3C77DC2" w:rsidR="4C7B670C">
        <w:rPr>
          <w:sz w:val="24"/>
          <w:szCs w:val="24"/>
        </w:rPr>
        <w:t>Maximum</w:t>
      </w:r>
      <w:r w:rsidRPr="13C77DC2" w:rsidR="4C7B670C">
        <w:rPr>
          <w:sz w:val="24"/>
          <w:szCs w:val="24"/>
        </w:rPr>
        <w:t xml:space="preserve"> Drawdown</w:t>
      </w:r>
    </w:p>
    <w:p w:rsidR="2BB81102" w:rsidP="13C77DC2" w:rsidRDefault="2BB81102" w14:paraId="69CF8DD4" w14:textId="45F8A338">
      <w:pPr>
        <w:pStyle w:val="ListParagraph"/>
        <w:numPr>
          <w:ilvl w:val="1"/>
          <w:numId w:val="2"/>
        </w:numPr>
        <w:rPr>
          <w:rFonts w:ascii="Cambria" w:hAnsi="Cambria" w:eastAsia="Cambria" w:cs="Cambria"/>
          <w:sz w:val="20"/>
          <w:szCs w:val="20"/>
        </w:rPr>
      </w:pPr>
      <w:r w:rsidRPr="13C77DC2" w:rsidR="2BB81102">
        <w:rPr>
          <w:rFonts w:ascii="Cambria" w:hAnsi="Cambria" w:eastAsia="Cambria" w:cs="Cambria"/>
          <w:sz w:val="22"/>
          <w:szCs w:val="22"/>
        </w:rPr>
        <w:t>Magdon-Ismail, Malik and Atiya, Amir F, Maximum Drawdown. Risk Magazine, Vol. 17, No. 10, pp. 99-102, October 2004, Available at SSRN: https://ssrn.com/abstract=874069</w:t>
      </w:r>
    </w:p>
    <w:p w:rsidR="67354A2A" w:rsidP="67354A2A" w:rsidRDefault="67354A2A" w14:paraId="4BA02E07" w14:textId="0CC1701F">
      <w:pPr>
        <w:pStyle w:val="ListParagraph"/>
        <w:ind w:left="720"/>
        <w:rPr>
          <w:sz w:val="24"/>
          <w:szCs w:val="24"/>
        </w:rPr>
      </w:pPr>
    </w:p>
    <w:p w:rsidR="17B638E0" w:rsidP="67354A2A" w:rsidRDefault="17B638E0" w14:paraId="3080E661" w14:textId="07B81F80">
      <w:pPr>
        <w:pStyle w:val="Heading2"/>
        <w:rPr>
          <w:b w:val="1"/>
          <w:bCs w:val="1"/>
          <w:sz w:val="24"/>
          <w:szCs w:val="24"/>
        </w:rPr>
      </w:pPr>
      <w:r w:rsidR="17B638E0">
        <w:rPr/>
        <w:t>Sharpe Ratio</w:t>
      </w:r>
    </w:p>
    <w:p w:rsidR="50FA2B58" w:rsidP="4C8B5440" w:rsidRDefault="50FA2B58" w14:paraId="06816E6B" w14:textId="05CCC63D">
      <w:pPr>
        <w:pStyle w:val="Normal"/>
        <w:rPr>
          <w:b w:val="0"/>
          <w:bCs w:val="0"/>
          <w:sz w:val="24"/>
          <w:szCs w:val="24"/>
        </w:rPr>
      </w:pPr>
      <w:r w:rsidRPr="5CA53F95" w:rsidR="161C7415">
        <w:rPr>
          <w:b w:val="0"/>
          <w:bCs w:val="0"/>
          <w:sz w:val="24"/>
          <w:szCs w:val="24"/>
        </w:rPr>
        <w:t xml:space="preserve">the expected return per unit of risk for a </w:t>
      </w:r>
      <w:r w:rsidRPr="5CA53F95" w:rsidR="161C7415">
        <w:rPr>
          <w:b w:val="0"/>
          <w:bCs w:val="0"/>
          <w:sz w:val="24"/>
          <w:szCs w:val="24"/>
        </w:rPr>
        <w:t>zero investment</w:t>
      </w:r>
      <w:r w:rsidRPr="5CA53F95" w:rsidR="161C7415">
        <w:rPr>
          <w:b w:val="0"/>
          <w:bCs w:val="0"/>
          <w:sz w:val="24"/>
          <w:szCs w:val="24"/>
        </w:rPr>
        <w:t xml:space="preserve"> strategy</w:t>
      </w:r>
    </w:p>
    <w:p w:rsidR="0095FA5F" w:rsidP="5CA53F95" w:rsidRDefault="0095FA5F" w14:paraId="1C8F50F4" w14:textId="34FC92D3">
      <w:pPr>
        <w:pStyle w:val="Normal"/>
        <w:rPr>
          <w:b w:val="0"/>
          <w:bCs w:val="0"/>
          <w:sz w:val="24"/>
          <w:szCs w:val="24"/>
        </w:rPr>
      </w:pPr>
    </w:p>
    <w:p w:rsidR="0095FA5F" w:rsidP="5CA53F95" w:rsidRDefault="0095FA5F" w14:paraId="77605B08" w14:textId="2BABECF0">
      <w:pPr>
        <w:pStyle w:val="Normal"/>
        <w:rPr>
          <w:b w:val="0"/>
          <w:bCs w:val="0"/>
          <w:sz w:val="24"/>
          <w:szCs w:val="24"/>
        </w:rPr>
      </w:pPr>
      <w:r w:rsidRPr="43037480" w:rsidR="3C8590D5">
        <w:rPr>
          <w:b w:val="0"/>
          <w:bCs w:val="0"/>
          <w:sz w:val="24"/>
          <w:szCs w:val="24"/>
        </w:rPr>
        <w:t xml:space="preserve">There are two types of Sharpe Ratio: </w:t>
      </w:r>
      <w:r w:rsidRPr="43037480" w:rsidR="3C8590D5">
        <w:rPr>
          <w:b w:val="1"/>
          <w:bCs w:val="1"/>
          <w:sz w:val="24"/>
          <w:szCs w:val="24"/>
        </w:rPr>
        <w:t>ex ante</w:t>
      </w:r>
      <w:r w:rsidRPr="43037480" w:rsidR="3C8590D5">
        <w:rPr>
          <w:b w:val="0"/>
          <w:bCs w:val="0"/>
          <w:sz w:val="24"/>
          <w:szCs w:val="24"/>
        </w:rPr>
        <w:t xml:space="preserve"> (future expected returns) / </w:t>
      </w:r>
      <w:r w:rsidRPr="43037480" w:rsidR="3C8590D5">
        <w:rPr>
          <w:b w:val="1"/>
          <w:bCs w:val="1"/>
          <w:sz w:val="24"/>
          <w:szCs w:val="24"/>
        </w:rPr>
        <w:t>ex post</w:t>
      </w:r>
      <w:r w:rsidRPr="43037480" w:rsidR="3C8590D5">
        <w:rPr>
          <w:b w:val="0"/>
          <w:bCs w:val="0"/>
          <w:sz w:val="24"/>
          <w:szCs w:val="24"/>
        </w:rPr>
        <w:t xml:space="preserve"> (realized historical average returns and actual </w:t>
      </w:r>
      <w:r w:rsidRPr="43037480" w:rsidR="3C8590D5">
        <w:rPr>
          <w:b w:val="0"/>
          <w:bCs w:val="0"/>
          <w:sz w:val="24"/>
          <w:szCs w:val="24"/>
        </w:rPr>
        <w:t>observed</w:t>
      </w:r>
      <w:r w:rsidRPr="43037480" w:rsidR="3C8590D5">
        <w:rPr>
          <w:b w:val="0"/>
          <w:bCs w:val="0"/>
          <w:sz w:val="24"/>
          <w:szCs w:val="24"/>
        </w:rPr>
        <w:t xml:space="preserve"> standard deviation—this evaluates past performance)</w:t>
      </w:r>
    </w:p>
    <w:p w:rsidR="0095FA5F" w:rsidP="67354A2A" w:rsidRDefault="0095FA5F" w14:paraId="7B2C7432" w14:textId="17CBE813">
      <w:pPr>
        <w:pStyle w:val="Normal"/>
        <w:rPr>
          <w:b w:val="0"/>
          <w:bCs w:val="0"/>
          <w:sz w:val="24"/>
          <w:szCs w:val="24"/>
        </w:rPr>
      </w:pPr>
      <w:r w:rsidRPr="43037480" w:rsidR="7A822404">
        <w:rPr>
          <w:b w:val="0"/>
          <w:bCs w:val="0"/>
          <w:sz w:val="24"/>
          <w:szCs w:val="24"/>
        </w:rPr>
        <w:t xml:space="preserve">We will be using </w:t>
      </w:r>
      <w:r w:rsidRPr="43037480" w:rsidR="3FA46884">
        <w:rPr>
          <w:b w:val="0"/>
          <w:bCs w:val="0"/>
          <w:sz w:val="24"/>
          <w:szCs w:val="24"/>
        </w:rPr>
        <w:t xml:space="preserve">both ex-ante and </w:t>
      </w:r>
      <w:r w:rsidRPr="43037480" w:rsidR="7A822404">
        <w:rPr>
          <w:b w:val="1"/>
          <w:bCs w:val="1"/>
          <w:sz w:val="24"/>
          <w:szCs w:val="24"/>
        </w:rPr>
        <w:t xml:space="preserve">ex post </w:t>
      </w:r>
      <w:r w:rsidRPr="43037480" w:rsidR="033DE92E">
        <w:rPr>
          <w:b w:val="1"/>
          <w:bCs w:val="1"/>
          <w:sz w:val="24"/>
          <w:szCs w:val="24"/>
        </w:rPr>
        <w:t>Sharpe Ratio</w:t>
      </w:r>
      <w:r w:rsidRPr="43037480" w:rsidR="033DE92E">
        <w:rPr>
          <w:b w:val="0"/>
          <w:bCs w:val="0"/>
          <w:sz w:val="24"/>
          <w:szCs w:val="24"/>
        </w:rPr>
        <w:t xml:space="preserve"> as in our </w:t>
      </w:r>
      <w:r w:rsidRPr="43037480" w:rsidR="033DE92E">
        <w:rPr>
          <w:b w:val="0"/>
          <w:bCs w:val="0"/>
          <w:sz w:val="24"/>
          <w:szCs w:val="24"/>
        </w:rPr>
        <w:t>backtesting</w:t>
      </w:r>
      <w:r w:rsidRPr="43037480" w:rsidR="033DE92E">
        <w:rPr>
          <w:b w:val="0"/>
          <w:bCs w:val="0"/>
          <w:sz w:val="24"/>
          <w:szCs w:val="24"/>
        </w:rPr>
        <w:t>, we want to use historic data (test with past data)</w:t>
      </w:r>
    </w:p>
    <w:p w:rsidR="0095FA5F" w:rsidP="0095FA5F" w:rsidRDefault="0095FA5F" w14:paraId="143D80FB" w14:textId="23FD35EE">
      <w:pPr>
        <w:pStyle w:val="Normal"/>
      </w:pPr>
      <w:r w:rsidRPr="5CA53F95" w:rsidR="7A822404">
        <w:rPr>
          <w:b w:val="0"/>
          <w:bCs w:val="0"/>
          <w:sz w:val="24"/>
          <w:szCs w:val="24"/>
        </w:rPr>
        <w:t>The ex post, or historic Sharpe Ratio (Sh) is:</w:t>
      </w:r>
    </w:p>
    <w:p w:rsidR="0095FA5F" w:rsidP="0095FA5F" w:rsidRDefault="0095FA5F" w14:paraId="6621CF24" w14:textId="67F43F50">
      <w:pPr>
        <w:pStyle w:val="Normal"/>
      </w:pPr>
      <w:r w:rsidRPr="67354A2A" w:rsidR="7A822404">
        <w:rPr>
          <w:b w:val="0"/>
          <w:bCs w:val="0"/>
          <w:sz w:val="24"/>
          <w:szCs w:val="24"/>
        </w:rPr>
        <w:t xml:space="preserve"> </w:t>
      </w:r>
      <w:r w:rsidR="5440F9AA">
        <w:drawing>
          <wp:inline wp14:editId="70989DA0" wp14:anchorId="7C1CFC7D">
            <wp:extent cx="5943600" cy="1619250"/>
            <wp:effectExtent l="0" t="0" r="0" b="0"/>
            <wp:docPr id="75336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368934" name="Picture 753368934"/>
                    <pic:cNvPicPr/>
                  </pic:nvPicPr>
                  <pic:blipFill>
                    <a:blip xmlns:r="http://schemas.openxmlformats.org/officeDocument/2006/relationships" r:embed="rId309874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FA5F" w:rsidP="0095FA5F" w:rsidRDefault="0095FA5F" w14:paraId="2765AB21" w14:textId="162D75C6">
      <w:pPr>
        <w:pStyle w:val="Normal"/>
      </w:pPr>
      <w:r w:rsidRPr="43037480" w:rsidR="7A822404">
        <w:rPr>
          <w:b w:val="0"/>
          <w:bCs w:val="0"/>
          <w:sz w:val="24"/>
          <w:szCs w:val="24"/>
        </w:rPr>
        <w:t xml:space="preserve">In this version, the ratio </w:t>
      </w:r>
      <w:r w:rsidRPr="43037480" w:rsidR="7A822404">
        <w:rPr>
          <w:b w:val="0"/>
          <w:bCs w:val="0"/>
          <w:sz w:val="24"/>
          <w:szCs w:val="24"/>
        </w:rPr>
        <w:t>indicates</w:t>
      </w:r>
      <w:r w:rsidRPr="43037480" w:rsidR="7A822404">
        <w:rPr>
          <w:b w:val="0"/>
          <w:bCs w:val="0"/>
          <w:sz w:val="24"/>
          <w:szCs w:val="24"/>
        </w:rPr>
        <w:t xml:space="preserve"> the historic average differential return per unit of historic variability of the differential return.</w:t>
      </w:r>
    </w:p>
    <w:p w:rsidR="43037480" w:rsidP="43037480" w:rsidRDefault="43037480" w14:paraId="294135A8" w14:textId="45081457">
      <w:pPr>
        <w:pStyle w:val="Normal"/>
        <w:rPr>
          <w:b w:val="0"/>
          <w:bCs w:val="0"/>
          <w:sz w:val="24"/>
          <w:szCs w:val="24"/>
        </w:rPr>
      </w:pPr>
    </w:p>
    <w:p w:rsidR="544007F5" w:rsidP="43037480" w:rsidRDefault="544007F5" w14:paraId="7D7A0CA4" w14:textId="21F495E0">
      <w:pPr>
        <w:pStyle w:val="Normal"/>
        <w:rPr>
          <w:b w:val="0"/>
          <w:bCs w:val="0"/>
          <w:sz w:val="24"/>
          <w:szCs w:val="24"/>
        </w:rPr>
      </w:pPr>
      <w:r w:rsidRPr="43037480" w:rsidR="544007F5">
        <w:rPr>
          <w:b w:val="0"/>
          <w:bCs w:val="0"/>
          <w:sz w:val="24"/>
          <w:szCs w:val="24"/>
        </w:rPr>
        <w:t>We’ll</w:t>
      </w:r>
      <w:r w:rsidRPr="43037480" w:rsidR="544007F5">
        <w:rPr>
          <w:b w:val="0"/>
          <w:bCs w:val="0"/>
          <w:sz w:val="24"/>
          <w:szCs w:val="24"/>
        </w:rPr>
        <w:t xml:space="preserve"> be using 252 days (daily) as there is 252 us trading days in general, and </w:t>
      </w:r>
      <w:r w:rsidRPr="43037480" w:rsidR="544007F5">
        <w:rPr>
          <w:b w:val="0"/>
          <w:bCs w:val="0"/>
          <w:sz w:val="24"/>
          <w:szCs w:val="24"/>
        </w:rPr>
        <w:t>risk free</w:t>
      </w:r>
      <w:r w:rsidRPr="43037480" w:rsidR="544007F5">
        <w:rPr>
          <w:b w:val="0"/>
          <w:bCs w:val="0"/>
          <w:sz w:val="24"/>
          <w:szCs w:val="24"/>
        </w:rPr>
        <w:t xml:space="preserve"> rate of 2%</w:t>
      </w:r>
      <w:r w:rsidRPr="43037480" w:rsidR="78D246B2">
        <w:rPr>
          <w:b w:val="0"/>
          <w:bCs w:val="0"/>
          <w:sz w:val="24"/>
          <w:szCs w:val="24"/>
        </w:rPr>
        <w:t xml:space="preserve"> - ex-post is </w:t>
      </w:r>
      <w:r w:rsidRPr="43037480" w:rsidR="78D246B2">
        <w:rPr>
          <w:b w:val="0"/>
          <w:bCs w:val="0"/>
          <w:sz w:val="24"/>
          <w:szCs w:val="24"/>
        </w:rPr>
        <w:t>acomputed</w:t>
      </w:r>
      <w:r w:rsidRPr="43037480" w:rsidR="78D246B2">
        <w:rPr>
          <w:b w:val="0"/>
          <w:bCs w:val="0"/>
          <w:sz w:val="24"/>
          <w:szCs w:val="24"/>
        </w:rPr>
        <w:t xml:space="preserve"> in </w:t>
      </w:r>
      <w:r w:rsidRPr="43037480" w:rsidR="78D246B2">
        <w:rPr>
          <w:b w:val="1"/>
          <w:bCs w:val="1"/>
          <w:sz w:val="24"/>
          <w:szCs w:val="24"/>
        </w:rPr>
        <w:t>src/backtesting/metrics.py</w:t>
      </w:r>
      <w:r w:rsidRPr="43037480" w:rsidR="78D246B2">
        <w:rPr>
          <w:b w:val="0"/>
          <w:bCs w:val="0"/>
          <w:sz w:val="24"/>
          <w:szCs w:val="24"/>
        </w:rPr>
        <w:t xml:space="preserve"> (for test period)</w:t>
      </w:r>
    </w:p>
    <w:p w:rsidR="43037480" w:rsidP="43037480" w:rsidRDefault="43037480" w14:paraId="1E73AD7B" w14:textId="17648DA6">
      <w:pPr>
        <w:pStyle w:val="Normal"/>
        <w:rPr>
          <w:b w:val="1"/>
          <w:bCs w:val="1"/>
          <w:sz w:val="24"/>
          <w:szCs w:val="24"/>
        </w:rPr>
      </w:pPr>
    </w:p>
    <w:p w:rsidR="78D246B2" w:rsidP="43037480" w:rsidRDefault="78D246B2" w14:paraId="062AA772" w14:textId="43A1E036">
      <w:pPr>
        <w:pStyle w:val="Normal"/>
        <w:rPr>
          <w:b w:val="0"/>
          <w:bCs w:val="0"/>
          <w:sz w:val="24"/>
          <w:szCs w:val="24"/>
        </w:rPr>
      </w:pPr>
      <w:r w:rsidRPr="43037480" w:rsidR="78D246B2">
        <w:rPr>
          <w:b w:val="0"/>
          <w:bCs w:val="0"/>
          <w:sz w:val="24"/>
          <w:szCs w:val="24"/>
        </w:rPr>
        <w:t xml:space="preserve">We will also be using </w:t>
      </w:r>
      <w:r w:rsidRPr="43037480" w:rsidR="78D246B2">
        <w:rPr>
          <w:b w:val="1"/>
          <w:bCs w:val="1"/>
          <w:sz w:val="24"/>
          <w:szCs w:val="24"/>
        </w:rPr>
        <w:t xml:space="preserve">ex-ante </w:t>
      </w:r>
      <w:r w:rsidRPr="43037480" w:rsidR="78D246B2">
        <w:rPr>
          <w:b w:val="0"/>
          <w:bCs w:val="0"/>
          <w:sz w:val="24"/>
          <w:szCs w:val="24"/>
        </w:rPr>
        <w:t>for optimisation (train period)</w:t>
      </w:r>
    </w:p>
    <w:p w:rsidR="0095FA5F" w:rsidP="0095FA5F" w:rsidRDefault="0095FA5F" w14:paraId="6104A48A" w14:textId="2388539D">
      <w:pPr>
        <w:pStyle w:val="Normal"/>
        <w:rPr>
          <w:b w:val="0"/>
          <w:bCs w:val="0"/>
          <w:sz w:val="24"/>
          <w:szCs w:val="24"/>
        </w:rPr>
      </w:pPr>
    </w:p>
    <w:p w:rsidR="2D454807" w:rsidP="67354A2A" w:rsidRDefault="2D454807" w14:paraId="3E96FF5B" w14:textId="62C7A95F">
      <w:pPr>
        <w:pStyle w:val="Heading2"/>
        <w:rPr>
          <w:b w:val="1"/>
          <w:bCs w:val="1"/>
          <w:sz w:val="24"/>
          <w:szCs w:val="24"/>
        </w:rPr>
      </w:pPr>
      <w:r w:rsidR="2D454807">
        <w:rPr/>
        <w:t xml:space="preserve">Volatility </w:t>
      </w:r>
      <w:r w:rsidR="700EFD04">
        <w:rPr/>
        <w:t>Reduction</w:t>
      </w:r>
    </w:p>
    <w:p w:rsidR="0095FA5F" w:rsidP="0095FA5F" w:rsidRDefault="0095FA5F" w14:paraId="02F08B65" w14:textId="46363EC8">
      <w:pPr>
        <w:pStyle w:val="Normal"/>
      </w:pPr>
      <w:r w:rsidRPr="43037480" w:rsidR="1450E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Volatility reduction is a </w:t>
      </w:r>
      <w:r w:rsidRPr="43037480" w:rsidR="1450E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relative measure</w:t>
      </w:r>
      <w:r w:rsidRPr="43037480" w:rsidR="1450E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comparing portfolio volatility to a benchmark</w:t>
      </w:r>
    </w:p>
    <w:p w:rsidR="0095FA5F" w:rsidP="43037480" w:rsidRDefault="0095FA5F" w14:paraId="737B9C15" w14:textId="12A193A5">
      <w:pPr>
        <w:spacing w:before="240" w:beforeAutospacing="off" w:after="240" w:afterAutospacing="off"/>
      </w:pPr>
      <w:r w:rsidRPr="43037480" w:rsidR="65FE41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Moreira, A. and Muir, E. (2017) 'Volatility-Managed Portfolios', </w:t>
      </w:r>
      <w:r w:rsidRPr="43037480" w:rsidR="65FE41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Journal of Finance</w:t>
      </w:r>
      <w:r w:rsidRPr="43037480" w:rsidR="65FE411A">
        <w:rPr>
          <w:rFonts w:ascii="Aptos" w:hAnsi="Aptos" w:eastAsia="Aptos" w:cs="Aptos"/>
          <w:noProof w:val="0"/>
          <w:sz w:val="24"/>
          <w:szCs w:val="24"/>
          <w:lang w:val="en-US"/>
        </w:rPr>
        <w:t>, 72(4), pp. 1611–1644.</w:t>
      </w:r>
    </w:p>
    <w:p w:rsidR="0095FA5F" w:rsidP="0095FA5F" w:rsidRDefault="0095FA5F" w14:paraId="4E6AB368" w14:textId="20C28225">
      <w:pPr>
        <w:pStyle w:val="Normal"/>
        <w:rPr>
          <w:b w:val="1"/>
          <w:bCs w:val="1"/>
          <w:sz w:val="24"/>
          <w:szCs w:val="24"/>
        </w:rPr>
      </w:pPr>
    </w:p>
    <w:p w:rsidR="2D454807" w:rsidP="67354A2A" w:rsidRDefault="2D454807" w14:paraId="572874EE" w14:textId="335BEC73">
      <w:pPr>
        <w:pStyle w:val="Heading2"/>
        <w:rPr>
          <w:b w:val="1"/>
          <w:bCs w:val="1"/>
          <w:sz w:val="24"/>
          <w:szCs w:val="24"/>
        </w:rPr>
      </w:pPr>
      <w:r w:rsidR="2D454807">
        <w:rPr/>
        <w:t>Maximum</w:t>
      </w:r>
      <w:r w:rsidR="2D454807">
        <w:rPr/>
        <w:t xml:space="preserve"> Drawdown</w:t>
      </w:r>
    </w:p>
    <w:p w:rsidR="0095FA5F" w:rsidP="0095FA5F" w:rsidRDefault="0095FA5F" w14:paraId="6DF47542" w14:textId="60433B21">
      <w:pPr>
        <w:pStyle w:val="Normal"/>
        <w:rPr>
          <w:b w:val="0"/>
          <w:bCs w:val="0"/>
          <w:sz w:val="24"/>
          <w:szCs w:val="24"/>
        </w:rPr>
      </w:pPr>
      <w:r w:rsidRPr="3CCCF31E" w:rsidR="16BFE1B8">
        <w:rPr>
          <w:b w:val="0"/>
          <w:bCs w:val="0"/>
          <w:sz w:val="24"/>
          <w:szCs w:val="24"/>
        </w:rPr>
        <w:t xml:space="preserve">The maximum loss from a market peak to a market nadir, commonly called the </w:t>
      </w:r>
      <w:r w:rsidRPr="3CCCF31E" w:rsidR="16BFE1B8">
        <w:rPr>
          <w:b w:val="0"/>
          <w:bCs w:val="0"/>
          <w:sz w:val="24"/>
          <w:szCs w:val="24"/>
        </w:rPr>
        <w:t>maximum</w:t>
      </w:r>
      <w:r w:rsidRPr="3CCCF31E" w:rsidR="16BFE1B8">
        <w:rPr>
          <w:b w:val="0"/>
          <w:bCs w:val="0"/>
          <w:sz w:val="24"/>
          <w:szCs w:val="24"/>
        </w:rPr>
        <w:t xml:space="preserve"> drawdown (MDD), measures how sustained one's losses can be.</w:t>
      </w:r>
    </w:p>
    <w:p w:rsidR="24F61FA9" w:rsidP="43037480" w:rsidRDefault="24F61FA9" w14:paraId="23425777" w14:textId="065F4D57">
      <w:pPr>
        <w:pStyle w:val="Normal"/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4D4D4C"/>
          <w:sz w:val="24"/>
          <w:szCs w:val="24"/>
          <w:lang w:val="en-US"/>
        </w:rPr>
      </w:pPr>
      <w:r w:rsidRPr="43037480" w:rsidR="24F61FA9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4D4D4C"/>
          <w:sz w:val="24"/>
          <w:szCs w:val="24"/>
          <w:lang w:val="en-US"/>
        </w:rPr>
        <w:t>Magdon</w:t>
      </w:r>
      <w:r w:rsidRPr="43037480" w:rsidR="24F61FA9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-Ismail, M., Atiya, A.F., </w:t>
      </w:r>
      <w:r w:rsidRPr="43037480" w:rsidR="24F61FA9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4D4D4C"/>
          <w:sz w:val="24"/>
          <w:szCs w:val="24"/>
          <w:lang w:val="en-US"/>
        </w:rPr>
        <w:t>Pratrap</w:t>
      </w:r>
      <w:r w:rsidRPr="43037480" w:rsidR="24F61FA9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4D4D4C"/>
          <w:sz w:val="24"/>
          <w:szCs w:val="24"/>
          <w:lang w:val="en-US"/>
        </w:rPr>
        <w:t>, A. and Yaser, S.A. (2004) 'On the maximum drawdown of a Brownian motion', *Journal of Applied Probability*, 41(1), pp. 31–52.</w:t>
      </w:r>
    </w:p>
    <w:p w:rsidR="43037480" w:rsidP="43037480" w:rsidRDefault="43037480" w14:paraId="3CFB9451" w14:textId="34BE284F">
      <w:pPr>
        <w:pStyle w:val="Normal"/>
        <w:rPr>
          <w:b w:val="0"/>
          <w:bCs w:val="0"/>
          <w:sz w:val="24"/>
          <w:szCs w:val="24"/>
        </w:rPr>
      </w:pPr>
    </w:p>
    <w:p w:rsidR="354D3C34" w:rsidP="2696ECE1" w:rsidRDefault="354D3C34" w14:paraId="21CE6535" w14:textId="171A6345">
      <w:pPr>
        <w:pStyle w:val="Heading1"/>
      </w:pPr>
      <w:r w:rsidR="354D3C34">
        <w:rPr/>
        <w:t>Benchmarks</w:t>
      </w:r>
    </w:p>
    <w:p w:rsidR="0EDAEF44" w:rsidP="2696ECE1" w:rsidRDefault="0EDAEF44" w14:paraId="7EEE1F1C" w14:textId="699D0B11">
      <w:pPr>
        <w:pStyle w:val="Normal"/>
      </w:pPr>
      <w:r w:rsidR="0EDAEF44">
        <w:drawing>
          <wp:inline wp14:editId="78BCA3DE" wp14:anchorId="46B65008">
            <wp:extent cx="5943600" cy="1323975"/>
            <wp:effectExtent l="0" t="0" r="0" b="0"/>
            <wp:docPr id="902468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468525" name="Picture 902468525"/>
                    <pic:cNvPicPr/>
                  </pic:nvPicPr>
                  <pic:blipFill>
                    <a:blip xmlns:r="http://schemas.openxmlformats.org/officeDocument/2006/relationships" r:embed="rId60504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DAEF44">
        <w:drawing>
          <wp:inline wp14:editId="2B634819" wp14:anchorId="7F1FB9D0">
            <wp:extent cx="5943600" cy="1419225"/>
            <wp:effectExtent l="0" t="0" r="0" b="0"/>
            <wp:docPr id="604896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896509" name="Picture 604896509"/>
                    <pic:cNvPicPr/>
                  </pic:nvPicPr>
                  <pic:blipFill>
                    <a:blip xmlns:r="http://schemas.openxmlformats.org/officeDocument/2006/relationships" r:embed="rId2000481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1BB56" w:rsidP="2696ECE1" w:rsidRDefault="0BE1BB56" w14:paraId="30BD45FF" w14:textId="7EF8470B">
      <w:pPr>
        <w:pStyle w:val="Normal"/>
      </w:pPr>
      <w:r w:rsidR="0BE1BB56">
        <w:rPr/>
        <w:t>To compare our strategy</w:t>
      </w:r>
      <w:r w:rsidR="6C432047">
        <w:rPr/>
        <w:t xml:space="preserve"> and using it in a portfolio </w:t>
      </w:r>
      <w:r w:rsidR="6C432047">
        <w:rPr/>
        <w:t>optimiser</w:t>
      </w:r>
      <w:r w:rsidR="0BE1BB56">
        <w:rPr/>
        <w:t xml:space="preserve">, we perform </w:t>
      </w:r>
      <w:r w:rsidR="0BE1BB56">
        <w:rPr/>
        <w:t>backtesting</w:t>
      </w:r>
      <w:r w:rsidR="0BE1BB56">
        <w:rPr/>
        <w:t xml:space="preserve"> to compute the max drawdown, Sharpe </w:t>
      </w:r>
      <w:r w:rsidR="0BE1BB56">
        <w:rPr/>
        <w:t>ratio</w:t>
      </w:r>
      <w:r w:rsidR="0BE1BB56">
        <w:rPr/>
        <w:t xml:space="preserve"> and volatility reduction. We then use these metrics and </w:t>
      </w:r>
      <w:r w:rsidR="0BE1BB56">
        <w:rPr/>
        <w:t>compare</w:t>
      </w:r>
      <w:r w:rsidR="0BE1BB56">
        <w:rPr/>
        <w:t xml:space="preserve"> to our </w:t>
      </w:r>
      <w:r w:rsidR="0BE1BB56">
        <w:rPr/>
        <w:t>benchmark</w:t>
      </w:r>
      <w:r w:rsidR="0BE1BB56">
        <w:rPr/>
        <w:t xml:space="preserve"> </w:t>
      </w:r>
      <w:r w:rsidR="0BE1BB56">
        <w:rPr/>
        <w:t>i.e.</w:t>
      </w:r>
      <w:r w:rsidR="0BE1BB56">
        <w:rPr/>
        <w:t xml:space="preserve"> </w:t>
      </w:r>
      <w:r w:rsidR="0FF2B896">
        <w:rPr/>
        <w:t>S&amp;P 500</w:t>
      </w:r>
      <w:r w:rsidR="22659C12">
        <w:rPr/>
        <w:t>, Buy and Hold Pair, and Equal Rate All P</w:t>
      </w:r>
      <w:r w:rsidR="2F96EEE0">
        <w:rPr/>
        <w:t>airs</w:t>
      </w:r>
      <w:r w:rsidR="5EF3C4E8">
        <w:rPr/>
        <w:t xml:space="preserve">. </w:t>
      </w:r>
    </w:p>
    <w:p w:rsidR="2696ECE1" w:rsidP="2696ECE1" w:rsidRDefault="2696ECE1" w14:paraId="708D2980" w14:textId="65F670AF">
      <w:pPr>
        <w:pStyle w:val="Normal"/>
      </w:pPr>
    </w:p>
    <w:p w:rsidR="5EF3C4E8" w:rsidP="2696ECE1" w:rsidRDefault="5EF3C4E8" w14:paraId="1F1E0FFB" w14:textId="6CDD7011">
      <w:pPr>
        <w:pStyle w:val="Normal"/>
      </w:pPr>
      <w:r w:rsidR="5EF3C4E8">
        <w:rPr/>
        <w:t xml:space="preserve">For the Sharpe ratio, we will be benchmarking our strategy </w:t>
      </w:r>
      <w:r w:rsidR="5EF3C4E8">
        <w:rPr/>
        <w:t>with</w:t>
      </w:r>
      <w:r w:rsidR="5EF3C4E8">
        <w:rPr/>
        <w:t xml:space="preserve"> the risk-free rate</w:t>
      </w:r>
      <w:r w:rsidR="022E9070">
        <w:rPr/>
        <w:t xml:space="preserve">. To obtain our risk-free rate, we will be using USA T-Bill </w:t>
      </w:r>
      <w:r w:rsidR="022E9070">
        <w:rPr/>
        <w:t>3 month</w:t>
      </w:r>
      <w:r w:rsidR="022E9070">
        <w:rPr/>
        <w:t xml:space="preserve"> bond rates. This rate will be obtained from averaging the rate from our test/train data for the </w:t>
      </w:r>
      <w:r w:rsidR="022E9070">
        <w:rPr/>
        <w:t>period, and</w:t>
      </w:r>
      <w:r w:rsidR="022E9070">
        <w:rPr/>
        <w:t xml:space="preserve"> obtained via Refinitiv</w:t>
      </w:r>
      <w:r w:rsidR="4A583B95">
        <w:rPr/>
        <w:t xml:space="preserve"> (</w:t>
      </w:r>
      <w:r w:rsidRPr="5F013E30" w:rsidR="4A583B95">
        <w:rPr>
          <w:b w:val="1"/>
          <w:bCs w:val="1"/>
        </w:rPr>
        <w:t>US3MT=RR</w:t>
      </w:r>
      <w:r w:rsidR="4A583B95">
        <w:rPr/>
        <w:t xml:space="preserve">). The rate obtained is </w:t>
      </w:r>
      <w:r w:rsidRPr="5F013E30" w:rsidR="4A583B95">
        <w:rPr>
          <w:b w:val="1"/>
          <w:bCs w:val="1"/>
        </w:rPr>
        <w:t>2%</w:t>
      </w:r>
      <w:r w:rsidR="4A583B95">
        <w:rPr>
          <w:b w:val="0"/>
          <w:bCs w:val="0"/>
        </w:rPr>
        <w:t xml:space="preserve"> where it is obtained in our training data (2019-01-01 to 2023-12-31)</w:t>
      </w:r>
      <w:r w:rsidR="022E9070">
        <w:rPr/>
        <w:t xml:space="preserve"> </w:t>
      </w:r>
    </w:p>
    <w:p w:rsidR="2696ECE1" w:rsidP="2696ECE1" w:rsidRDefault="2696ECE1" w14:paraId="5F5CE160" w14:textId="298030C1">
      <w:pPr>
        <w:pStyle w:val="Normal"/>
      </w:pPr>
    </w:p>
    <w:p w:rsidR="10B370A1" w:rsidP="2696ECE1" w:rsidRDefault="10B370A1" w14:paraId="7FB2128E" w14:textId="680547DE">
      <w:pPr>
        <w:pStyle w:val="Normal"/>
      </w:pPr>
      <w:r w:rsidR="10B370A1">
        <w:rPr/>
        <w:t xml:space="preserve">The main goal is to show that our strategy has a higher Sharpe ratio than risk-free rate (and it has a Sharpe ratio of &gt;1 – i.e. </w:t>
      </w:r>
    </w:p>
    <w:p w:rsidR="44777B8B" w:rsidP="44777B8B" w:rsidRDefault="44777B8B" w14:paraId="0E316601" w14:textId="3AE77349">
      <w:pPr>
        <w:pStyle w:val="Normal"/>
      </w:pPr>
    </w:p>
    <w:p w:rsidR="53070376" w:rsidP="44777B8B" w:rsidRDefault="53070376" w14:paraId="34E0BAC8" w14:textId="0ECC8C96">
      <w:pPr>
        <w:pStyle w:val="Normal"/>
      </w:pPr>
      <w:r w:rsidR="53070376">
        <w:rPr/>
        <w:t xml:space="preserve">LIMITATION: Refinitiv License used in the project does not cover S&amp;P 500 </w:t>
      </w:r>
      <w:r w:rsidR="53070376">
        <w:rPr/>
        <w:t>-  fallback</w:t>
      </w:r>
      <w:r w:rsidR="53070376">
        <w:rPr/>
        <w:t xml:space="preserve">: </w:t>
      </w:r>
      <w:r w:rsidR="53070376">
        <w:rPr/>
        <w:t>yfinance</w:t>
      </w:r>
      <w:r w:rsidR="53070376">
        <w:rPr/>
        <w:t xml:space="preserve"> to </w:t>
      </w:r>
      <w:r w:rsidR="53070376">
        <w:rPr/>
        <w:t xml:space="preserve">get </w:t>
      </w:r>
      <w:r w:rsidR="53070376">
        <w:rPr/>
        <w:t>S&amp;P data.</w:t>
      </w:r>
    </w:p>
    <w:p w:rsidR="36FF1837" w:rsidP="3CCCF31E" w:rsidRDefault="36FF1837" w14:paraId="72AA1064" w14:textId="04608203">
      <w:pPr>
        <w:pStyle w:val="Heading1"/>
      </w:pPr>
      <w:r w:rsidR="36FF1837">
        <w:rPr/>
        <w:t>Backtesting Results</w:t>
      </w:r>
    </w:p>
    <w:p w:rsidR="3CCCF31E" w:rsidP="3CCCF31E" w:rsidRDefault="3CCCF31E" w14:paraId="37DB7E64" w14:textId="393B1F51">
      <w:pPr>
        <w:pStyle w:val="Normal"/>
      </w:pPr>
    </w:p>
    <w:p w:rsidR="43037480" w:rsidP="31BDC97B" w:rsidRDefault="43037480" w14:paraId="67EB61E0" w14:textId="0CB295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47B302B">
        <w:drawing>
          <wp:inline wp14:editId="36B551B0" wp14:anchorId="5F2A3A80">
            <wp:extent cx="5880402" cy="1460575"/>
            <wp:effectExtent l="0" t="0" r="0" b="0"/>
            <wp:docPr id="1277056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056182" name="Picture 1277056182"/>
                    <pic:cNvPicPr/>
                  </pic:nvPicPr>
                  <pic:blipFill>
                    <a:blip xmlns:r="http://schemas.openxmlformats.org/officeDocument/2006/relationships" r:embed="rId143318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6FF1837" w:rsidP="3CCCF31E" w:rsidRDefault="36FF1837" w14:paraId="2266F45F" w14:textId="432A9EFD">
      <w:pPr>
        <w:pStyle w:val="Heading1"/>
      </w:pPr>
      <w:r w:rsidR="36FF1837">
        <w:rPr/>
        <w:t>Backtesting</w:t>
      </w:r>
      <w:r w:rsidR="36FF1837">
        <w:rPr/>
        <w:t xml:space="preserve"> Analysis</w:t>
      </w:r>
    </w:p>
    <w:p w:rsidR="0D584B86" w:rsidP="31BDC97B" w:rsidRDefault="0D584B86" w14:paraId="7B73E577" w14:textId="36AD4C14">
      <w:pPr>
        <w:pStyle w:val="Normal"/>
      </w:pPr>
      <w:r w:rsidR="0D584B86">
        <w:drawing>
          <wp:inline wp14:editId="03781CFC" wp14:anchorId="389F667A">
            <wp:extent cx="5943600" cy="1990725"/>
            <wp:effectExtent l="0" t="0" r="0" b="0"/>
            <wp:docPr id="434276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276525" name="Picture 434276525"/>
                    <pic:cNvPicPr/>
                  </pic:nvPicPr>
                  <pic:blipFill>
                    <a:blip xmlns:r="http://schemas.openxmlformats.org/officeDocument/2006/relationships" r:embed="rId2082747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2D702" w:rsidP="31BDC97B" w:rsidRDefault="1E72D702" w14:paraId="2815E225" w14:textId="47B17A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The spread-based (OU-Implied) approach is better than Historical MPT on a risk-adjusted basis:</w:t>
      </w:r>
      <w:r>
        <w:br/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- Sharpe 1.03 vs 0.14 — massively better risk-adjusted returns than Historical MPT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- Volatility 8.2% vs 13.9% — nearly half the volatility of Historical MPT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- Max drawdown -6.1% vs -15.3% — much shallower drawdowns</w:t>
      </w:r>
      <w:r>
        <w:br/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However, there's nuance:</w:t>
      </w:r>
      <w:r>
        <w:br/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- The S&amp;P 500 has a higher Sharpe (1.11) and far higher total return (44.3%), meaning a simple passive index beat both strategies on raw performance. The OU-Implied approach does offer much lower volatility (8.2% vs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16.0%) and drawdown (-6.1% vs -18.9%), so 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better as a risk-reduction / hedging tool rather than a return-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maximisation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strategy.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per-pair 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backtest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results are negative (Sharpe ratios of -0.39, -0.59, -0.29), meaning the z-score mean-reversion engine itself lost money on individual pairs during this OOS period. The positive OU-Implied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portfolio returns come from the spread return construction (long y, short 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hedge_ratio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x) weighted by min-variance weights, not from the trading engine.</w:t>
      </w:r>
      <w:r>
        <w:br/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Bottom line: The spread-based approach clearly dominates Historical MPT and offers the lowest risk profile of any strategy, but it 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beat passive S&amp;P 500 on total return — it trades return for substantially</w:t>
      </w:r>
      <w:r>
        <w:br/>
      </w:r>
      <w:r w:rsidRPr="31BDC97B" w:rsidR="1E72D702">
        <w:rPr>
          <w:rFonts w:ascii="Aptos" w:hAnsi="Aptos" w:eastAsia="Aptos" w:cs="Aptos"/>
          <w:noProof w:val="0"/>
          <w:sz w:val="24"/>
          <w:szCs w:val="24"/>
          <w:lang w:val="en-US"/>
        </w:rPr>
        <w:t>lower risk.</w:t>
      </w:r>
    </w:p>
    <w:p w:rsidR="31BDC97B" w:rsidP="31BDC97B" w:rsidRDefault="31BDC97B" w14:paraId="2EDA170F" w14:textId="160F2BA2">
      <w:pPr>
        <w:pStyle w:val="Normal"/>
      </w:pPr>
    </w:p>
    <w:p w:rsidR="0E03537D" w:rsidP="31BDC97B" w:rsidRDefault="0E03537D" w14:paraId="0831035C" w14:textId="3F98969E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E03537D">
        <w:rPr/>
        <w:t xml:space="preserve">Analysis from Pairs Trading </w:t>
      </w:r>
      <w:r w:rsidR="0E03537D">
        <w:rPr/>
        <w:t>Backtesting</w:t>
      </w:r>
      <w:r w:rsidR="0E03537D">
        <w:rPr/>
        <w:t xml:space="preserve"> Engine</w:t>
      </w:r>
    </w:p>
    <w:p w:rsidR="2BD09278" w:rsidP="31BDC97B" w:rsidRDefault="2BD09278" w14:paraId="045A6BED" w14:textId="2E53A28D">
      <w:pPr>
        <w:pStyle w:val="Normal"/>
      </w:pPr>
      <w:r w:rsidR="2BD09278">
        <w:drawing>
          <wp:inline wp14:editId="4385AA49" wp14:anchorId="28469DE3">
            <wp:extent cx="5943600" cy="1419225"/>
            <wp:effectExtent l="0" t="0" r="0" b="0"/>
            <wp:docPr id="28585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854210" name="Picture 285854210"/>
                    <pic:cNvPicPr/>
                  </pic:nvPicPr>
                  <pic:blipFill>
                    <a:blip xmlns:r="http://schemas.openxmlformats.org/officeDocument/2006/relationships" r:embed="rId1926461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09278" w:rsidP="31BDC97B" w:rsidRDefault="2BD09278" w14:paraId="19E4A8CB" w14:textId="478C92A3">
      <w:pPr>
        <w:pStyle w:val="Normal"/>
      </w:pPr>
      <w:r w:rsidR="2BD09278">
        <w:rPr/>
        <w:t xml:space="preserve">All pairs resulted in losing money. </w:t>
      </w:r>
      <w:r w:rsidR="2BD09278">
        <w:rPr/>
        <w:t xml:space="preserve">The </w:t>
      </w:r>
      <w:r w:rsidR="2BD09278">
        <w:rPr/>
        <w:t xml:space="preserve">same </w:t>
      </w:r>
      <w:r w:rsidR="2BD09278">
        <w:rPr/>
        <w:t>spread</w:t>
      </w:r>
      <w:r w:rsidR="2BD09278">
        <w:rPr/>
        <w:t xml:space="preserve"> information that fails when used for dynamic signal trading succeeds when used for static portfolio construction. The z-score at </w:t>
      </w:r>
      <w:r w:rsidR="2BD09278">
        <w:rPr/>
        <w:t>end</w:t>
      </w:r>
      <w:r w:rsidR="2BD09278">
        <w:rPr/>
        <w:t xml:space="preserve"> of IS (used in OU μ) is informative for portfolio weights but not for a 2-year trading signal.</w:t>
      </w:r>
    </w:p>
    <w:p w:rsidR="31BDC97B" w:rsidP="31BDC97B" w:rsidRDefault="31BDC97B" w14:paraId="3C61BECC" w14:textId="515E4808">
      <w:pPr>
        <w:pStyle w:val="Normal"/>
      </w:pPr>
    </w:p>
    <w:p w:rsidR="2BD09278" w:rsidP="31BDC97B" w:rsidRDefault="2BD09278" w14:paraId="4C892E65" w14:textId="66D6DF69">
      <w:pPr>
        <w:pStyle w:val="Normal"/>
      </w:pPr>
      <w:r w:rsidR="2BD09278">
        <w:rPr/>
        <w:t xml:space="preserve">The cointegration </w:t>
      </w:r>
      <w:r w:rsidR="0E03537D">
        <w:rPr/>
        <w:t xml:space="preserve">Broke down out of sample based on z-score - </w:t>
      </w:r>
    </w:p>
    <w:p w:rsidR="0E03537D" w:rsidP="31BDC97B" w:rsidRDefault="0E03537D" w14:paraId="32A0B7CC" w14:textId="79BBA31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E03537D">
        <w:rPr/>
        <w:t xml:space="preserve">    CVX.N / XOM.N</w:t>
      </w:r>
    </w:p>
    <w:p w:rsidR="0E03537D" w:rsidP="31BDC97B" w:rsidRDefault="0E03537D" w14:paraId="54C31B89" w14:textId="3C84364F">
      <w:pPr>
        <w:pStyle w:val="Normal"/>
      </w:pPr>
      <w:r w:rsidR="0E03537D">
        <w:rPr/>
        <w:t xml:space="preserve">    - Z-Score range: -4.291 to +3.807</w:t>
      </w:r>
    </w:p>
    <w:p w:rsidR="0E03537D" w:rsidP="31BDC97B" w:rsidRDefault="0E03537D" w14:paraId="41D3EC9E" w14:textId="7B56176C">
      <w:pPr>
        <w:pStyle w:val="Normal"/>
      </w:pPr>
      <w:r w:rsidR="0E03537D">
        <w:rPr/>
        <w:t xml:space="preserve">    - Breaches the stop-loss threshold (±4.0) on the downside</w:t>
      </w:r>
    </w:p>
    <w:p w:rsidR="0E03537D" w:rsidP="31BDC97B" w:rsidRDefault="0E03537D" w14:paraId="584AB18C" w14:textId="751DC6EA">
      <w:pPr>
        <w:pStyle w:val="Normal"/>
      </w:pPr>
      <w:r w:rsidR="0E03537D">
        <w:rPr/>
        <w:t xml:space="preserve">    - Sharpe: -0.39, negative total return</w:t>
      </w:r>
    </w:p>
    <w:p w:rsidR="0E03537D" w:rsidP="31BDC97B" w:rsidRDefault="0E03537D" w14:paraId="60312A7B" w14:textId="5D43E39A">
      <w:pPr>
        <w:pStyle w:val="Normal"/>
      </w:pPr>
      <w:r w:rsidR="0E03537D">
        <w:rPr/>
        <w:t xml:space="preserve">    - 7 trades, ~50% win rate — looks like mean-reversion is weak</w:t>
      </w:r>
    </w:p>
    <w:p w:rsidR="0E03537D" w:rsidP="31BDC97B" w:rsidRDefault="0E03537D" w14:paraId="12C257A9" w14:textId="6B37E523">
      <w:pPr>
        <w:pStyle w:val="Normal"/>
      </w:pPr>
      <w:r w:rsidR="0E03537D">
        <w:rPr/>
        <w:t xml:space="preserve"> </w:t>
      </w:r>
    </w:p>
    <w:p w:rsidR="0E03537D" w:rsidP="31BDC97B" w:rsidRDefault="0E03537D" w14:paraId="7E576F0B" w14:textId="76335C5D">
      <w:pPr>
        <w:pStyle w:val="Normal"/>
      </w:pPr>
      <w:r w:rsidR="0E03537D">
        <w:rPr/>
        <w:t xml:space="preserve">    KO.N / PEP.O</w:t>
      </w:r>
    </w:p>
    <w:p w:rsidR="0E03537D" w:rsidP="31BDC97B" w:rsidRDefault="0E03537D" w14:paraId="232232C0" w14:textId="5CC27448">
      <w:pPr>
        <w:pStyle w:val="Normal"/>
      </w:pPr>
      <w:r w:rsidR="0E03537D">
        <w:rPr/>
        <w:t xml:space="preserve">    - Z-Score range: -4.129 to +3.403</w:t>
      </w:r>
    </w:p>
    <w:p w:rsidR="0E03537D" w:rsidP="31BDC97B" w:rsidRDefault="0E03537D" w14:paraId="624F2BC0" w14:textId="43548233">
      <w:pPr>
        <w:pStyle w:val="Normal"/>
      </w:pPr>
      <w:r w:rsidR="0E03537D">
        <w:rPr/>
        <w:t xml:space="preserve">    - Also breaches stop-loss on the downside</w:t>
      </w:r>
    </w:p>
    <w:p w:rsidR="0E03537D" w:rsidP="31BDC97B" w:rsidRDefault="0E03537D" w14:paraId="771554FF" w14:textId="39789DA4">
      <w:pPr>
        <w:pStyle w:val="Normal"/>
      </w:pPr>
      <w:r w:rsidR="0E03537D">
        <w:rPr/>
        <w:t xml:space="preserve">    - Sharpe: -0.59 (worst of the three), -5.3% total return</w:t>
      </w:r>
    </w:p>
    <w:p w:rsidR="0E03537D" w:rsidP="31BDC97B" w:rsidRDefault="0E03537D" w14:paraId="65D56CE1" w14:textId="4DA38CFA">
      <w:pPr>
        <w:pStyle w:val="Normal"/>
      </w:pPr>
      <w:r w:rsidR="0E03537D">
        <w:rPr/>
        <w:t xml:space="preserve">    - Heavy short bias (217 days short vs 94 long) — persistent directional drift suggests the spread is trending, not mean-reverting</w:t>
      </w:r>
    </w:p>
    <w:p w:rsidR="0E03537D" w:rsidP="31BDC97B" w:rsidRDefault="0E03537D" w14:paraId="2892C4ED" w14:textId="24A43B66">
      <w:pPr>
        <w:pStyle w:val="Normal"/>
      </w:pPr>
      <w:r w:rsidR="0E03537D">
        <w:rPr/>
        <w:t xml:space="preserve"> </w:t>
      </w:r>
    </w:p>
    <w:p w:rsidR="0E03537D" w:rsidP="31BDC97B" w:rsidRDefault="0E03537D" w14:paraId="5ACF430E" w14:textId="2F0F89DA">
      <w:pPr>
        <w:pStyle w:val="Normal"/>
      </w:pPr>
      <w:r w:rsidR="0E03537D">
        <w:rPr/>
        <w:t xml:space="preserve">    GS.N / MS.N</w:t>
      </w:r>
    </w:p>
    <w:p w:rsidR="0E03537D" w:rsidP="31BDC97B" w:rsidRDefault="0E03537D" w14:paraId="5CDA9AAC" w14:textId="65E17F52">
      <w:pPr>
        <w:pStyle w:val="Normal"/>
      </w:pPr>
      <w:r w:rsidR="0E03537D">
        <w:rPr/>
        <w:t xml:space="preserve">    - Z-Score range: -2.714 to +5.069</w:t>
      </w:r>
    </w:p>
    <w:p w:rsidR="0E03537D" w:rsidP="31BDC97B" w:rsidRDefault="0E03537D" w14:paraId="10562539" w14:textId="5CE16735">
      <w:pPr>
        <w:pStyle w:val="Normal"/>
      </w:pPr>
      <w:r w:rsidR="0E03537D">
        <w:rPr/>
        <w:t xml:space="preserve">    - Breaches stop-loss significantly on the upside (z = 5.07 vs threshold of 4.0)</w:t>
      </w:r>
    </w:p>
    <w:p w:rsidR="0E03537D" w:rsidP="31BDC97B" w:rsidRDefault="0E03537D" w14:paraId="2EEF7257" w14:textId="3093DFBB">
      <w:pPr>
        <w:pStyle w:val="Normal"/>
      </w:pPr>
      <w:r w:rsidR="0E03537D">
        <w:rPr/>
        <w:t xml:space="preserve">    - Sharpe: -0.29, -8.3% total return</w:t>
      </w:r>
    </w:p>
    <w:p w:rsidR="0E03537D" w:rsidP="31BDC97B" w:rsidRDefault="0E03537D" w14:paraId="4623D50B" w14:textId="631EBF2B">
      <w:pPr>
        <w:pStyle w:val="Normal"/>
      </w:pPr>
      <w:r w:rsidR="0E03537D">
        <w:rPr/>
        <w:t xml:space="preserve">    - Massive short bias (245 days short vs 38 long) — the spread appears to have a structural upward drift</w:t>
      </w:r>
    </w:p>
    <w:p w:rsidR="0E03537D" w:rsidP="31BDC97B" w:rsidRDefault="0E03537D" w14:paraId="748C15A3" w14:textId="5E2DEF05">
      <w:pPr>
        <w:pStyle w:val="Normal"/>
      </w:pPr>
      <w:r w:rsidR="0E03537D">
        <w:rPr/>
        <w:t xml:space="preserve"> </w:t>
      </w:r>
    </w:p>
    <w:p w:rsidR="0E03537D" w:rsidP="31BDC97B" w:rsidRDefault="0E03537D" w14:paraId="58506443" w14:textId="63C94E47">
      <w:pPr>
        <w:pStyle w:val="Normal"/>
      </w:pPr>
      <w:r w:rsidR="0E03537D">
        <w:rPr/>
        <w:t xml:space="preserve"> Key warning signs:</w:t>
      </w:r>
    </w:p>
    <w:p w:rsidR="0E03537D" w:rsidP="31BDC97B" w:rsidRDefault="0E03537D" w14:paraId="4B828445" w14:textId="367B69CB">
      <w:pPr>
        <w:pStyle w:val="Normal"/>
      </w:pPr>
      <w:r w:rsidR="0E03537D">
        <w:rPr/>
        <w:t xml:space="preserve">    1. All three pairs have negative Sharpe ratios in the OOS period — mean-reversion is not profitable</w:t>
      </w:r>
    </w:p>
    <w:p w:rsidR="0E03537D" w:rsidP="31BDC97B" w:rsidRDefault="0E03537D" w14:paraId="77636F7D" w14:textId="5F9B8F01">
      <w:pPr>
        <w:pStyle w:val="Normal"/>
      </w:pPr>
      <w:r w:rsidR="0E03537D">
        <w:rPr/>
        <w:t xml:space="preserve">    2. Multiple stop-loss breaches — z-scores exceeding ±4 indicate the in-sample cointegration relationship is not holding</w:t>
      </w:r>
    </w:p>
    <w:p w:rsidR="0E03537D" w:rsidP="31BDC97B" w:rsidRDefault="0E03537D" w14:paraId="3558EDAE" w14:textId="018C8BCA">
      <w:pPr>
        <w:pStyle w:val="Normal"/>
      </w:pPr>
      <w:r w:rsidR="0E03537D">
        <w:rPr/>
        <w:t xml:space="preserve">    3. Directional position biases — KO/PEP and GS/MS spend far more time short than long, suggesting persistent spread drift rather than mean-reversion</w:t>
      </w:r>
    </w:p>
    <w:p w:rsidR="0E03537D" w:rsidP="31BDC97B" w:rsidRDefault="0E03537D" w14:paraId="1BE38A27" w14:textId="3FF945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E03537D">
        <w:rPr/>
        <w:t xml:space="preserve">    4. Win rates near 50% — no edge from the mean-reversion signal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b09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40f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33840"/>
    <w:rsid w:val="0095FA5F"/>
    <w:rsid w:val="022E9070"/>
    <w:rsid w:val="033DE92E"/>
    <w:rsid w:val="03A2ABFF"/>
    <w:rsid w:val="047B302B"/>
    <w:rsid w:val="068A443E"/>
    <w:rsid w:val="0B2473D8"/>
    <w:rsid w:val="0BE1BB56"/>
    <w:rsid w:val="0C6A651A"/>
    <w:rsid w:val="0D584B86"/>
    <w:rsid w:val="0E03537D"/>
    <w:rsid w:val="0EDAEF44"/>
    <w:rsid w:val="0FF2B896"/>
    <w:rsid w:val="10B370A1"/>
    <w:rsid w:val="11B14261"/>
    <w:rsid w:val="13C77DC2"/>
    <w:rsid w:val="1450EC65"/>
    <w:rsid w:val="161C7415"/>
    <w:rsid w:val="16BFE1B8"/>
    <w:rsid w:val="17B638E0"/>
    <w:rsid w:val="194C6A6A"/>
    <w:rsid w:val="19912536"/>
    <w:rsid w:val="19EF906F"/>
    <w:rsid w:val="1ADAAE4C"/>
    <w:rsid w:val="1D21E4A2"/>
    <w:rsid w:val="1DA9923F"/>
    <w:rsid w:val="1E07A264"/>
    <w:rsid w:val="1E72D702"/>
    <w:rsid w:val="21539923"/>
    <w:rsid w:val="22659C12"/>
    <w:rsid w:val="240CFF62"/>
    <w:rsid w:val="24F61FA9"/>
    <w:rsid w:val="2696ECE1"/>
    <w:rsid w:val="2BB81102"/>
    <w:rsid w:val="2BD09278"/>
    <w:rsid w:val="2D454807"/>
    <w:rsid w:val="2E6DA67B"/>
    <w:rsid w:val="2F96EEE0"/>
    <w:rsid w:val="31BDC97B"/>
    <w:rsid w:val="33084CE3"/>
    <w:rsid w:val="330B9D34"/>
    <w:rsid w:val="33C7F893"/>
    <w:rsid w:val="354D3C34"/>
    <w:rsid w:val="36FF1837"/>
    <w:rsid w:val="3C8590D5"/>
    <w:rsid w:val="3CCCF31E"/>
    <w:rsid w:val="3CD88330"/>
    <w:rsid w:val="3FA46884"/>
    <w:rsid w:val="40CD535E"/>
    <w:rsid w:val="41FAF7A0"/>
    <w:rsid w:val="427E1A65"/>
    <w:rsid w:val="43037480"/>
    <w:rsid w:val="4455F2E1"/>
    <w:rsid w:val="44777B8B"/>
    <w:rsid w:val="4A583B95"/>
    <w:rsid w:val="4B1E830F"/>
    <w:rsid w:val="4C5D4A35"/>
    <w:rsid w:val="4C7B670C"/>
    <w:rsid w:val="4C8B5440"/>
    <w:rsid w:val="4E487B8A"/>
    <w:rsid w:val="50FA2B58"/>
    <w:rsid w:val="510EE9AA"/>
    <w:rsid w:val="5239540B"/>
    <w:rsid w:val="523AB1BA"/>
    <w:rsid w:val="53070376"/>
    <w:rsid w:val="53716F63"/>
    <w:rsid w:val="544007F5"/>
    <w:rsid w:val="5440F9AA"/>
    <w:rsid w:val="54D646E0"/>
    <w:rsid w:val="55A5296A"/>
    <w:rsid w:val="56A33840"/>
    <w:rsid w:val="594914F7"/>
    <w:rsid w:val="5BAAE452"/>
    <w:rsid w:val="5CA53F95"/>
    <w:rsid w:val="5EF3C4E8"/>
    <w:rsid w:val="5F013E30"/>
    <w:rsid w:val="61C653AB"/>
    <w:rsid w:val="63B8D73C"/>
    <w:rsid w:val="65FE411A"/>
    <w:rsid w:val="67354A2A"/>
    <w:rsid w:val="6803DBE6"/>
    <w:rsid w:val="6B7BB441"/>
    <w:rsid w:val="6C432047"/>
    <w:rsid w:val="6E034E8C"/>
    <w:rsid w:val="6F2C754D"/>
    <w:rsid w:val="700EFD04"/>
    <w:rsid w:val="70CD5EC7"/>
    <w:rsid w:val="78D246B2"/>
    <w:rsid w:val="79A005AA"/>
    <w:rsid w:val="7A822404"/>
    <w:rsid w:val="7E038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3840"/>
  <w15:chartTrackingRefBased/>
  <w15:docId w15:val="{E832A188-101F-4CFF-A051-616220B6CB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8B544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7354A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3CCCF3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b0117bb5514eea" /><Relationship Type="http://schemas.openxmlformats.org/officeDocument/2006/relationships/image" Target="/media/image.png" Id="rId309874081" /><Relationship Type="http://schemas.openxmlformats.org/officeDocument/2006/relationships/image" Target="/media/image2.png" Id="rId60504959" /><Relationship Type="http://schemas.openxmlformats.org/officeDocument/2006/relationships/image" Target="/media/image3.png" Id="rId2000481795" /><Relationship Type="http://schemas.openxmlformats.org/officeDocument/2006/relationships/image" Target="/media/image4.png" Id="rId143318373" /><Relationship Type="http://schemas.openxmlformats.org/officeDocument/2006/relationships/image" Target="/media/image5.png" Id="rId2082747092" /><Relationship Type="http://schemas.openxmlformats.org/officeDocument/2006/relationships/image" Target="/media/image6.png" Id="rId19264617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2025-12-22T15:38:21.9362038Z</dcterms:created>
  <dcterms:modified xsi:type="dcterms:W3CDTF">2026-03-13T13:10:10.9208877Z</dcterms:modified>
  <dc:creator>Loo, Declan</dc:creator>
  <lastModifiedBy>Declan Loo</lastModifiedBy>
</coreProperties>
</file>