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11F638B" w:rsidP="093A71AD" w:rsidRDefault="011F638B" w14:paraId="57B3DA88" w14:textId="53FD8F31">
      <w:pPr>
        <w:pStyle w:val="Heading1"/>
      </w:pPr>
      <w:r w:rsidR="011F638B">
        <w:rPr/>
        <w:t>Research</w:t>
      </w:r>
    </w:p>
    <w:p xmlns:wp14="http://schemas.microsoft.com/office/word/2010/wordml" wp14:paraId="2C078E63" wp14:textId="4085322D">
      <w:r w:rsidRPr="093A71AD" w:rsidR="53340113">
        <w:rPr>
          <w:b w:val="1"/>
          <w:bCs w:val="1"/>
        </w:rPr>
        <w:t>Cointegration</w:t>
      </w:r>
      <w:r w:rsidR="53340113">
        <w:rPr/>
        <w:t>:</w:t>
      </w:r>
    </w:p>
    <w:p w:rsidR="08A07F47" w:rsidP="281D7479" w:rsidRDefault="08A07F47" w14:paraId="6455D2DD" w14:textId="6314DBB6">
      <w:pPr>
        <w:spacing w:before="0" w:beforeAutospacing="off" w:after="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281D7479" w:rsidR="08A07F4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Engle, Robert F., and C. W. J. Granger. “Co-Integration and Error Correction: Representation, Estimation, and Testing.” </w:t>
      </w:r>
      <w:r w:rsidRPr="281D7479" w:rsidR="08A07F4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Econometrica</w:t>
      </w:r>
      <w:r w:rsidRPr="281D7479" w:rsidR="08A07F4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, vol. 55, no. 2, 1987, pp. 251–76. </w:t>
      </w:r>
      <w:r w:rsidRPr="281D7479" w:rsidR="08A07F4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JSTOR</w:t>
      </w:r>
      <w:r w:rsidRPr="281D7479" w:rsidR="08A07F4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, </w:t>
      </w:r>
      <w:hyperlink r:id="Rcd2865a84a31485e">
        <w:r w:rsidRPr="281D7479" w:rsidR="08A07F47">
          <w:rPr>
            <w:rStyle w:val="Hyperlink"/>
            <w:rFonts w:ascii="Times New Roman" w:hAnsi="Times New Roman" w:eastAsia="Times New Roman" w:cs="Times New Roman"/>
            <w:i w:val="1"/>
            <w:iCs w:val="1"/>
            <w:noProof w:val="0"/>
            <w:sz w:val="24"/>
            <w:szCs w:val="24"/>
            <w:lang w:val="en-US"/>
          </w:rPr>
          <w:t>https://doi.org/10.2307/1913236</w:t>
        </w:r>
      </w:hyperlink>
      <w:r w:rsidRPr="281D7479" w:rsidR="08A07F4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. Accessed 3 Nov. 2025.</w:t>
      </w:r>
    </w:p>
    <w:p w:rsidR="281D7479" w:rsidRDefault="281D7479" w14:paraId="66FF9746" w14:textId="6B9E0BE0"/>
    <w:p w:rsidR="08A07F47" w:rsidRDefault="08A07F47" w14:paraId="5A3E5690" w14:textId="430DED11">
      <w:r w:rsidR="08A07F47">
        <w:rPr/>
        <w:t>Cointegration tests identify scenarios where two or more non-stationary time series are integrated together in a way that they cannot deviate from equilibrium in the long term. The tests are used to identify the degree of sensitivity of two variables to the same average price over a specified period of time.</w:t>
      </w:r>
    </w:p>
    <w:p w:rsidR="281D7479" w:rsidRDefault="281D7479" w14:paraId="2688FB89" w14:textId="1AE86DDE"/>
    <w:p w:rsidR="08A07F47" w:rsidRDefault="08A07F47" w14:paraId="653DA742" w14:textId="070FD5B1">
      <w:r w:rsidR="08A07F47">
        <w:rPr/>
        <w:t xml:space="preserve">Why is it important when </w:t>
      </w:r>
      <w:r w:rsidR="08A07F47">
        <w:rPr/>
        <w:t>analysing</w:t>
      </w:r>
      <w:r w:rsidR="08A07F47">
        <w:rPr/>
        <w:t xml:space="preserve"> the spread of two assets?</w:t>
      </w:r>
    </w:p>
    <w:p w:rsidR="08A07F47" w:rsidP="281D7479" w:rsidRDefault="08A07F47" w14:paraId="62FBA3C2" w14:textId="150C14F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81D7479" w:rsidR="08A07F47">
        <w:rPr>
          <w:sz w:val="24"/>
          <w:szCs w:val="24"/>
        </w:rPr>
        <w:t xml:space="preserve">One </w:t>
      </w:r>
      <w:r w:rsidRPr="281D7479" w:rsidR="08A07F47">
        <w:rPr>
          <w:sz w:val="24"/>
          <w:szCs w:val="24"/>
        </w:rPr>
        <w:t>go</w:t>
      </w:r>
      <w:r w:rsidRPr="281D7479" w:rsidR="08A07F47">
        <w:rPr>
          <w:sz w:val="24"/>
          <w:szCs w:val="24"/>
        </w:rPr>
        <w:t xml:space="preserve"> short / long (use that as advantage to make trades so we can </w:t>
      </w:r>
      <w:r w:rsidRPr="281D7479" w:rsidR="08A07F47">
        <w:rPr>
          <w:sz w:val="24"/>
          <w:szCs w:val="24"/>
        </w:rPr>
        <w:t>optimise</w:t>
      </w:r>
      <w:r w:rsidRPr="281D7479" w:rsidR="08A07F47">
        <w:rPr>
          <w:sz w:val="24"/>
          <w:szCs w:val="24"/>
        </w:rPr>
        <w:t xml:space="preserve"> a portfolio) - from FYP meeting</w:t>
      </w:r>
    </w:p>
    <w:p w:rsidR="281D7479" w:rsidP="281D7479" w:rsidRDefault="281D7479" w14:paraId="18CED9FB" w14:textId="1065CAFB">
      <w:pPr>
        <w:pStyle w:val="Normal"/>
        <w:rPr>
          <w:sz w:val="24"/>
          <w:szCs w:val="24"/>
        </w:rPr>
      </w:pPr>
    </w:p>
    <w:p w:rsidR="08A07F47" w:rsidP="281D7479" w:rsidRDefault="08A07F47" w14:paraId="54F7347C" w14:textId="19442D4C">
      <w:pPr>
        <w:pStyle w:val="Normal"/>
        <w:rPr>
          <w:sz w:val="24"/>
          <w:szCs w:val="24"/>
        </w:rPr>
      </w:pPr>
      <w:r w:rsidRPr="281D7479" w:rsidR="08A07F47">
        <w:rPr>
          <w:sz w:val="24"/>
          <w:szCs w:val="24"/>
        </w:rPr>
        <w:t>How does cointegration help with predicting the spread of two assets?</w:t>
      </w:r>
    </w:p>
    <w:p w:rsidR="281D7479" w:rsidP="281D7479" w:rsidRDefault="281D7479" w14:paraId="01A1A793" w14:textId="57079729">
      <w:pPr>
        <w:pStyle w:val="Normal"/>
        <w:rPr>
          <w:sz w:val="24"/>
          <w:szCs w:val="24"/>
        </w:rPr>
      </w:pPr>
    </w:p>
    <w:p w:rsidR="08A07F47" w:rsidP="281D7479" w:rsidRDefault="08A07F47" w14:paraId="09C3638C" w14:textId="112B648F">
      <w:pPr>
        <w:pStyle w:val="Normal"/>
        <w:rPr>
          <w:sz w:val="24"/>
          <w:szCs w:val="24"/>
        </w:rPr>
      </w:pPr>
      <w:r w:rsidRPr="281D7479" w:rsidR="08A07F47">
        <w:rPr>
          <w:sz w:val="24"/>
          <w:szCs w:val="24"/>
        </w:rPr>
        <w:t xml:space="preserve">How far does your past data need to be </w:t>
      </w:r>
      <w:r w:rsidRPr="281D7479" w:rsidR="08A07F47">
        <w:rPr>
          <w:sz w:val="24"/>
          <w:szCs w:val="24"/>
        </w:rPr>
        <w:t>in order to</w:t>
      </w:r>
      <w:r w:rsidRPr="281D7479" w:rsidR="08A07F47">
        <w:rPr>
          <w:sz w:val="24"/>
          <w:szCs w:val="24"/>
        </w:rPr>
        <w:t xml:space="preserve"> make predictions?</w:t>
      </w:r>
    </w:p>
    <w:p w:rsidR="17A931F8" w:rsidP="54131E70" w:rsidRDefault="17A931F8" w14:paraId="69070C58" w14:textId="05998BD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4131E70" w:rsidR="17A931F8">
        <w:rPr>
          <w:sz w:val="24"/>
          <w:szCs w:val="24"/>
        </w:rPr>
        <w:t xml:space="preserve">Refer to the notebook – </w:t>
      </w:r>
      <w:r w:rsidRPr="54131E70" w:rsidR="17A931F8">
        <w:rPr>
          <w:sz w:val="24"/>
          <w:szCs w:val="24"/>
        </w:rPr>
        <w:t>i</w:t>
      </w:r>
      <w:r w:rsidRPr="54131E70" w:rsidR="17A931F8">
        <w:rPr>
          <w:sz w:val="24"/>
          <w:szCs w:val="24"/>
        </w:rPr>
        <w:t xml:space="preserve"> will write code that dopes analysis</w:t>
      </w:r>
    </w:p>
    <w:p w:rsidR="54131E70" w:rsidP="54131E70" w:rsidRDefault="54131E70" w14:paraId="099FB4B7" w14:textId="69006ED2">
      <w:pPr>
        <w:pStyle w:val="Normal"/>
        <w:rPr>
          <w:sz w:val="24"/>
          <w:szCs w:val="24"/>
        </w:rPr>
      </w:pPr>
    </w:p>
    <w:p w:rsidR="291846C9" w:rsidP="54131E70" w:rsidRDefault="291846C9" w14:paraId="1DB0D682" w14:textId="3D596C28">
      <w:pPr>
        <w:pStyle w:val="Normal"/>
        <w:rPr>
          <w:sz w:val="24"/>
          <w:szCs w:val="24"/>
        </w:rPr>
      </w:pPr>
      <w:r w:rsidRPr="54131E70" w:rsidR="291846C9">
        <w:rPr>
          <w:sz w:val="24"/>
          <w:szCs w:val="24"/>
        </w:rPr>
        <w:t>Cointegration</w:t>
      </w:r>
    </w:p>
    <w:p w:rsidR="54131E70" w:rsidP="54131E70" w:rsidRDefault="54131E70" w14:paraId="3ED1BBD4" w14:textId="554491A0">
      <w:pPr>
        <w:pStyle w:val="Normal"/>
        <w:rPr>
          <w:sz w:val="24"/>
          <w:szCs w:val="24"/>
        </w:rPr>
      </w:pPr>
    </w:p>
    <w:p w:rsidR="65A840B5" w:rsidP="093A71AD" w:rsidRDefault="65A840B5" w14:paraId="7D9091EB" w14:textId="24C07A1A">
      <w:pPr>
        <w:pStyle w:val="Normal"/>
        <w:rPr>
          <w:b w:val="1"/>
          <w:bCs w:val="1"/>
          <w:sz w:val="24"/>
          <w:szCs w:val="24"/>
        </w:rPr>
      </w:pPr>
      <w:r w:rsidRPr="093A71AD" w:rsidR="48813597">
        <w:rPr>
          <w:b w:val="1"/>
          <w:bCs w:val="1"/>
          <w:sz w:val="24"/>
          <w:szCs w:val="24"/>
        </w:rPr>
        <w:t>Pairs trading</w:t>
      </w:r>
    </w:p>
    <w:p w:rsidR="54131E70" w:rsidP="093A71AD" w:rsidRDefault="54131E70" w14:paraId="053F60B9" w14:textId="0030A0C0">
      <w:pPr>
        <w:pStyle w:val="Normal"/>
        <w:ind/>
      </w:pPr>
      <w:r w:rsidR="7816F3B8">
        <w:drawing>
          <wp:inline wp14:editId="3BDBE507" wp14:anchorId="0405BCDF">
            <wp:extent cx="5943600" cy="4857750"/>
            <wp:effectExtent l="0" t="0" r="0" b="0"/>
            <wp:docPr id="454498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4498999" name="Picture 454498999"/>
                    <pic:cNvPicPr/>
                  </pic:nvPicPr>
                  <pic:blipFill>
                    <a:blip xmlns:r="http://schemas.openxmlformats.org/officeDocument/2006/relationships" r:embed="rId672059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131E70" w:rsidP="093A71AD" w:rsidRDefault="54131E70" w14:paraId="38E892D6" w14:textId="7EC089AC">
      <w:pPr>
        <w:pStyle w:val="Normal"/>
        <w:spacing w:before="240" w:beforeAutospacing="off" w:after="240" w:afterAutospacing="off"/>
        <w:ind w:left="0"/>
      </w:pPr>
      <w:r w:rsidR="437A37CE">
        <w:drawing>
          <wp:inline wp14:editId="305B1376" wp14:anchorId="673588A8">
            <wp:extent cx="5715000" cy="4838700"/>
            <wp:effectExtent l="0" t="0" r="0" b="0"/>
            <wp:docPr id="961400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1400333" name="Picture 961400333"/>
                    <pic:cNvPicPr/>
                  </pic:nvPicPr>
                  <pic:blipFill>
                    <a:blip xmlns:r="http://schemas.openxmlformats.org/officeDocument/2006/relationships" r:embed="rId7825210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131E70" w:rsidP="093A71AD" w:rsidRDefault="54131E70" w14:paraId="0168EA19" w14:textId="48FEB20C">
      <w:pPr>
        <w:ind/>
      </w:pPr>
      <w:r w:rsidR="437A37CE">
        <w:rPr/>
        <w:t>How does it fit to FYP</w:t>
      </w:r>
    </w:p>
    <w:p w:rsidR="54131E70" w:rsidP="093A71AD" w:rsidRDefault="54131E70" w14:paraId="12D64BFD" w14:textId="591D506B">
      <w:pPr>
        <w:pStyle w:val="Normal"/>
        <w:ind/>
      </w:pPr>
      <w:r w:rsidR="437A37CE">
        <w:drawing>
          <wp:inline wp14:editId="4DF8EA57" wp14:anchorId="1A1B436E">
            <wp:extent cx="5943600" cy="2171700"/>
            <wp:effectExtent l="0" t="0" r="0" b="0"/>
            <wp:docPr id="164044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044257" name="Picture 164044257"/>
                    <pic:cNvPicPr/>
                  </pic:nvPicPr>
                  <pic:blipFill>
                    <a:blip xmlns:r="http://schemas.openxmlformats.org/officeDocument/2006/relationships" r:embed="rId6298117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131E70" w:rsidP="54131E70" w:rsidRDefault="54131E70" w14:paraId="15FACBCA" w14:textId="08473A37">
      <w:pPr>
        <w:pStyle w:val="Normal"/>
        <w:ind w:left="0"/>
        <w:rPr>
          <w:sz w:val="24"/>
          <w:szCs w:val="24"/>
        </w:rPr>
      </w:pPr>
    </w:p>
    <w:p w:rsidR="65A840B5" w:rsidP="093A71AD" w:rsidRDefault="65A840B5" w14:paraId="2D863ABA" w14:textId="7EBBAEBD">
      <w:pPr>
        <w:pStyle w:val="Normal"/>
        <w:ind w:left="0"/>
        <w:rPr>
          <w:b w:val="1"/>
          <w:bCs w:val="1"/>
          <w:sz w:val="24"/>
          <w:szCs w:val="24"/>
        </w:rPr>
      </w:pPr>
      <w:r w:rsidRPr="093A71AD" w:rsidR="48813597">
        <w:rPr>
          <w:b w:val="1"/>
          <w:bCs w:val="1"/>
          <w:sz w:val="24"/>
          <w:szCs w:val="24"/>
        </w:rPr>
        <w:t>Cointegration in pairs trading:</w:t>
      </w:r>
    </w:p>
    <w:p w:rsidR="207D18AC" w:rsidP="0524EDBF" w:rsidRDefault="207D18AC" w14:paraId="45C980C5" w14:textId="645DAA89">
      <w:pPr>
        <w:spacing w:before="0" w:beforeAutospacing="off" w:after="0" w:afterAutospacing="off" w:line="360" w:lineRule="auto"/>
        <w:jc w:val="left"/>
      </w:pPr>
      <w:hyperlink r:id="R40d88bb83b614ac9">
        <w:r w:rsidRPr="0524EDBF" w:rsidR="207D18AC">
          <w:rPr>
            <w:rStyle w:val="Hyperlink"/>
            <w:rFonts w:ascii="Open Sans" w:hAnsi="Open Sans" w:eastAsia="Open Sans" w:cs="Open San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6DB4"/>
            <w:sz w:val="24"/>
            <w:szCs w:val="24"/>
            <w:u w:val="none"/>
            <w:lang w:val="en-US"/>
          </w:rPr>
          <w:t>https://doi.org/10.1080/14697688.2016.1164337</w:t>
        </w:r>
      </w:hyperlink>
    </w:p>
    <w:p w:rsidR="54131E70" w:rsidP="54131E70" w:rsidRDefault="54131E70" w14:paraId="294BF8A9" w14:textId="2DEB53E4">
      <w:pPr>
        <w:pStyle w:val="Normal"/>
        <w:rPr>
          <w:sz w:val="24"/>
          <w:szCs w:val="24"/>
        </w:rPr>
      </w:pPr>
    </w:p>
    <w:p w:rsidR="65A840B5" w:rsidP="093A71AD" w:rsidRDefault="65A840B5" w14:paraId="6EF6C445" w14:textId="4A2147D4">
      <w:pPr>
        <w:pStyle w:val="Normal"/>
        <w:rPr>
          <w:b w:val="1"/>
          <w:bCs w:val="1"/>
          <w:sz w:val="24"/>
          <w:szCs w:val="24"/>
        </w:rPr>
      </w:pPr>
      <w:r w:rsidRPr="093A71AD" w:rsidR="48813597">
        <w:rPr>
          <w:b w:val="1"/>
          <w:bCs w:val="1"/>
          <w:sz w:val="24"/>
          <w:szCs w:val="24"/>
        </w:rPr>
        <w:t>Spread analysis:</w:t>
      </w:r>
    </w:p>
    <w:p w:rsidR="66A1CEAA" w:rsidP="093A71AD" w:rsidRDefault="66A1CEAA" w14:paraId="233D4AA2" w14:textId="2956F4DD">
      <w:pPr>
        <w:pStyle w:val="Normal"/>
        <w:rPr>
          <w:sz w:val="24"/>
          <w:szCs w:val="24"/>
        </w:rPr>
      </w:pPr>
      <w:r w:rsidRPr="093A71AD" w:rsidR="66A1CEAA">
        <w:rPr>
          <w:sz w:val="24"/>
          <w:szCs w:val="24"/>
        </w:rPr>
        <w:t xml:space="preserve">It is the framework that is built on the property of co-integration. </w:t>
      </w:r>
    </w:p>
    <w:p w:rsidR="1B10ABEA" w:rsidP="093A71AD" w:rsidRDefault="1B10ABEA" w14:paraId="2B46C69F" w14:textId="12863869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524EDBF" w:rsidR="1B10ABEA">
        <w:rPr>
          <w:sz w:val="24"/>
          <w:szCs w:val="24"/>
        </w:rPr>
        <w:t>It is what makes spread analysis valid as it shows how you use the cointegrated relationship</w:t>
      </w:r>
    </w:p>
    <w:p w:rsidR="31AF252E" w:rsidP="0524EDBF" w:rsidRDefault="31AF252E" w14:paraId="6BB6B096" w14:textId="24033BA8">
      <w:pPr>
        <w:pStyle w:val="Normal"/>
        <w:rPr>
          <w:sz w:val="24"/>
          <w:szCs w:val="24"/>
        </w:rPr>
      </w:pPr>
      <w:hyperlink r:id="R9fa20864b3bf445c">
        <w:r w:rsidRPr="0524EDBF" w:rsidR="31AF252E">
          <w:rPr>
            <w:rStyle w:val="Hyperlink"/>
            <w:sz w:val="24"/>
            <w:szCs w:val="24"/>
          </w:rPr>
          <w:t>https://databento.com/docs/examples/algo-trading/pairs-trading/setup-and-dependencies</w:t>
        </w:r>
      </w:hyperlink>
    </w:p>
    <w:p w:rsidR="31AF252E" w:rsidP="0524EDBF" w:rsidRDefault="31AF252E" w14:paraId="06F2675F" w14:textId="45A59B49">
      <w:pPr>
        <w:pStyle w:val="Normal"/>
        <w:rPr>
          <w:sz w:val="24"/>
          <w:szCs w:val="24"/>
        </w:rPr>
      </w:pPr>
      <w:r w:rsidRPr="0524EDBF" w:rsidR="31AF252E">
        <w:rPr>
          <w:sz w:val="24"/>
          <w:szCs w:val="24"/>
        </w:rPr>
        <w:t>tutorial</w:t>
      </w:r>
    </w:p>
    <w:p w:rsidR="0524EDBF" w:rsidP="0524EDBF" w:rsidRDefault="0524EDBF" w14:paraId="4AA334E1" w14:textId="78BF21B0">
      <w:pPr>
        <w:pStyle w:val="Normal"/>
        <w:rPr>
          <w:sz w:val="24"/>
          <w:szCs w:val="24"/>
        </w:rPr>
      </w:pPr>
    </w:p>
    <w:p w:rsidR="379C9096" w:rsidP="093A71AD" w:rsidRDefault="379C9096" w14:paraId="7ED2FDEA" w14:textId="0673D6DD">
      <w:pPr>
        <w:pStyle w:val="Normal"/>
        <w:rPr>
          <w:b w:val="1"/>
          <w:bCs w:val="1"/>
          <w:sz w:val="24"/>
          <w:szCs w:val="24"/>
        </w:rPr>
      </w:pPr>
      <w:r w:rsidRPr="093A71AD" w:rsidR="379C9096">
        <w:rPr>
          <w:b w:val="1"/>
          <w:bCs w:val="1"/>
          <w:sz w:val="24"/>
          <w:szCs w:val="24"/>
        </w:rPr>
        <w:t>Does Pairs Trading still work?</w:t>
      </w:r>
    </w:p>
    <w:p w:rsidR="379C9096" w:rsidP="093A71AD" w:rsidRDefault="379C9096" w14:paraId="14A19333" w14:textId="7D87DDAB">
      <w:pPr>
        <w:pStyle w:val="Normal"/>
      </w:pPr>
      <w:r w:rsidRPr="093A71AD" w:rsidR="379C909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Do, B., &amp; Faff, R. (2010). Does Simple Pairs Trading Still Work? </w:t>
      </w:r>
      <w:r w:rsidRPr="093A71AD" w:rsidR="379C9096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US"/>
        </w:rPr>
        <w:t>Financial Analysts Journal</w:t>
      </w:r>
      <w:r w:rsidRPr="093A71AD" w:rsidR="379C909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, </w:t>
      </w:r>
      <w:r w:rsidRPr="093A71AD" w:rsidR="379C9096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US"/>
        </w:rPr>
        <w:t>66</w:t>
      </w:r>
      <w:r w:rsidRPr="093A71AD" w:rsidR="379C909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(4), 83–95. </w:t>
      </w:r>
      <w:hyperlink r:id="R54df4b96c3344a30">
        <w:r w:rsidRPr="093A71AD" w:rsidR="379C9096">
          <w:rPr>
            <w:rStyle w:val="Hyperlink"/>
            <w:rFonts w:ascii="Open Sans" w:hAnsi="Open Sans" w:eastAsia="Open Sans" w:cs="Open San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https://doi.org/10.2469/faj.v66.n4.1</w:t>
        </w:r>
      </w:hyperlink>
    </w:p>
    <w:p w:rsidR="20CDC556" w:rsidP="093A71AD" w:rsidRDefault="20CDC556" w14:paraId="1563F1E2" w14:textId="2F71C7E6">
      <w:pPr>
        <w:pStyle w:val="ListParagraph"/>
        <w:numPr>
          <w:ilvl w:val="0"/>
          <w:numId w:val="6"/>
        </w:num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93A71AD" w:rsidR="20CDC55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Simple Pairs trading aka </w:t>
      </w:r>
      <w:r w:rsidRPr="093A71AD" w:rsidR="20CDC556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distance method</w:t>
      </w:r>
      <w:r w:rsidRPr="093A71AD" w:rsidR="20CDC55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is declining in profitability but useful in market turbulence (volatility)</w:t>
      </w:r>
    </w:p>
    <w:p w:rsidR="20CDC556" w:rsidP="093A71AD" w:rsidRDefault="20CDC556" w14:paraId="1C4C6434" w14:textId="60EEAE12">
      <w:pPr>
        <w:pStyle w:val="ListParagraph"/>
        <w:numPr>
          <w:ilvl w:val="0"/>
          <w:numId w:val="6"/>
        </w:numP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93A71AD" w:rsidR="20CDC55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This journal justifies the use of cointegration as my method for selecting asset pairs</w:t>
      </w:r>
    </w:p>
    <w:p w:rsidR="093A71AD" w:rsidP="093A71AD" w:rsidRDefault="093A71AD" w14:paraId="65DABFBE" w14:textId="553675D3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379C9096" w:rsidP="093A71AD" w:rsidRDefault="379C9096" w14:paraId="38094A3A" w14:textId="126901B8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093A71AD" w:rsidR="379C9096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Is Cointegration superior</w:t>
      </w:r>
    </w:p>
    <w:p w:rsidR="379C9096" w:rsidP="093A71AD" w:rsidRDefault="379C9096" w14:paraId="6AB20B06" w14:textId="4C6C4ECF">
      <w:pPr>
        <w:pStyle w:val="Normal"/>
      </w:pPr>
      <w:r w:rsidRPr="093A71AD" w:rsidR="379C909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Huck, N., &amp; Afawubo, K. (2015). Pairs trading and selection methods: is cointegration superior? </w:t>
      </w:r>
      <w:r w:rsidRPr="093A71AD" w:rsidR="379C9096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US"/>
        </w:rPr>
        <w:t>Applied Economics</w:t>
      </w:r>
      <w:r w:rsidRPr="093A71AD" w:rsidR="379C909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, </w:t>
      </w:r>
      <w:r w:rsidRPr="093A71AD" w:rsidR="379C9096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en-US"/>
        </w:rPr>
        <w:t>47</w:t>
      </w:r>
      <w:r w:rsidRPr="093A71AD" w:rsidR="379C909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(6), 599–613. </w:t>
      </w:r>
      <w:hyperlink r:id="R83ee7772532a4bed">
        <w:r w:rsidRPr="093A71AD" w:rsidR="379C9096">
          <w:rPr>
            <w:rStyle w:val="Hyperlink"/>
            <w:rFonts w:ascii="Open Sans" w:hAnsi="Open Sans" w:eastAsia="Open Sans" w:cs="Open San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https://doi.org/10.1080/00036846.2014.975417</w:t>
        </w:r>
      </w:hyperlink>
    </w:p>
    <w:p w:rsidR="379C9096" w:rsidP="093A71AD" w:rsidRDefault="379C9096" w14:paraId="292A1BCF" w14:textId="22F0FA9A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093A71AD" w:rsidR="379C909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Based on the text: it </w:t>
      </w:r>
      <w:r w:rsidRPr="093A71AD" w:rsidR="2E474AE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says that </w:t>
      </w:r>
      <w:r w:rsidRPr="093A71AD" w:rsidR="2E474AEF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cointegration is a superior method</w:t>
      </w:r>
      <w:r w:rsidRPr="093A71AD" w:rsidR="2E474AE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for pairs trading after comparing 3 methods used in pairs trading: </w:t>
      </w:r>
      <w:r w:rsidRPr="093A71AD" w:rsidR="54445C4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Distance method, </w:t>
      </w:r>
      <w:r w:rsidRPr="093A71AD" w:rsidR="54445C46">
        <w:rPr>
          <w:noProof w:val="0"/>
          <w:lang w:val="en-US"/>
        </w:rPr>
        <w:t>Stationarity (ADF ratio</w:t>
      </w:r>
      <w:r w:rsidRPr="093A71AD" w:rsidR="54445C46">
        <w:rPr>
          <w:noProof w:val="0"/>
          <w:lang w:val="en-US"/>
        </w:rPr>
        <w:t>)</w:t>
      </w:r>
      <w:r w:rsidRPr="093A71AD" w:rsidR="54445C46">
        <w:rPr>
          <w:noProof w:val="0"/>
          <w:lang w:val="en-US"/>
        </w:rPr>
        <w:t xml:space="preserve"> and Cointegration</w:t>
      </w:r>
    </w:p>
    <w:p w:rsidR="4EFC6AF6" w:rsidP="093A71AD" w:rsidRDefault="4EFC6AF6" w14:paraId="6CF90676" w14:textId="1AD1AD95">
      <w:pPr>
        <w:pStyle w:val="ListParagraph"/>
        <w:numPr>
          <w:ilvl w:val="1"/>
          <w:numId w:val="5"/>
        </w:numPr>
        <w:rPr>
          <w:noProof w:val="0"/>
          <w:lang w:val="en-US"/>
        </w:rPr>
      </w:pPr>
      <w:r w:rsidRPr="093A71AD" w:rsidR="4EFC6AF6">
        <w:rPr>
          <w:noProof w:val="0"/>
          <w:lang w:val="en-US"/>
        </w:rPr>
        <w:t xml:space="preserve">This journal further expands on distance method as it concludes that it leads to weak excess returns as </w:t>
      </w:r>
      <w:r w:rsidRPr="093A71AD" w:rsidR="4EFC6AF6">
        <w:rPr>
          <w:noProof w:val="0"/>
          <w:lang w:val="en-US"/>
        </w:rPr>
        <w:t>observed</w:t>
      </w:r>
      <w:r w:rsidRPr="093A71AD" w:rsidR="4EFC6AF6">
        <w:rPr>
          <w:noProof w:val="0"/>
          <w:lang w:val="en-US"/>
        </w:rPr>
        <w:t xml:space="preserve"> in the recent publications for the minimum distance method</w:t>
      </w:r>
    </w:p>
    <w:p w:rsidR="54445C46" w:rsidP="093A71AD" w:rsidRDefault="54445C46" w14:paraId="559FB7A7" w14:textId="48444EC9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093A71AD" w:rsidR="54445C46">
        <w:rPr>
          <w:noProof w:val="0"/>
          <w:lang w:val="en-US"/>
        </w:rPr>
        <w:t xml:space="preserve">Also </w:t>
      </w:r>
      <w:r w:rsidRPr="093A71AD" w:rsidR="54445C46">
        <w:rPr>
          <w:noProof w:val="0"/>
          <w:lang w:val="en-US"/>
        </w:rPr>
        <w:t>utilises</w:t>
      </w:r>
      <w:r w:rsidRPr="093A71AD" w:rsidR="54445C46">
        <w:rPr>
          <w:noProof w:val="0"/>
          <w:lang w:val="en-US"/>
        </w:rPr>
        <w:t xml:space="preserve"> S&amp;P 500 – just like in </w:t>
      </w:r>
      <w:r w:rsidRPr="093A71AD" w:rsidR="54445C46">
        <w:rPr>
          <w:noProof w:val="0"/>
          <w:lang w:val="en-US"/>
        </w:rPr>
        <w:t xml:space="preserve">our </w:t>
      </w:r>
      <w:r w:rsidRPr="093A71AD" w:rsidR="54445C46">
        <w:rPr>
          <w:noProof w:val="0"/>
          <w:lang w:val="en-US"/>
        </w:rPr>
        <w:t>analysis</w:t>
      </w:r>
    </w:p>
    <w:p w:rsidR="54445C46" w:rsidP="093A71AD" w:rsidRDefault="54445C46" w14:paraId="6D930D18" w14:textId="7937C265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093A71AD" w:rsidR="54445C46">
        <w:rPr>
          <w:noProof w:val="0"/>
          <w:lang w:val="en-US"/>
        </w:rPr>
        <w:t xml:space="preserve">In our analysis, we try to </w:t>
      </w:r>
      <w:r w:rsidRPr="093A71AD" w:rsidR="54445C46">
        <w:rPr>
          <w:noProof w:val="0"/>
          <w:lang w:val="en-US"/>
        </w:rPr>
        <w:t>utilise</w:t>
      </w:r>
      <w:r w:rsidRPr="093A71AD" w:rsidR="54445C46">
        <w:rPr>
          <w:noProof w:val="0"/>
          <w:lang w:val="en-US"/>
        </w:rPr>
        <w:t xml:space="preserve"> cointegration and perform </w:t>
      </w:r>
      <w:r w:rsidRPr="093A71AD" w:rsidR="54445C46">
        <w:rPr>
          <w:noProof w:val="0"/>
          <w:lang w:val="en-US"/>
        </w:rPr>
        <w:t>backtesting</w:t>
      </w:r>
      <w:r w:rsidRPr="093A71AD" w:rsidR="54445C46">
        <w:rPr>
          <w:noProof w:val="0"/>
          <w:lang w:val="en-US"/>
        </w:rPr>
        <w:t xml:space="preserve"> to prove this analysis </w:t>
      </w:r>
      <w:r w:rsidRPr="093A71AD" w:rsidR="54445C46">
        <w:rPr>
          <w:noProof w:val="0"/>
          <w:lang w:val="en-US"/>
        </w:rPr>
        <w:t>right,.</w:t>
      </w:r>
    </w:p>
    <w:p w:rsidR="093A71AD" w:rsidP="093A71AD" w:rsidRDefault="093A71AD" w14:paraId="02A03E4A" w14:textId="030607BD">
      <w:pPr>
        <w:pStyle w:val="ListParagraph"/>
        <w:numPr>
          <w:ilvl w:val="0"/>
          <w:numId w:val="5"/>
        </w:numPr>
        <w:rPr>
          <w:noProof w:val="0"/>
          <w:lang w:val="en-US"/>
        </w:rPr>
      </w:pPr>
    </w:p>
    <w:p w:rsidR="54131E70" w:rsidP="093A71AD" w:rsidRDefault="54131E70" w14:paraId="70FFE228" w14:textId="43A0F6D4">
      <w:pPr>
        <w:pStyle w:val="Normal"/>
        <w:rPr>
          <w:sz w:val="24"/>
          <w:szCs w:val="24"/>
        </w:rPr>
      </w:pPr>
      <w:r w:rsidRPr="093A71AD" w:rsidR="01F17E83">
        <w:rPr>
          <w:sz w:val="24"/>
          <w:szCs w:val="24"/>
        </w:rPr>
        <w:t>Do &amp; Faff show why simple pairs trading fails, while Huck &amp; Afawubo show cointegration fixes it.</w:t>
      </w:r>
    </w:p>
    <w:p w:rsidR="54131E70" w:rsidP="54131E70" w:rsidRDefault="54131E70" w14:paraId="2AA26FFF" w14:textId="519BDA3C">
      <w:pPr>
        <w:pStyle w:val="Normal"/>
        <w:rPr>
          <w:sz w:val="24"/>
          <w:szCs w:val="24"/>
        </w:rPr>
      </w:pPr>
    </w:p>
    <w:p w:rsidR="0173E734" w:rsidP="093A71AD" w:rsidRDefault="0173E734" w14:paraId="46E4BFA4" w14:textId="65D251F2">
      <w:pPr>
        <w:pStyle w:val="Heading1"/>
      </w:pPr>
      <w:r w:rsidR="0173E734">
        <w:rPr/>
        <w:t>Cointegration</w:t>
      </w:r>
      <w:r w:rsidR="0173E734">
        <w:rPr/>
        <w:t xml:space="preserve"> </w:t>
      </w:r>
      <w:r w:rsidR="27B54523">
        <w:rPr/>
        <w:t>Methodology</w:t>
      </w:r>
    </w:p>
    <w:p w:rsidR="093A71AD" w:rsidP="093A71AD" w:rsidRDefault="093A71AD" w14:paraId="01832CC1" w14:textId="28FE904C">
      <w:pPr>
        <w:pStyle w:val="Normal"/>
        <w:rPr>
          <w:sz w:val="24"/>
          <w:szCs w:val="24"/>
        </w:rPr>
      </w:pPr>
      <w:r w:rsidRPr="2572F2F0" w:rsidR="1F67EA56">
        <w:rPr>
          <w:sz w:val="24"/>
          <w:szCs w:val="24"/>
        </w:rPr>
        <w:t>Setup:</w:t>
      </w:r>
    </w:p>
    <w:p w:rsidR="5F837C75" w:rsidP="2572F2F0" w:rsidRDefault="5F837C75" w14:paraId="2E4A17E5" w14:textId="4EECC6F6">
      <w:pPr>
        <w:spacing w:before="120" w:beforeAutospacing="off" w:after="12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572F2F0" w:rsidR="5F837C7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From a universe of 17 </w:t>
      </w:r>
      <w:r w:rsidRPr="2572F2F0" w:rsidR="5F837C7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sectorally</w:t>
      </w:r>
      <w:r w:rsidRPr="2572F2F0" w:rsidR="5F837C7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diverse US equities spanning Technology, Financials, Energy, Consumer Staples, and Healthcare (Appendix A), nine candidate pairs were pre-selected based on economic rationale (Table 3.1). Pairs were chosen to </w:t>
      </w:r>
      <w:r w:rsidRPr="2572F2F0" w:rsidR="5F837C7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represent</w:t>
      </w:r>
      <w:r w:rsidRPr="2572F2F0" w:rsidR="5F837C7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intra-sector competition (NVDA/AMD), supply chain relationships (NVDA/TSM), and sector oligopolies (KO/PEP, JPM/BAC), ensuring economically meaningful long-run equilibria.</w:t>
      </w:r>
    </w:p>
    <w:p w:rsidR="2572F2F0" w:rsidRDefault="2572F2F0" w14:paraId="70F7106F" w14:textId="5D1FFCB9"/>
    <w:p w:rsidR="5F837C75" w:rsidRDefault="5F837C75" w14:paraId="4436A214" w14:textId="5793AD80">
      <w:r w:rsidR="5F837C75">
        <w:rPr/>
        <w:t>Appendix A: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73"/>
        <w:gridCol w:w="1954"/>
        <w:gridCol w:w="3105"/>
        <w:gridCol w:w="3128"/>
      </w:tblGrid>
      <w:tr w:rsidR="2572F2F0" w:rsidTr="2572F2F0" w14:paraId="03C005E2">
        <w:trPr>
          <w:trHeight w:val="300"/>
        </w:trPr>
        <w:tc>
          <w:tcPr>
            <w:tcW w:w="117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7A00D598" w14:textId="7EB5FE7C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  <w:b w:val="1"/>
                <w:bCs w:val="1"/>
              </w:rPr>
              <w:t>Rank</w:t>
            </w:r>
          </w:p>
        </w:tc>
        <w:tc>
          <w:tcPr>
            <w:tcW w:w="195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329AD719" w14:textId="29BCF4F2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  <w:b w:val="1"/>
                <w:bCs w:val="1"/>
              </w:rPr>
              <w:t>Company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5086764F" w14:textId="686461E0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  <w:b w:val="1"/>
                <w:bCs w:val="1"/>
              </w:rPr>
              <w:t>Symbol</w:t>
            </w:r>
          </w:p>
        </w:tc>
        <w:tc>
          <w:tcPr>
            <w:tcW w:w="312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08D8C2CB" w14:textId="1E694DEC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  <w:b w:val="1"/>
                <w:bCs w:val="1"/>
              </w:rPr>
              <w:t>Market Cap (Dec 2023)</w:t>
            </w:r>
          </w:p>
        </w:tc>
      </w:tr>
      <w:tr w:rsidR="2572F2F0" w:rsidTr="2572F2F0" w14:paraId="4F652986">
        <w:trPr>
          <w:trHeight w:val="300"/>
        </w:trPr>
        <w:tc>
          <w:tcPr>
            <w:tcW w:w="117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7B4ABEE2" w14:textId="66F47F23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1</w:t>
            </w:r>
          </w:p>
        </w:tc>
        <w:tc>
          <w:tcPr>
            <w:tcW w:w="195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29700C52" w14:textId="0477F37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</w:rPr>
            </w:pPr>
            <w:r w:rsidRPr="2572F2F0" w:rsidR="2572F2F0">
              <w:rPr>
                <w:rFonts w:ascii="Arial" w:hAnsi="Arial" w:eastAsia="Arial" w:cs="Arial"/>
              </w:rPr>
              <w:t>M</w:t>
            </w:r>
            <w:r w:rsidRPr="2572F2F0" w:rsidR="62DEC322">
              <w:rPr>
                <w:rFonts w:ascii="Arial" w:hAnsi="Arial" w:eastAsia="Arial" w:cs="Arial"/>
              </w:rPr>
              <w:t>icrosoft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5A48A083" w14:textId="0DC40E4F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MSFT.O</w:t>
            </w:r>
          </w:p>
        </w:tc>
        <w:tc>
          <w:tcPr>
            <w:tcW w:w="312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23E2B2EF" w14:textId="7DD4427B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$2,795 B</w:t>
            </w:r>
          </w:p>
        </w:tc>
      </w:tr>
      <w:tr w:rsidR="2572F2F0" w:rsidTr="2572F2F0" w14:paraId="55E2CEA4">
        <w:trPr>
          <w:trHeight w:val="300"/>
        </w:trPr>
        <w:tc>
          <w:tcPr>
            <w:tcW w:w="117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0CAC9879" w14:textId="407B8829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2</w:t>
            </w:r>
          </w:p>
        </w:tc>
        <w:tc>
          <w:tcPr>
            <w:tcW w:w="195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F308A9D" w:rsidP="2572F2F0" w:rsidRDefault="1F308A9D" w14:paraId="2195611A" w14:textId="7433241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2572F2F0" w:rsidR="1F308A9D">
              <w:rPr>
                <w:rFonts w:ascii="Arial" w:hAnsi="Arial" w:eastAsia="Arial" w:cs="Arial"/>
              </w:rPr>
              <w:t>Alphabet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23DA3E15" w14:textId="7B738037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GOOGL.O</w:t>
            </w:r>
          </w:p>
        </w:tc>
        <w:tc>
          <w:tcPr>
            <w:tcW w:w="312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32623F68" w14:textId="5296C660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$1,755 B</w:t>
            </w:r>
          </w:p>
        </w:tc>
      </w:tr>
      <w:tr w:rsidR="2572F2F0" w:rsidTr="2572F2F0" w14:paraId="383B3F20">
        <w:trPr>
          <w:trHeight w:val="300"/>
        </w:trPr>
        <w:tc>
          <w:tcPr>
            <w:tcW w:w="117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61D3E9ED" w14:textId="62635341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3</w:t>
            </w:r>
          </w:p>
        </w:tc>
        <w:tc>
          <w:tcPr>
            <w:tcW w:w="195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34C79FD" w:rsidP="2572F2F0" w:rsidRDefault="034C79FD" w14:paraId="02E27036" w14:textId="0E1C591B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2572F2F0" w:rsidR="034C79FD">
              <w:rPr>
                <w:rFonts w:ascii="Arial" w:hAnsi="Arial" w:eastAsia="Arial" w:cs="Arial"/>
              </w:rPr>
              <w:t>Amazon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490E50B4" w14:textId="0C6A5068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AMZN.O</w:t>
            </w:r>
          </w:p>
        </w:tc>
        <w:tc>
          <w:tcPr>
            <w:tcW w:w="312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3ABC3BFE" w14:textId="4A2AFDF4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$1,570 B</w:t>
            </w:r>
          </w:p>
        </w:tc>
      </w:tr>
      <w:tr w:rsidR="2572F2F0" w:rsidTr="2572F2F0" w14:paraId="5E099F09">
        <w:trPr>
          <w:trHeight w:val="300"/>
        </w:trPr>
        <w:tc>
          <w:tcPr>
            <w:tcW w:w="117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59940411" w14:textId="70F6C2D1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4</w:t>
            </w:r>
          </w:p>
        </w:tc>
        <w:tc>
          <w:tcPr>
            <w:tcW w:w="195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06BB760" w:rsidP="2572F2F0" w:rsidRDefault="306BB760" w14:paraId="231EB4C8" w14:textId="51782A2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</w:rPr>
            </w:pPr>
            <w:r w:rsidRPr="2572F2F0" w:rsidR="306BB760">
              <w:rPr>
                <w:rFonts w:ascii="Arial" w:hAnsi="Arial" w:eastAsia="Arial" w:cs="Arial"/>
              </w:rPr>
              <w:t>Nvidia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7322C903" w14:textId="2E939708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NVDA.O</w:t>
            </w:r>
          </w:p>
        </w:tc>
        <w:tc>
          <w:tcPr>
            <w:tcW w:w="312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3E6FE17D" w14:textId="596619CE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$1,223 B</w:t>
            </w:r>
          </w:p>
        </w:tc>
      </w:tr>
      <w:tr w:rsidR="2572F2F0" w:rsidTr="2572F2F0" w14:paraId="57D02EA4">
        <w:trPr>
          <w:trHeight w:val="300"/>
        </w:trPr>
        <w:tc>
          <w:tcPr>
            <w:tcW w:w="117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6C600F82" w14:textId="6681C96D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5</w:t>
            </w:r>
          </w:p>
        </w:tc>
        <w:tc>
          <w:tcPr>
            <w:tcW w:w="195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9742803" w:rsidP="2572F2F0" w:rsidRDefault="69742803" w14:paraId="18910F4C" w14:textId="792231E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2572F2F0" w:rsidR="69742803">
              <w:rPr>
                <w:rFonts w:ascii="Arial" w:hAnsi="Arial" w:eastAsia="Arial" w:cs="Arial"/>
              </w:rPr>
              <w:t>Meta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71092A94" w14:textId="7BB7189D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META.O</w:t>
            </w:r>
          </w:p>
        </w:tc>
        <w:tc>
          <w:tcPr>
            <w:tcW w:w="312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289E4C1E" w14:textId="1D0B124F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$910 B</w:t>
            </w:r>
          </w:p>
        </w:tc>
      </w:tr>
      <w:tr w:rsidR="2572F2F0" w:rsidTr="2572F2F0" w14:paraId="2A40015F">
        <w:trPr>
          <w:trHeight w:val="300"/>
        </w:trPr>
        <w:tc>
          <w:tcPr>
            <w:tcW w:w="117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4C473CA7" w14:textId="1F2B6315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6</w:t>
            </w:r>
          </w:p>
        </w:tc>
        <w:tc>
          <w:tcPr>
            <w:tcW w:w="195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1A1AADF4" w14:textId="375B04B2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TSMC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4F371014" w14:textId="22F9B0B2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TSM.N</w:t>
            </w:r>
          </w:p>
        </w:tc>
        <w:tc>
          <w:tcPr>
            <w:tcW w:w="312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63CB3BE5" w14:textId="516EE9BA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$501 B</w:t>
            </w:r>
          </w:p>
        </w:tc>
      </w:tr>
      <w:tr w:rsidR="2572F2F0" w:rsidTr="2572F2F0" w14:paraId="77D3294B">
        <w:trPr>
          <w:trHeight w:val="300"/>
        </w:trPr>
        <w:tc>
          <w:tcPr>
            <w:tcW w:w="117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0FABAE5F" w14:textId="1E609001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7</w:t>
            </w:r>
          </w:p>
        </w:tc>
        <w:tc>
          <w:tcPr>
            <w:tcW w:w="195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57D702D" w:rsidP="2572F2F0" w:rsidRDefault="657D702D" w14:paraId="2BC07162" w14:textId="48DFA68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2572F2F0" w:rsidR="657D702D">
              <w:rPr>
                <w:rFonts w:ascii="Arial" w:hAnsi="Arial" w:eastAsia="Arial" w:cs="Arial"/>
              </w:rPr>
              <w:t>JPMorgan Chase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568390F1" w14:textId="58B3B0AB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JPM.N</w:t>
            </w:r>
          </w:p>
        </w:tc>
        <w:tc>
          <w:tcPr>
            <w:tcW w:w="312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10FC2F8D" w14:textId="7F341498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$492 B</w:t>
            </w:r>
          </w:p>
        </w:tc>
      </w:tr>
      <w:tr w:rsidR="2572F2F0" w:rsidTr="2572F2F0" w14:paraId="4BA1B103">
        <w:trPr>
          <w:trHeight w:val="300"/>
        </w:trPr>
        <w:tc>
          <w:tcPr>
            <w:tcW w:w="117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705BF3B7" w14:textId="0A307C0A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8</w:t>
            </w:r>
          </w:p>
        </w:tc>
        <w:tc>
          <w:tcPr>
            <w:tcW w:w="195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E4D3A2" w:rsidP="2572F2F0" w:rsidRDefault="4BE4D3A2" w14:paraId="10502B8E" w14:textId="663A04AE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2572F2F0" w:rsidR="4BE4D3A2">
              <w:rPr>
                <w:rFonts w:ascii="Arial" w:hAnsi="Arial" w:eastAsia="Arial" w:cs="Arial"/>
              </w:rPr>
              <w:t>ExxonMobil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3CB57E81" w14:textId="7D22F3D4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XOM.N</w:t>
            </w:r>
          </w:p>
        </w:tc>
        <w:tc>
          <w:tcPr>
            <w:tcW w:w="312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6C47AA82" w14:textId="4E18408A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$400 B</w:t>
            </w:r>
          </w:p>
        </w:tc>
      </w:tr>
      <w:tr w:rsidR="2572F2F0" w:rsidTr="2572F2F0" w14:paraId="52A3D901">
        <w:trPr>
          <w:trHeight w:val="300"/>
        </w:trPr>
        <w:tc>
          <w:tcPr>
            <w:tcW w:w="117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6936EE8F" w14:textId="4C0EC54F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9</w:t>
            </w:r>
          </w:p>
        </w:tc>
        <w:tc>
          <w:tcPr>
            <w:tcW w:w="195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F7433BF" w:rsidP="2572F2F0" w:rsidRDefault="3F7433BF" w14:paraId="4BED2D43" w14:textId="40406A0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2572F2F0" w:rsidR="3F7433BF">
              <w:rPr>
                <w:rFonts w:ascii="Arial" w:hAnsi="Arial" w:eastAsia="Arial" w:cs="Arial"/>
              </w:rPr>
              <w:t>Johnson &amp; Johnson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0807B865" w14:textId="5890C6D4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JNJ.N</w:t>
            </w:r>
          </w:p>
        </w:tc>
        <w:tc>
          <w:tcPr>
            <w:tcW w:w="312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45FCD63E" w14:textId="48A98BF4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$377 B</w:t>
            </w:r>
          </w:p>
        </w:tc>
      </w:tr>
      <w:tr w:rsidR="2572F2F0" w:rsidTr="2572F2F0" w14:paraId="001B38B2">
        <w:trPr>
          <w:trHeight w:val="300"/>
        </w:trPr>
        <w:tc>
          <w:tcPr>
            <w:tcW w:w="117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4AF88AAD" w14:textId="59069878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10</w:t>
            </w:r>
          </w:p>
        </w:tc>
        <w:tc>
          <w:tcPr>
            <w:tcW w:w="195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B84A63" w:rsidP="2572F2F0" w:rsidRDefault="5AB84A63" w14:paraId="3E65B4B7" w14:textId="08691CE6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2572F2F0" w:rsidR="5AB84A63">
              <w:rPr>
                <w:rFonts w:ascii="Arial" w:hAnsi="Arial" w:eastAsia="Arial" w:cs="Arial"/>
              </w:rPr>
              <w:t>Chevron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3182686B" w14:textId="5F5E8644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CVX.N</w:t>
            </w:r>
          </w:p>
        </w:tc>
        <w:tc>
          <w:tcPr>
            <w:tcW w:w="312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12944B3A" w14:textId="5C635327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$281 B</w:t>
            </w:r>
          </w:p>
        </w:tc>
      </w:tr>
      <w:tr w:rsidR="2572F2F0" w:rsidTr="2572F2F0" w14:paraId="492861C8">
        <w:trPr>
          <w:trHeight w:val="300"/>
        </w:trPr>
        <w:tc>
          <w:tcPr>
            <w:tcW w:w="117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61A4DF55" w14:textId="4323DACD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11</w:t>
            </w:r>
          </w:p>
        </w:tc>
        <w:tc>
          <w:tcPr>
            <w:tcW w:w="195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ADB1BFA" w:rsidP="2572F2F0" w:rsidRDefault="2ADB1BFA" w14:paraId="38FF611F" w14:textId="5CE1A4DC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2572F2F0" w:rsidR="2ADB1BFA">
              <w:rPr>
                <w:rFonts w:ascii="Arial" w:hAnsi="Arial" w:eastAsia="Arial" w:cs="Arial"/>
              </w:rPr>
              <w:t>Bank of America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25B36E0D" w14:textId="304FF895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BAC.N</w:t>
            </w:r>
          </w:p>
        </w:tc>
        <w:tc>
          <w:tcPr>
            <w:tcW w:w="312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017CA57B" w14:textId="181C3CEF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$266 B</w:t>
            </w:r>
          </w:p>
        </w:tc>
      </w:tr>
      <w:tr w:rsidR="2572F2F0" w:rsidTr="2572F2F0" w14:paraId="1EC72A34">
        <w:trPr>
          <w:trHeight w:val="300"/>
        </w:trPr>
        <w:tc>
          <w:tcPr>
            <w:tcW w:w="117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404582BA" w14:textId="518D2504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12</w:t>
            </w:r>
          </w:p>
        </w:tc>
        <w:tc>
          <w:tcPr>
            <w:tcW w:w="195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12C5FB3" w:rsidP="2572F2F0" w:rsidRDefault="312C5FB3" w14:paraId="24D14E67" w14:textId="2DDCDCBE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2572F2F0" w:rsidR="312C5FB3">
              <w:rPr>
                <w:rFonts w:ascii="Arial" w:hAnsi="Arial" w:eastAsia="Arial" w:cs="Arial"/>
              </w:rPr>
              <w:t>Coca-Cola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4388304D" w14:textId="52D09D3A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KO.N</w:t>
            </w:r>
          </w:p>
        </w:tc>
        <w:tc>
          <w:tcPr>
            <w:tcW w:w="312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4A832BA6" w14:textId="3BCE8446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$255 B</w:t>
            </w:r>
          </w:p>
        </w:tc>
      </w:tr>
      <w:tr w:rsidR="2572F2F0" w:rsidTr="2572F2F0" w14:paraId="6C2159CB">
        <w:trPr>
          <w:trHeight w:val="300"/>
        </w:trPr>
        <w:tc>
          <w:tcPr>
            <w:tcW w:w="117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5068D5D3" w14:textId="17CD155E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13</w:t>
            </w:r>
          </w:p>
        </w:tc>
        <w:tc>
          <w:tcPr>
            <w:tcW w:w="195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72EBAEDF" w14:textId="038BFAAD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AMD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103D9353" w14:textId="0EB54AAC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AMD.O</w:t>
            </w:r>
          </w:p>
        </w:tc>
        <w:tc>
          <w:tcPr>
            <w:tcW w:w="312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700C8A37" w14:textId="58DF7326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$238 B</w:t>
            </w:r>
          </w:p>
        </w:tc>
      </w:tr>
      <w:tr w:rsidR="2572F2F0" w:rsidTr="2572F2F0" w14:paraId="0BA42471">
        <w:trPr>
          <w:trHeight w:val="300"/>
        </w:trPr>
        <w:tc>
          <w:tcPr>
            <w:tcW w:w="117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51C7EAB4" w14:textId="013A7E01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14</w:t>
            </w:r>
          </w:p>
        </w:tc>
        <w:tc>
          <w:tcPr>
            <w:tcW w:w="195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EECD4E9" w:rsidP="2572F2F0" w:rsidRDefault="4EECD4E9" w14:paraId="015EEA9B" w14:textId="666980AB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2572F2F0" w:rsidR="4EECD4E9">
              <w:rPr>
                <w:rFonts w:ascii="Arial" w:hAnsi="Arial" w:eastAsia="Arial" w:cs="Arial"/>
              </w:rPr>
              <w:t>PepsiCo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378B6C54" w14:textId="1AB6D7B9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PEP.O</w:t>
            </w:r>
          </w:p>
        </w:tc>
        <w:tc>
          <w:tcPr>
            <w:tcW w:w="312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14325A10" w14:textId="421BA04E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$234 B</w:t>
            </w:r>
          </w:p>
        </w:tc>
      </w:tr>
      <w:tr w:rsidR="2572F2F0" w:rsidTr="2572F2F0" w14:paraId="709EFF9D">
        <w:trPr>
          <w:trHeight w:val="300"/>
        </w:trPr>
        <w:tc>
          <w:tcPr>
            <w:tcW w:w="117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772BB1B3" w14:textId="67BBE3F2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15</w:t>
            </w:r>
          </w:p>
        </w:tc>
        <w:tc>
          <w:tcPr>
            <w:tcW w:w="195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0CBC892" w:rsidP="2572F2F0" w:rsidRDefault="50CBC892" w14:paraId="56DA0D82" w14:textId="113F9B3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2572F2F0" w:rsidR="50CBC892">
              <w:rPr>
                <w:rFonts w:ascii="Arial" w:hAnsi="Arial" w:eastAsia="Arial" w:cs="Arial"/>
              </w:rPr>
              <w:t>Pfizer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665F8654" w14:textId="74A04263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PFE.N</w:t>
            </w:r>
          </w:p>
        </w:tc>
        <w:tc>
          <w:tcPr>
            <w:tcW w:w="312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341CFA6E" w14:textId="77494DA7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$163 B</w:t>
            </w:r>
          </w:p>
        </w:tc>
      </w:tr>
      <w:tr w:rsidR="2572F2F0" w:rsidTr="2572F2F0" w14:paraId="54C64EE0">
        <w:trPr>
          <w:trHeight w:val="300"/>
        </w:trPr>
        <w:tc>
          <w:tcPr>
            <w:tcW w:w="117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5055C8FD" w14:textId="2C53BD52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16</w:t>
            </w:r>
          </w:p>
        </w:tc>
        <w:tc>
          <w:tcPr>
            <w:tcW w:w="195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935EACC" w:rsidP="2572F2F0" w:rsidRDefault="3935EACC" w14:paraId="75574ECE" w14:textId="1B8F99B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2572F2F0" w:rsidR="3935EACC">
              <w:rPr>
                <w:rFonts w:ascii="Arial" w:hAnsi="Arial" w:eastAsia="Arial" w:cs="Arial"/>
              </w:rPr>
              <w:t>Morgan Stanley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5B8F7D78" w14:textId="5F82565B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MS.N</w:t>
            </w:r>
          </w:p>
        </w:tc>
        <w:tc>
          <w:tcPr>
            <w:tcW w:w="312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662F3D82" w14:textId="610CA28E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$153 B</w:t>
            </w:r>
          </w:p>
        </w:tc>
      </w:tr>
      <w:tr w:rsidR="2572F2F0" w:rsidTr="2572F2F0" w14:paraId="6EAE7C2D">
        <w:trPr>
          <w:trHeight w:val="300"/>
        </w:trPr>
        <w:tc>
          <w:tcPr>
            <w:tcW w:w="117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5278CF68" w14:textId="4A9DCA30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17</w:t>
            </w:r>
          </w:p>
        </w:tc>
        <w:tc>
          <w:tcPr>
            <w:tcW w:w="195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37D68B6F" w14:textId="1D28606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</w:rPr>
            </w:pPr>
            <w:r w:rsidRPr="2572F2F0" w:rsidR="2572F2F0">
              <w:rPr>
                <w:rFonts w:ascii="Arial" w:hAnsi="Arial" w:eastAsia="Arial" w:cs="Arial"/>
              </w:rPr>
              <w:t>G</w:t>
            </w:r>
            <w:r w:rsidRPr="2572F2F0" w:rsidR="38FD3997">
              <w:rPr>
                <w:rFonts w:ascii="Arial" w:hAnsi="Arial" w:eastAsia="Arial" w:cs="Arial"/>
              </w:rPr>
              <w:t>oldman Sachs</w:t>
            </w:r>
          </w:p>
        </w:tc>
        <w:tc>
          <w:tcPr>
            <w:tcW w:w="310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6E05AF6F" w14:textId="74B103CC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GS.N</w:t>
            </w:r>
          </w:p>
        </w:tc>
        <w:tc>
          <w:tcPr>
            <w:tcW w:w="312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572F2F0" w:rsidP="2572F2F0" w:rsidRDefault="2572F2F0" w14:paraId="2901490C" w14:textId="33EC6273">
            <w:pPr>
              <w:spacing w:before="0" w:beforeAutospacing="off" w:after="0" w:afterAutospacing="off"/>
              <w:jc w:val="left"/>
            </w:pPr>
            <w:r w:rsidRPr="2572F2F0" w:rsidR="2572F2F0">
              <w:rPr>
                <w:rFonts w:ascii="Arial" w:hAnsi="Arial" w:eastAsia="Arial" w:cs="Arial"/>
              </w:rPr>
              <w:t>$126 B</w:t>
            </w:r>
          </w:p>
        </w:tc>
      </w:tr>
    </w:tbl>
    <w:p w:rsidR="2572F2F0" w:rsidP="2572F2F0" w:rsidRDefault="2572F2F0" w14:paraId="359DA57E" w14:textId="4CBD00E0">
      <w:pPr>
        <w:pStyle w:val="Normal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1C41661B" w:rsidP="2572F2F0" w:rsidRDefault="1C41661B" w14:paraId="530A76BD" w14:textId="02AF671D">
      <w:pPr>
        <w:pStyle w:val="Normal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572F2F0" w:rsidR="1C41661B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table from the appendix ranks semiconductor companies by</w:t>
      </w:r>
      <w:r w:rsidRPr="2572F2F0" w:rsidR="1C41661B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2572F2F0" w:rsidR="1F2D818C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29 </w:t>
      </w:r>
      <w:r w:rsidRPr="2572F2F0" w:rsidR="1C41661B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December 2023</w:t>
      </w:r>
      <w:r w:rsidRPr="2572F2F0" w:rsidR="1C41661B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market capitalization (from the last trading day of 2023, end of training period).</w:t>
      </w:r>
      <w:r>
        <w:br/>
      </w:r>
    </w:p>
    <w:p w:rsidR="2572F2F0" w:rsidP="0524EDBF" w:rsidRDefault="2572F2F0" w14:paraId="00D6E615" w14:textId="5EE59645">
      <w:pPr/>
      <w:r w:rsidR="2C61D008">
        <w:rPr/>
        <w:t>Model</w:t>
      </w:r>
      <w:r w:rsidR="2C61D008">
        <w:rPr/>
        <w:t xml:space="preserve"> will be trained with data</w:t>
      </w:r>
      <w:r w:rsidR="0D0286D3">
        <w:rPr/>
        <w:t xml:space="preserve"> (in-sample)</w:t>
      </w:r>
      <w:r w:rsidR="2C61D008">
        <w:rPr/>
        <w:t xml:space="preserve"> from</w:t>
      </w:r>
      <w:r w:rsidR="0EC9609E">
        <w:rPr/>
        <w:t xml:space="preserve"> January 1</w:t>
      </w:r>
      <w:r w:rsidR="48B2B5C1">
        <w:rPr/>
        <w:t>,</w:t>
      </w:r>
      <w:r w:rsidR="2C61D008">
        <w:rPr/>
        <w:t xml:space="preserve"> </w:t>
      </w:r>
      <w:r w:rsidR="2C61D008">
        <w:rPr/>
        <w:t>20</w:t>
      </w:r>
      <w:r w:rsidR="0F75568A">
        <w:rPr/>
        <w:t>19</w:t>
      </w:r>
      <w:r w:rsidR="0F75568A">
        <w:rPr/>
        <w:t xml:space="preserve"> </w:t>
      </w:r>
      <w:r w:rsidR="2C61D008">
        <w:rPr/>
        <w:t xml:space="preserve">to </w:t>
      </w:r>
      <w:r w:rsidR="541457BA">
        <w:rPr/>
        <w:t>December 31</w:t>
      </w:r>
      <w:r w:rsidR="37F26005">
        <w:rPr/>
        <w:t>,</w:t>
      </w:r>
      <w:r w:rsidR="541457BA">
        <w:rPr/>
        <w:t xml:space="preserve"> </w:t>
      </w:r>
      <w:r w:rsidR="2C61D008">
        <w:rPr/>
        <w:t xml:space="preserve">2023, and tested with </w:t>
      </w:r>
      <w:r w:rsidR="4A04E73E">
        <w:rPr/>
        <w:t xml:space="preserve">data </w:t>
      </w:r>
      <w:r w:rsidR="49CE3A7E">
        <w:rPr/>
        <w:t xml:space="preserve">(out-of-sample) </w:t>
      </w:r>
      <w:r w:rsidR="4A04E73E">
        <w:rPr/>
        <w:t>from</w:t>
      </w:r>
      <w:r w:rsidR="0667C19C">
        <w:rPr/>
        <w:t xml:space="preserve"> January 1, </w:t>
      </w:r>
      <w:r w:rsidR="0667C19C">
        <w:rPr/>
        <w:t>2024</w:t>
      </w:r>
      <w:r w:rsidR="0667C19C">
        <w:rPr/>
        <w:t xml:space="preserve"> to December 31, 2025</w:t>
      </w:r>
      <w:r w:rsidR="067A007C">
        <w:rPr/>
        <w:t>.</w:t>
      </w:r>
    </w:p>
    <w:p w:rsidR="2572F2F0" w:rsidP="0524EDBF" w:rsidRDefault="2572F2F0" w14:paraId="355C7BD4" w14:textId="0EAC8E0D">
      <w:pPr/>
    </w:p>
    <w:p w:rsidR="2572F2F0" w:rsidP="0524EDBF" w:rsidRDefault="2572F2F0" w14:paraId="555B5CBA" w14:textId="74CBE3B4">
      <w:pPr>
        <w:rPr>
          <w:b w:val="1"/>
          <w:bCs w:val="1"/>
        </w:rPr>
      </w:pPr>
      <w:r w:rsidRPr="0524EDBF" w:rsidR="68B66686">
        <w:rPr>
          <w:b w:val="1"/>
          <w:bCs w:val="1"/>
        </w:rPr>
        <w:t>Step 1: spread exploration</w:t>
      </w:r>
    </w:p>
    <w:p w:rsidR="2572F2F0" w:rsidP="0524EDBF" w:rsidRDefault="2572F2F0" w14:paraId="329B5C8E" w14:textId="60B6478C">
      <w:pPr>
        <w:rPr>
          <w:b w:val="0"/>
          <w:bCs w:val="0"/>
        </w:rPr>
      </w:pPr>
      <w:r w:rsidR="30FAF663">
        <w:rPr>
          <w:b w:val="0"/>
          <w:bCs w:val="0"/>
        </w:rPr>
        <w:t>This notebook covers the analysis of the spread of pre-selected asset pairs determined by sector, where it will obtain the historical prices of the ticker data in the out-of-sample range between January 1, 2019 to December 31, 2023.</w:t>
      </w:r>
    </w:p>
    <w:p w:rsidR="2572F2F0" w:rsidP="2572F2F0" w:rsidRDefault="2572F2F0" w14:paraId="17E3A733" w14:textId="73C72F9B">
      <w:pPr>
        <w:pStyle w:val="Normal"/>
      </w:pPr>
      <w:r w:rsidR="30FAF663">
        <w:rPr>
          <w:b w:val="0"/>
          <w:bCs w:val="0"/>
        </w:rPr>
        <w:t xml:space="preserve"> </w:t>
      </w:r>
    </w:p>
    <w:p w:rsidR="2572F2F0" w:rsidP="2572F2F0" w:rsidRDefault="2572F2F0" w14:paraId="06D5EA43" w14:textId="711D328E">
      <w:pPr>
        <w:pStyle w:val="Normal"/>
      </w:pPr>
      <w:r w:rsidR="30FAF663">
        <w:rPr>
          <w:b w:val="0"/>
          <w:bCs w:val="0"/>
        </w:rPr>
        <w:t>Next, spread analysis will be performed where the past prices of each equity is used and tested if the pre-selected asset pairs were cointegrated by running Engle-Granger tests where cointegrated asset pairs are assessed by having a p-score of less than 0.5.</w:t>
      </w:r>
    </w:p>
    <w:p w:rsidR="2572F2F0" w:rsidP="2572F2F0" w:rsidRDefault="2572F2F0" w14:paraId="5F2FDB70" w14:textId="28F0C54D">
      <w:pPr>
        <w:pStyle w:val="Normal"/>
      </w:pPr>
      <w:r w:rsidR="30FAF663">
        <w:rPr>
          <w:b w:val="0"/>
          <w:bCs w:val="0"/>
        </w:rPr>
        <w:t xml:space="preserve"> </w:t>
      </w:r>
    </w:p>
    <w:p w:rsidR="2572F2F0" w:rsidP="2572F2F0" w:rsidRDefault="2572F2F0" w14:paraId="02804C00" w14:textId="3B526533">
      <w:pPr>
        <w:pStyle w:val="Normal"/>
      </w:pPr>
      <w:r w:rsidR="30FAF663">
        <w:rPr>
          <w:b w:val="0"/>
          <w:bCs w:val="0"/>
        </w:rPr>
        <w:t>For each cointegrated asset pairs, the spread between each asset pair is calculated, alongside their characterisation, distributions, spread levels, rolling half-life and rolling z-scores based on thresholds.</w:t>
      </w:r>
    </w:p>
    <w:p w:rsidR="2572F2F0" w:rsidP="2572F2F0" w:rsidRDefault="2572F2F0" w14:paraId="69A52AEE" w14:textId="1BC14F28">
      <w:pPr>
        <w:pStyle w:val="Normal"/>
      </w:pPr>
      <w:r w:rsidR="30FAF663">
        <w:rPr>
          <w:b w:val="0"/>
          <w:bCs w:val="0"/>
        </w:rPr>
        <w:t xml:space="preserve"> </w:t>
      </w:r>
    </w:p>
    <w:p w:rsidR="2572F2F0" w:rsidP="2572F2F0" w:rsidRDefault="2572F2F0" w14:paraId="44B870C6" w14:textId="37951D48">
      <w:pPr>
        <w:pStyle w:val="Normal"/>
      </w:pPr>
      <w:r w:rsidR="30FAF663">
        <w:rPr>
          <w:b w:val="0"/>
          <w:bCs w:val="0"/>
        </w:rPr>
        <w:t xml:space="preserve">It will then save the computed results into CSVs stored on </w:t>
      </w:r>
      <w:r w:rsidR="30FAF663">
        <w:rPr>
          <w:b w:val="0"/>
          <w:bCs w:val="0"/>
        </w:rPr>
        <w:t>`..</w:t>
      </w:r>
      <w:r w:rsidR="30FAF663">
        <w:rPr>
          <w:b w:val="0"/>
          <w:bCs w:val="0"/>
        </w:rPr>
        <w:t>/..</w:t>
      </w:r>
      <w:r w:rsidR="30FAF663">
        <w:rPr>
          <w:b w:val="0"/>
          <w:bCs w:val="0"/>
        </w:rPr>
        <w:t>/data/processed/` where the next notebook `02_cointegration_validation` will test if the cointegration holds for in-sample price data.</w:t>
      </w:r>
    </w:p>
    <w:p w:rsidR="2572F2F0" w:rsidP="2572F2F0" w:rsidRDefault="2572F2F0" w14:paraId="27867EBC" w14:textId="234B0F75">
      <w:pPr>
        <w:pStyle w:val="Normal"/>
        <w:rPr>
          <w:b w:val="0"/>
          <w:bCs w:val="0"/>
        </w:rPr>
      </w:pPr>
    </w:p>
    <w:p w:rsidR="2572F2F0" w:rsidP="2572F2F0" w:rsidRDefault="2572F2F0" w14:paraId="776BCE95" w14:textId="693FAC11">
      <w:pPr>
        <w:pStyle w:val="Normal"/>
        <w:rPr>
          <w:b w:val="0"/>
          <w:bCs w:val="0"/>
        </w:rPr>
      </w:pPr>
      <w:r w:rsidR="67401F18">
        <w:rPr/>
        <w:t xml:space="preserve">We will be using </w:t>
      </w:r>
      <w:r w:rsidRPr="0524EDBF" w:rsidR="67401F18">
        <w:rPr>
          <w:b w:val="1"/>
          <w:bCs w:val="1"/>
        </w:rPr>
        <w:t>log closing prices</w:t>
      </w:r>
      <w:r w:rsidR="67401F18">
        <w:rPr>
          <w:b w:val="0"/>
          <w:bCs w:val="0"/>
        </w:rPr>
        <w:t xml:space="preserve"> instead of </w:t>
      </w:r>
      <w:r w:rsidRPr="0524EDBF" w:rsidR="67401F18">
        <w:rPr>
          <w:b w:val="1"/>
          <w:bCs w:val="1"/>
        </w:rPr>
        <w:t>raw prices</w:t>
      </w:r>
      <w:r w:rsidR="67401F18">
        <w:rPr>
          <w:b w:val="0"/>
          <w:bCs w:val="0"/>
        </w:rPr>
        <w:t xml:space="preserve"> for the sake of the hedge ratio</w:t>
      </w:r>
    </w:p>
    <w:p w:rsidR="2572F2F0" w:rsidP="2572F2F0" w:rsidRDefault="2572F2F0" w14:paraId="08C74439" w14:textId="1300B940">
      <w:pPr>
        <w:pStyle w:val="Normal"/>
        <w:rPr>
          <w:b w:val="0"/>
          <w:bCs w:val="0"/>
        </w:rPr>
      </w:pPr>
      <w:r w:rsidR="5766CA52">
        <w:rPr>
          <w:b w:val="0"/>
          <w:bCs w:val="0"/>
        </w:rPr>
        <w:t xml:space="preserve">The spread is constructed as OLS residuals with intercept, ensuring the long-run equilibrium is zero by construction. Expected returns are therefore estimated as the negative of the current </w:t>
      </w:r>
      <w:r w:rsidR="5766CA52">
        <w:rPr>
          <w:b w:val="0"/>
          <w:bCs w:val="0"/>
        </w:rPr>
        <w:t>spread</w:t>
      </w:r>
      <w:r w:rsidR="5766CA52">
        <w:rPr>
          <w:b w:val="0"/>
          <w:bCs w:val="0"/>
        </w:rPr>
        <w:t xml:space="preserve"> displacement, scaled by the hedge ratio."</w:t>
      </w:r>
    </w:p>
    <w:p w:rsidR="2572F2F0" w:rsidP="2572F2F0" w:rsidRDefault="2572F2F0" w14:paraId="780A79BC" w14:textId="07EA234E">
      <w:pPr>
        <w:pStyle w:val="Normal"/>
        <w:rPr>
          <w:b w:val="0"/>
          <w:bCs w:val="0"/>
        </w:rPr>
      </w:pPr>
    </w:p>
    <w:p w:rsidR="2572F2F0" w:rsidP="0524EDBF" w:rsidRDefault="2572F2F0" w14:paraId="0C0E1270" w14:textId="59AFDB3A">
      <w:pPr>
        <w:pStyle w:val="Normal"/>
        <w:rPr>
          <w:b w:val="1"/>
          <w:bCs w:val="1"/>
        </w:rPr>
      </w:pPr>
      <w:r w:rsidRPr="0524EDBF" w:rsidR="74BA40CE">
        <w:rPr>
          <w:b w:val="1"/>
          <w:bCs w:val="1"/>
        </w:rPr>
        <w:t>Step 2: cointegration validation</w:t>
      </w:r>
    </w:p>
    <w:p w:rsidR="2572F2F0" w:rsidP="2572F2F0" w:rsidRDefault="2572F2F0" w14:paraId="5F00AFD2" w14:textId="627C085D">
      <w:pPr>
        <w:pStyle w:val="Normal"/>
        <w:rPr>
          <w:b w:val="0"/>
          <w:bCs w:val="0"/>
        </w:rPr>
      </w:pPr>
      <w:r w:rsidR="74BA40CE">
        <w:rPr>
          <w:b w:val="0"/>
          <w:bCs w:val="0"/>
        </w:rPr>
        <w:t xml:space="preserve">Using obtained hedge ratios, intercept from in-sample price data for cointegrated pairs as estimates to reconstruct spread for out-of-sample data, to test if cointegrated holds for the pairs </w:t>
      </w:r>
      <w:r w:rsidR="74BA40CE">
        <w:rPr>
          <w:b w:val="0"/>
          <w:bCs w:val="0"/>
        </w:rPr>
        <w:t>deemed</w:t>
      </w:r>
      <w:r w:rsidR="74BA40CE">
        <w:rPr>
          <w:b w:val="0"/>
          <w:bCs w:val="0"/>
        </w:rPr>
        <w:t xml:space="preserve"> to be cointegrated with in-sample price series data.</w:t>
      </w:r>
    </w:p>
    <w:p w:rsidR="2572F2F0" w:rsidP="2572F2F0" w:rsidRDefault="2572F2F0" w14:paraId="3F3F2771" w14:textId="64D2488B">
      <w:pPr>
        <w:pStyle w:val="Normal"/>
      </w:pPr>
      <w:r w:rsidRPr="0524EDBF" w:rsidR="67B6E3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Out-of-sample spreads are constructed using hedge ratios and intercepts estimated solely on the in-sample period, ensuring no forward-looking information is incorporated into the spread definition. Formally, </w:t>
      </w:r>
      <w:r w:rsidRPr="0524EDBF" w:rsidR="67B6E34A">
        <w:rPr>
          <w:rFonts w:ascii="Aptos" w:hAnsi="Aptos" w:eastAsia="Aptos" w:cs="Aptos"/>
          <w:noProof w:val="0"/>
          <w:color w:val="9BE963"/>
          <w:sz w:val="24"/>
          <w:szCs w:val="24"/>
          <w:lang w:val="en-US"/>
        </w:rPr>
        <w:t>$</w:t>
      </w:r>
      <w:r w:rsidRPr="0524EDBF" w:rsidR="67B6E34A">
        <w:rPr>
          <w:rFonts w:ascii="Aptos" w:hAnsi="Aptos" w:eastAsia="Aptos" w:cs="Aptos"/>
          <w:noProof w:val="0"/>
          <w:color w:val="96E35F"/>
          <w:sz w:val="24"/>
          <w:szCs w:val="24"/>
          <w:lang w:val="en-US"/>
        </w:rPr>
        <w:t>\hat</w:t>
      </w:r>
      <w:r w:rsidRPr="0524EDBF" w:rsidR="67B6E34A">
        <w:rPr>
          <w:rFonts w:ascii="Aptos" w:hAnsi="Aptos" w:eastAsia="Aptos" w:cs="Aptos"/>
          <w:noProof w:val="0"/>
          <w:color w:val="9BE963"/>
          <w:sz w:val="24"/>
          <w:szCs w:val="24"/>
          <w:lang w:val="en-US"/>
        </w:rPr>
        <w:t>{</w:t>
      </w:r>
      <w:r w:rsidRPr="0524EDBF" w:rsidR="67B6E34A">
        <w:rPr>
          <w:rFonts w:ascii="Aptos" w:hAnsi="Aptos" w:eastAsia="Aptos" w:cs="Aptos"/>
          <w:noProof w:val="0"/>
          <w:color w:val="96E35F"/>
          <w:sz w:val="24"/>
          <w:szCs w:val="24"/>
          <w:lang w:val="en-US"/>
        </w:rPr>
        <w:t>\</w:t>
      </w:r>
      <w:r w:rsidRPr="0524EDBF" w:rsidR="67B6E34A">
        <w:rPr>
          <w:rFonts w:ascii="Aptos" w:hAnsi="Aptos" w:eastAsia="Aptos" w:cs="Aptos"/>
          <w:noProof w:val="0"/>
          <w:color w:val="96E35F"/>
          <w:sz w:val="24"/>
          <w:szCs w:val="24"/>
          <w:lang w:val="en-US"/>
        </w:rPr>
        <w:t>varepsilon</w:t>
      </w:r>
      <w:r w:rsidRPr="0524EDBF" w:rsidR="67B6E34A">
        <w:rPr>
          <w:rFonts w:ascii="Aptos" w:hAnsi="Aptos" w:eastAsia="Aptos" w:cs="Aptos"/>
          <w:noProof w:val="0"/>
          <w:color w:val="9BE963"/>
          <w:sz w:val="24"/>
          <w:szCs w:val="24"/>
          <w:lang w:val="en-US"/>
        </w:rPr>
        <w:t xml:space="preserve">}_t = </w:t>
      </w:r>
      <w:r w:rsidRPr="0524EDBF" w:rsidR="67B6E34A">
        <w:rPr>
          <w:rFonts w:ascii="Aptos" w:hAnsi="Aptos" w:eastAsia="Aptos" w:cs="Aptos"/>
          <w:noProof w:val="0"/>
          <w:color w:val="9BE963"/>
          <w:sz w:val="24"/>
          <w:szCs w:val="24"/>
          <w:lang w:val="en-US"/>
        </w:rPr>
        <w:t>y_t</w:t>
      </w:r>
      <w:r w:rsidRPr="0524EDBF" w:rsidR="67B6E34A">
        <w:rPr>
          <w:rFonts w:ascii="Aptos" w:hAnsi="Aptos" w:eastAsia="Aptos" w:cs="Aptos"/>
          <w:noProof w:val="0"/>
          <w:color w:val="9BE963"/>
          <w:sz w:val="24"/>
          <w:szCs w:val="24"/>
          <w:lang w:val="en-US"/>
        </w:rPr>
        <w:t xml:space="preserve"> - </w:t>
      </w:r>
      <w:r w:rsidRPr="0524EDBF" w:rsidR="67B6E34A">
        <w:rPr>
          <w:rFonts w:ascii="Aptos" w:hAnsi="Aptos" w:eastAsia="Aptos" w:cs="Aptos"/>
          <w:noProof w:val="0"/>
          <w:color w:val="96E35F"/>
          <w:sz w:val="24"/>
          <w:szCs w:val="24"/>
          <w:lang w:val="en-US"/>
        </w:rPr>
        <w:t>\hat</w:t>
      </w:r>
      <w:r w:rsidRPr="0524EDBF" w:rsidR="67B6E34A">
        <w:rPr>
          <w:rFonts w:ascii="Aptos" w:hAnsi="Aptos" w:eastAsia="Aptos" w:cs="Aptos"/>
          <w:noProof w:val="0"/>
          <w:color w:val="9BE963"/>
          <w:sz w:val="24"/>
          <w:szCs w:val="24"/>
          <w:lang w:val="en-US"/>
        </w:rPr>
        <w:t>{</w:t>
      </w:r>
      <w:r w:rsidRPr="0524EDBF" w:rsidR="67B6E34A">
        <w:rPr>
          <w:rFonts w:ascii="Aptos" w:hAnsi="Aptos" w:eastAsia="Aptos" w:cs="Aptos"/>
          <w:noProof w:val="0"/>
          <w:color w:val="96E35F"/>
          <w:sz w:val="24"/>
          <w:szCs w:val="24"/>
          <w:lang w:val="en-US"/>
        </w:rPr>
        <w:t>\</w:t>
      </w:r>
      <w:r w:rsidRPr="0524EDBF" w:rsidR="67B6E34A">
        <w:rPr>
          <w:rFonts w:ascii="Aptos" w:hAnsi="Aptos" w:eastAsia="Aptos" w:cs="Aptos"/>
          <w:noProof w:val="0"/>
          <w:color w:val="96E35F"/>
          <w:sz w:val="24"/>
          <w:szCs w:val="24"/>
          <w:lang w:val="en-US"/>
        </w:rPr>
        <w:t>beta</w:t>
      </w:r>
      <w:r w:rsidRPr="0524EDBF" w:rsidR="67B6E34A">
        <w:rPr>
          <w:rFonts w:ascii="Aptos" w:hAnsi="Aptos" w:eastAsia="Aptos" w:cs="Aptos"/>
          <w:noProof w:val="0"/>
          <w:color w:val="9BE963"/>
          <w:sz w:val="24"/>
          <w:szCs w:val="24"/>
          <w:lang w:val="en-US"/>
        </w:rPr>
        <w:t>}_</w:t>
      </w:r>
      <w:r w:rsidRPr="0524EDBF" w:rsidR="67B6E34A">
        <w:rPr>
          <w:rFonts w:ascii="Aptos" w:hAnsi="Aptos" w:eastAsia="Aptos" w:cs="Aptos"/>
          <w:noProof w:val="0"/>
          <w:color w:val="9BE963"/>
          <w:sz w:val="24"/>
          <w:szCs w:val="24"/>
          <w:lang w:val="en-US"/>
        </w:rPr>
        <w:t>{</w:t>
      </w:r>
      <w:r w:rsidRPr="0524EDBF" w:rsidR="67B6E34A">
        <w:rPr>
          <w:rFonts w:ascii="Aptos" w:hAnsi="Aptos" w:eastAsia="Aptos" w:cs="Aptos"/>
          <w:noProof w:val="0"/>
          <w:color w:val="96E35F"/>
          <w:sz w:val="24"/>
          <w:szCs w:val="24"/>
          <w:lang w:val="en-US"/>
        </w:rPr>
        <w:t>\</w:t>
      </w:r>
      <w:r w:rsidRPr="0524EDBF" w:rsidR="67B6E34A">
        <w:rPr>
          <w:rFonts w:ascii="Aptos" w:hAnsi="Aptos" w:eastAsia="Aptos" w:cs="Aptos"/>
          <w:noProof w:val="0"/>
          <w:color w:val="96E35F"/>
          <w:sz w:val="24"/>
          <w:szCs w:val="24"/>
          <w:lang w:val="en-US"/>
        </w:rPr>
        <w:t>text</w:t>
      </w:r>
      <w:r w:rsidRPr="0524EDBF" w:rsidR="67B6E34A">
        <w:rPr>
          <w:rFonts w:ascii="Aptos" w:hAnsi="Aptos" w:eastAsia="Aptos" w:cs="Aptos"/>
          <w:noProof w:val="0"/>
          <w:color w:val="9BE963"/>
          <w:sz w:val="24"/>
          <w:szCs w:val="24"/>
          <w:lang w:val="en-US"/>
        </w:rPr>
        <w:t>{</w:t>
      </w:r>
      <w:r w:rsidRPr="0524EDBF" w:rsidR="67B6E34A">
        <w:rPr>
          <w:rFonts w:ascii="Aptos" w:hAnsi="Aptos" w:eastAsia="Aptos" w:cs="Aptos"/>
          <w:noProof w:val="0"/>
          <w:color w:val="9BE963"/>
          <w:sz w:val="24"/>
          <w:szCs w:val="24"/>
          <w:lang w:val="en-US"/>
        </w:rPr>
        <w:t xml:space="preserve">IS}} </w:t>
      </w:r>
      <w:r w:rsidRPr="0524EDBF" w:rsidR="67B6E34A">
        <w:rPr>
          <w:rFonts w:ascii="Aptos" w:hAnsi="Aptos" w:eastAsia="Aptos" w:cs="Aptos"/>
          <w:noProof w:val="0"/>
          <w:color w:val="9BE963"/>
          <w:sz w:val="24"/>
          <w:szCs w:val="24"/>
          <w:lang w:val="en-US"/>
        </w:rPr>
        <w:t>x_t</w:t>
      </w:r>
      <w:r w:rsidRPr="0524EDBF" w:rsidR="67B6E34A">
        <w:rPr>
          <w:rFonts w:ascii="Aptos" w:hAnsi="Aptos" w:eastAsia="Aptos" w:cs="Aptos"/>
          <w:noProof w:val="0"/>
          <w:color w:val="9BE963"/>
          <w:sz w:val="24"/>
          <w:szCs w:val="24"/>
          <w:lang w:val="en-US"/>
        </w:rPr>
        <w:t xml:space="preserve"> - </w:t>
      </w:r>
      <w:r w:rsidRPr="0524EDBF" w:rsidR="67B6E34A">
        <w:rPr>
          <w:rFonts w:ascii="Aptos" w:hAnsi="Aptos" w:eastAsia="Aptos" w:cs="Aptos"/>
          <w:noProof w:val="0"/>
          <w:color w:val="96E35F"/>
          <w:sz w:val="24"/>
          <w:szCs w:val="24"/>
          <w:lang w:val="en-US"/>
        </w:rPr>
        <w:t>\hat</w:t>
      </w:r>
      <w:r w:rsidRPr="0524EDBF" w:rsidR="67B6E34A">
        <w:rPr>
          <w:rFonts w:ascii="Aptos" w:hAnsi="Aptos" w:eastAsia="Aptos" w:cs="Aptos"/>
          <w:noProof w:val="0"/>
          <w:color w:val="9BE963"/>
          <w:sz w:val="24"/>
          <w:szCs w:val="24"/>
          <w:lang w:val="en-US"/>
        </w:rPr>
        <w:t>{</w:t>
      </w:r>
      <w:r w:rsidRPr="0524EDBF" w:rsidR="67B6E34A">
        <w:rPr>
          <w:rFonts w:ascii="Aptos" w:hAnsi="Aptos" w:eastAsia="Aptos" w:cs="Aptos"/>
          <w:noProof w:val="0"/>
          <w:color w:val="96E35F"/>
          <w:sz w:val="24"/>
          <w:szCs w:val="24"/>
          <w:lang w:val="en-US"/>
        </w:rPr>
        <w:t>\</w:t>
      </w:r>
      <w:r w:rsidRPr="0524EDBF" w:rsidR="67B6E34A">
        <w:rPr>
          <w:rFonts w:ascii="Aptos" w:hAnsi="Aptos" w:eastAsia="Aptos" w:cs="Aptos"/>
          <w:noProof w:val="0"/>
          <w:color w:val="96E35F"/>
          <w:sz w:val="24"/>
          <w:szCs w:val="24"/>
          <w:lang w:val="en-US"/>
        </w:rPr>
        <w:t>alpha</w:t>
      </w:r>
      <w:r w:rsidRPr="0524EDBF" w:rsidR="67B6E34A">
        <w:rPr>
          <w:rFonts w:ascii="Aptos" w:hAnsi="Aptos" w:eastAsia="Aptos" w:cs="Aptos"/>
          <w:noProof w:val="0"/>
          <w:color w:val="9BE963"/>
          <w:sz w:val="24"/>
          <w:szCs w:val="24"/>
          <w:lang w:val="en-US"/>
        </w:rPr>
        <w:t>}_</w:t>
      </w:r>
      <w:r w:rsidRPr="0524EDBF" w:rsidR="67B6E34A">
        <w:rPr>
          <w:rFonts w:ascii="Aptos" w:hAnsi="Aptos" w:eastAsia="Aptos" w:cs="Aptos"/>
          <w:noProof w:val="0"/>
          <w:color w:val="9BE963"/>
          <w:sz w:val="24"/>
          <w:szCs w:val="24"/>
          <w:lang w:val="en-US"/>
        </w:rPr>
        <w:t>{</w:t>
      </w:r>
      <w:r w:rsidRPr="0524EDBF" w:rsidR="67B6E34A">
        <w:rPr>
          <w:rFonts w:ascii="Aptos" w:hAnsi="Aptos" w:eastAsia="Aptos" w:cs="Aptos"/>
          <w:noProof w:val="0"/>
          <w:color w:val="96E35F"/>
          <w:sz w:val="24"/>
          <w:szCs w:val="24"/>
          <w:lang w:val="en-US"/>
        </w:rPr>
        <w:t>\</w:t>
      </w:r>
      <w:r w:rsidRPr="0524EDBF" w:rsidR="67B6E34A">
        <w:rPr>
          <w:rFonts w:ascii="Aptos" w:hAnsi="Aptos" w:eastAsia="Aptos" w:cs="Aptos"/>
          <w:noProof w:val="0"/>
          <w:color w:val="96E35F"/>
          <w:sz w:val="24"/>
          <w:szCs w:val="24"/>
          <w:lang w:val="en-US"/>
        </w:rPr>
        <w:t>text</w:t>
      </w:r>
      <w:r w:rsidRPr="0524EDBF" w:rsidR="67B6E34A">
        <w:rPr>
          <w:rFonts w:ascii="Aptos" w:hAnsi="Aptos" w:eastAsia="Aptos" w:cs="Aptos"/>
          <w:noProof w:val="0"/>
          <w:color w:val="9BE963"/>
          <w:sz w:val="24"/>
          <w:szCs w:val="24"/>
          <w:lang w:val="en-US"/>
        </w:rPr>
        <w:t>{</w:t>
      </w:r>
      <w:r w:rsidRPr="0524EDBF" w:rsidR="67B6E34A">
        <w:rPr>
          <w:rFonts w:ascii="Aptos" w:hAnsi="Aptos" w:eastAsia="Aptos" w:cs="Aptos"/>
          <w:noProof w:val="0"/>
          <w:color w:val="9BE963"/>
          <w:sz w:val="24"/>
          <w:szCs w:val="24"/>
          <w:lang w:val="en-US"/>
        </w:rPr>
        <w:t>IS</w:t>
      </w:r>
      <w:r w:rsidRPr="0524EDBF" w:rsidR="67B6E34A">
        <w:rPr>
          <w:rFonts w:ascii="Aptos" w:hAnsi="Aptos" w:eastAsia="Aptos" w:cs="Aptos"/>
          <w:noProof w:val="0"/>
          <w:color w:val="9BE963"/>
          <w:sz w:val="24"/>
          <w:szCs w:val="24"/>
          <w:lang w:val="en-US"/>
        </w:rPr>
        <w:t>}}$</w:t>
      </w:r>
      <w:r w:rsidRPr="0524EDBF" w:rsidR="67B6E3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</w:t>
      </w:r>
      <w:r w:rsidRPr="0524EDBF" w:rsidR="67B6E34A">
        <w:rPr>
          <w:rFonts w:ascii="Aptos" w:hAnsi="Aptos" w:eastAsia="Aptos" w:cs="Aptos"/>
          <w:noProof w:val="0"/>
          <w:color w:val="9BE963"/>
          <w:sz w:val="24"/>
          <w:szCs w:val="24"/>
          <w:lang w:val="en-US"/>
        </w:rPr>
        <w:t xml:space="preserve">$t </w:t>
      </w:r>
      <w:r w:rsidRPr="0524EDBF" w:rsidR="67B6E34A">
        <w:rPr>
          <w:rFonts w:ascii="Aptos" w:hAnsi="Aptos" w:eastAsia="Aptos" w:cs="Aptos"/>
          <w:noProof w:val="0"/>
          <w:color w:val="96E35F"/>
          <w:sz w:val="24"/>
          <w:szCs w:val="24"/>
          <w:lang w:val="en-US"/>
        </w:rPr>
        <w:t>\in</w:t>
      </w:r>
      <w:r w:rsidRPr="0524EDBF" w:rsidR="67B6E34A">
        <w:rPr>
          <w:rFonts w:ascii="Aptos" w:hAnsi="Aptos" w:eastAsia="Aptos" w:cs="Aptos"/>
          <w:noProof w:val="0"/>
          <w:color w:val="9BE963"/>
          <w:sz w:val="24"/>
          <w:szCs w:val="24"/>
          <w:lang w:val="en-US"/>
        </w:rPr>
        <w:t xml:space="preserve"> </w:t>
      </w:r>
      <w:r w:rsidRPr="0524EDBF" w:rsidR="67B6E34A">
        <w:rPr>
          <w:rFonts w:ascii="Aptos" w:hAnsi="Aptos" w:eastAsia="Aptos" w:cs="Aptos"/>
          <w:noProof w:val="0"/>
          <w:color w:val="96E35F"/>
          <w:sz w:val="24"/>
          <w:szCs w:val="24"/>
          <w:lang w:val="en-US"/>
        </w:rPr>
        <w:t>\</w:t>
      </w:r>
      <w:r w:rsidRPr="0524EDBF" w:rsidR="67B6E34A">
        <w:rPr>
          <w:rFonts w:ascii="Aptos" w:hAnsi="Aptos" w:eastAsia="Aptos" w:cs="Aptos"/>
          <w:noProof w:val="0"/>
          <w:color w:val="96E35F"/>
          <w:sz w:val="24"/>
          <w:szCs w:val="24"/>
          <w:lang w:val="en-US"/>
        </w:rPr>
        <w:t>text</w:t>
      </w:r>
      <w:r w:rsidRPr="0524EDBF" w:rsidR="67B6E34A">
        <w:rPr>
          <w:rFonts w:ascii="Aptos" w:hAnsi="Aptos" w:eastAsia="Aptos" w:cs="Aptos"/>
          <w:noProof w:val="0"/>
          <w:color w:val="9BE963"/>
          <w:sz w:val="24"/>
          <w:szCs w:val="24"/>
          <w:lang w:val="en-US"/>
        </w:rPr>
        <w:t>{</w:t>
      </w:r>
      <w:r w:rsidRPr="0524EDBF" w:rsidR="67B6E34A">
        <w:rPr>
          <w:rFonts w:ascii="Aptos" w:hAnsi="Aptos" w:eastAsia="Aptos" w:cs="Aptos"/>
          <w:noProof w:val="0"/>
          <w:color w:val="9BE963"/>
          <w:sz w:val="24"/>
          <w:szCs w:val="24"/>
          <w:lang w:val="en-US"/>
        </w:rPr>
        <w:t>OOS}$</w:t>
      </w:r>
      <w:r w:rsidRPr="0524EDBF" w:rsidR="67B6E34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572F2F0" w:rsidP="0524EDBF" w:rsidRDefault="2572F2F0" w14:paraId="51AEECDE" w14:textId="72B410A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572F2F0" w:rsidP="0524EDBF" w:rsidRDefault="2572F2F0" w14:paraId="5874DE46" w14:textId="6C63F2D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24EDBF" w:rsidR="51C67C0C">
        <w:rPr>
          <w:rFonts w:ascii="Aptos" w:hAnsi="Aptos" w:eastAsia="Aptos" w:cs="Aptos"/>
          <w:noProof w:val="0"/>
          <w:sz w:val="24"/>
          <w:szCs w:val="24"/>
          <w:lang w:val="en-US"/>
        </w:rPr>
        <w:t>Once they are both computed, spread statistics for both in-sample and out-of-sample will be compared.</w:t>
      </w:r>
    </w:p>
    <w:p w:rsidR="2572F2F0" w:rsidP="0524EDBF" w:rsidRDefault="2572F2F0" w14:paraId="27CC9263" w14:textId="0D8AB23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572F2F0" w:rsidP="0524EDBF" w:rsidRDefault="2572F2F0" w14:paraId="442874ED" w14:textId="7CCD5C74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524EDBF" w:rsidR="51C67C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3: Return Estimation</w:t>
      </w:r>
    </w:p>
    <w:p w:rsidR="2572F2F0" w:rsidP="0524EDBF" w:rsidRDefault="2572F2F0" w14:paraId="48FCF158" w14:textId="21923299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524EDBF" w:rsidR="51C67C0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Predict the estimated returns obtained from spread-based MPT vs </w:t>
      </w:r>
      <w:r w:rsidRPr="0524EDBF" w:rsidR="51C67C0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traidtional</w:t>
      </w:r>
      <w:r w:rsidRPr="0524EDBF" w:rsidR="51C67C0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MPT (mean-variance framework) - </w:t>
      </w:r>
      <w:r w:rsidRPr="0524EDBF" w:rsidR="51C67C0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analyse</w:t>
      </w:r>
      <w:r w:rsidRPr="0524EDBF" w:rsidR="51C67C0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(address the research hypothesis)</w:t>
      </w:r>
    </w:p>
    <w:p w:rsidR="2572F2F0" w:rsidP="0524EDBF" w:rsidRDefault="2572F2F0" w14:paraId="2C580590" w14:textId="73A53E2C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2572F2F0" w:rsidP="0524EDBF" w:rsidRDefault="2572F2F0" w14:paraId="02D425BD" w14:textId="521BA397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524EDBF" w:rsidR="51C67C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4: Backtest Results</w:t>
      </w:r>
    </w:p>
    <w:p w:rsidR="2572F2F0" w:rsidP="0524EDBF" w:rsidRDefault="2572F2F0" w14:paraId="23BC0847" w14:textId="6751C1AA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524EDBF" w:rsidR="51C67C0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Backtest</w:t>
      </w:r>
      <w:r w:rsidRPr="0524EDBF" w:rsidR="51C67C0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results with metrics </w:t>
      </w:r>
      <w:r w:rsidRPr="0524EDBF" w:rsidR="51C67C0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i.e.</w:t>
      </w:r>
      <w:r w:rsidRPr="0524EDBF" w:rsidR="51C67C0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Sharpe ratio, </w:t>
      </w:r>
      <w:r w:rsidRPr="0524EDBF" w:rsidR="51C67C0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maximum</w:t>
      </w:r>
      <w:r w:rsidRPr="0524EDBF" w:rsidR="51C67C0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524EDBF" w:rsidR="51C67C0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drawdown</w:t>
      </w:r>
      <w:r w:rsidRPr="0524EDBF" w:rsidR="51C67C0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volatility reduction</w:t>
      </w:r>
    </w:p>
    <w:p w:rsidR="2572F2F0" w:rsidP="0524EDBF" w:rsidRDefault="2572F2F0" w14:paraId="369A9021" w14:textId="3AB42540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2572F2F0" w:rsidP="0524EDBF" w:rsidRDefault="2572F2F0" w14:paraId="46C805F7" w14:textId="0B06CB0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572F2F0" w:rsidP="0524EDBF" w:rsidRDefault="2572F2F0" w14:paraId="3C05FCA4" w14:textId="4C6B6F9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572F2F0" w:rsidP="0524EDBF" w:rsidRDefault="2572F2F0" w14:paraId="126BC60C" w14:textId="12B7EB82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="4BFB809F">
        <w:rPr/>
        <w:t>Cointegration Results</w:t>
      </w:r>
    </w:p>
    <w:p w:rsidR="2572F2F0" w:rsidP="0524EDBF" w:rsidRDefault="2572F2F0" w14:paraId="2404AD7D" w14:textId="025916C5">
      <w:pPr/>
      <w:r w:rsidR="1C6A1A1D">
        <w:rPr/>
        <w:t xml:space="preserve">From the 9 pairs that we have pre-selected, we have found </w:t>
      </w:r>
      <w:r w:rsidR="7C9DB2BD">
        <w:rPr/>
        <w:t>three</w:t>
      </w:r>
      <w:r w:rsidR="1C6A1A1D">
        <w:rPr/>
        <w:t xml:space="preserve"> pairs that are co-integrated (p-value &lt; 0.05)</w:t>
      </w:r>
    </w:p>
    <w:p w:rsidR="2572F2F0" w:rsidP="2572F2F0" w:rsidRDefault="2572F2F0" w14:paraId="106F345F" w14:textId="17627F69">
      <w:pPr>
        <w:pStyle w:val="Normal"/>
      </w:pPr>
    </w:p>
    <w:p w:rsidR="2572F2F0" w:rsidP="2572F2F0" w:rsidRDefault="2572F2F0" w14:paraId="0F72FAC4" w14:textId="535F72B2">
      <w:pPr>
        <w:pStyle w:val="Normal"/>
      </w:pPr>
      <w:r w:rsidR="0EA2DFD7">
        <w:drawing>
          <wp:inline wp14:editId="23A8ACB2" wp14:anchorId="1187EA49">
            <wp:extent cx="5943600" cy="1743075"/>
            <wp:effectExtent l="0" t="0" r="0" b="0"/>
            <wp:docPr id="1260715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0715564" name="Picture 1260715564"/>
                    <pic:cNvPicPr/>
                  </pic:nvPicPr>
                  <pic:blipFill>
                    <a:blip xmlns:r="http://schemas.openxmlformats.org/officeDocument/2006/relationships" r:embed="rId2190276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72F2F0" w:rsidP="2572F2F0" w:rsidRDefault="2572F2F0" w14:paraId="2BDAB79D" w14:textId="4C594122">
      <w:pPr>
        <w:pStyle w:val="Normal"/>
      </w:pPr>
      <w:r w:rsidR="0EA2DFD7">
        <w:rPr/>
        <w:t>Table</w:t>
      </w:r>
    </w:p>
    <w:p w:rsidR="0524EDBF" w:rsidP="0524EDBF" w:rsidRDefault="0524EDBF" w14:paraId="2C3E7D5F" w14:textId="177AC37A">
      <w:pPr>
        <w:pStyle w:val="Normal"/>
      </w:pPr>
    </w:p>
    <w:p w:rsidR="0EA2DFD7" w:rsidP="0524EDBF" w:rsidRDefault="0EA2DFD7" w14:paraId="49800649" w14:textId="1BC663A8">
      <w:pPr>
        <w:pStyle w:val="Normal"/>
      </w:pPr>
      <w:r w:rsidR="0EA2DFD7">
        <w:drawing>
          <wp:inline wp14:editId="45938333" wp14:anchorId="21DFBA94">
            <wp:extent cx="5943600" cy="1285875"/>
            <wp:effectExtent l="0" t="0" r="0" b="0"/>
            <wp:docPr id="1295435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5435009" name="Picture 1295435009"/>
                    <pic:cNvPicPr/>
                  </pic:nvPicPr>
                  <pic:blipFill>
                    <a:blip xmlns:r="http://schemas.openxmlformats.org/officeDocument/2006/relationships" r:embed="rId21115677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53EE35" w:rsidP="0524EDBF" w:rsidRDefault="0953EE35" w14:paraId="09C357F3" w14:textId="26BF5400">
      <w:pPr>
        <w:pStyle w:val="Normal"/>
      </w:pPr>
      <w:r w:rsidR="0953EE35">
        <w:rPr/>
        <w:t>Rolling Half Life</w:t>
      </w:r>
    </w:p>
    <w:p w:rsidR="0953EE35" w:rsidP="0524EDBF" w:rsidRDefault="0953EE35" w14:paraId="035AB80B" w14:textId="2D95C6A3">
      <w:pPr>
        <w:pStyle w:val="Normal"/>
      </w:pPr>
      <w:r w:rsidR="0953EE35">
        <w:drawing>
          <wp:inline wp14:editId="31C30929" wp14:anchorId="0A6E4CB8">
            <wp:extent cx="5943600" cy="2219325"/>
            <wp:effectExtent l="0" t="0" r="0" b="0"/>
            <wp:docPr id="20195316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9531691" name="Picture 2019531691"/>
                    <pic:cNvPicPr/>
                  </pic:nvPicPr>
                  <pic:blipFill>
                    <a:blip xmlns:r="http://schemas.openxmlformats.org/officeDocument/2006/relationships" r:embed="rId1732170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53EE35">
        <w:drawing>
          <wp:inline wp14:editId="5CC16300" wp14:anchorId="3C80FCC5">
            <wp:extent cx="5943600" cy="990600"/>
            <wp:effectExtent l="0" t="0" r="0" b="0"/>
            <wp:docPr id="939952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995240" name="Picture 93995240"/>
                    <pic:cNvPicPr/>
                  </pic:nvPicPr>
                  <pic:blipFill>
                    <a:blip xmlns:r="http://schemas.openxmlformats.org/officeDocument/2006/relationships" r:embed="rId1397870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53EE35" w:rsidP="0524EDBF" w:rsidRDefault="0953EE35" w14:paraId="459C951B" w14:textId="2417489C">
      <w:pPr>
        <w:pStyle w:val="Normal"/>
      </w:pPr>
      <w:r w:rsidR="0953EE35">
        <w:rPr/>
        <w:t xml:space="preserve">There is empty data between March 1, </w:t>
      </w:r>
      <w:r w:rsidR="0953EE35">
        <w:rPr/>
        <w:t>2022</w:t>
      </w:r>
      <w:r w:rsidR="0953EE35">
        <w:rPr/>
        <w:t xml:space="preserve"> to April 22, </w:t>
      </w:r>
      <w:r w:rsidR="0953EE35">
        <w:rPr/>
        <w:t>2022</w:t>
      </w:r>
      <w:r w:rsidR="0953EE35">
        <w:rPr/>
        <w:t xml:space="preserve"> due to the spike of oil prices caused by the Russia-Ukraine war, where the rolling </w:t>
      </w:r>
      <w:r w:rsidR="0953EE35">
        <w:rPr/>
        <w:t>half life</w:t>
      </w:r>
      <w:r w:rsidR="0953EE35">
        <w:rPr/>
        <w:t xml:space="preserve"> approaches infinity</w:t>
      </w:r>
    </w:p>
    <w:p w:rsidR="0524EDBF" w:rsidP="0524EDBF" w:rsidRDefault="0524EDBF" w14:paraId="7D692B91" w14:textId="3BCABEE6">
      <w:pPr>
        <w:pStyle w:val="Normal"/>
      </w:pPr>
    </w:p>
    <w:p w:rsidR="59FC7E47" w:rsidP="0524EDBF" w:rsidRDefault="59FC7E47" w14:paraId="1A342C3F" w14:textId="41DB9215">
      <w:pPr>
        <w:pStyle w:val="Normal"/>
        <w:rPr>
          <w:b w:val="0"/>
          <w:bCs w:val="0"/>
        </w:rPr>
      </w:pPr>
      <w:r w:rsidRPr="0524EDBF" w:rsidR="59FC7E47">
        <w:rPr>
          <w:b w:val="1"/>
          <w:bCs w:val="1"/>
        </w:rPr>
        <w:t>Sanity Check</w:t>
      </w:r>
    </w:p>
    <w:p w:rsidR="528EE0B1" w:rsidP="0524EDBF" w:rsidRDefault="528EE0B1" w14:paraId="666D1352" w14:textId="518AF6CC">
      <w:pPr>
        <w:pStyle w:val="Normal"/>
      </w:pPr>
      <w:r w:rsidR="528EE0B1">
        <w:drawing>
          <wp:inline wp14:editId="1A44DA5B" wp14:anchorId="28A75523">
            <wp:extent cx="5943600" cy="1362075"/>
            <wp:effectExtent l="0" t="0" r="0" b="0"/>
            <wp:docPr id="3227943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2794303" name="Picture 322794303"/>
                    <pic:cNvPicPr/>
                  </pic:nvPicPr>
                  <pic:blipFill>
                    <a:blip xmlns:r="http://schemas.openxmlformats.org/officeDocument/2006/relationships" r:embed="rId611870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FC7E47" w:rsidP="0524EDBF" w:rsidRDefault="59FC7E47" w14:paraId="673B5D22" w14:textId="669F0343">
      <w:pPr>
        <w:spacing w:before="240" w:beforeAutospacing="off" w:after="240" w:afterAutospacing="off"/>
      </w:pPr>
      <w:r w:rsidRPr="0524EDBF" w:rsidR="59FC7E47">
        <w:rPr>
          <w:rFonts w:ascii="Aptos" w:hAnsi="Aptos" w:eastAsia="Aptos" w:cs="Aptos"/>
          <w:noProof w:val="0"/>
          <w:sz w:val="24"/>
          <w:szCs w:val="24"/>
          <w:lang w:val="en-US"/>
        </w:rPr>
        <w:t>Table~\ref{tab:oos_spread_stats} reveals considerable heterogeneity in out-of-sample spread stability. CVX/XOM exhibits the smallest mean shift and a compression in spread volatility, consistent with a stable long-run equilibrium. KO/PEP and GS/MS both exhibit substantial positive mean drift, with GS/MS showing a complete upward displacement of the spread range — the OOS minimum exceeds the in-sample maximum — suggesting a potential structural break in the cointegrating relationship. These findings motivate caution in interpreting backtest results for the latter two pairs.</w:t>
      </w:r>
    </w:p>
    <w:p w:rsidR="6542DE7C" w:rsidP="0524EDBF" w:rsidRDefault="6542DE7C" w14:paraId="1B5415E5" w14:textId="70F5E000">
      <w:pPr>
        <w:pStyle w:val="Normal"/>
      </w:pPr>
      <w:r w:rsidR="6542DE7C">
        <w:drawing>
          <wp:inline wp14:editId="1CBC4ADA" wp14:anchorId="565AB7A3">
            <wp:extent cx="5943600" cy="1914525"/>
            <wp:effectExtent l="0" t="0" r="0" b="0"/>
            <wp:docPr id="1053851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851180" name="Picture 1053851180"/>
                    <pic:cNvPicPr/>
                  </pic:nvPicPr>
                  <pic:blipFill>
                    <a:blip xmlns:r="http://schemas.openxmlformats.org/officeDocument/2006/relationships" r:embed="rId303307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AAFEA1" w:rsidP="093A71AD" w:rsidRDefault="64AAFEA1" w14:paraId="3A9B9A26" w14:textId="1B6764B3">
      <w:pPr>
        <w:pStyle w:val="Heading1"/>
        <w:rPr>
          <w:b w:val="1"/>
          <w:bCs w:val="1"/>
          <w:sz w:val="24"/>
          <w:szCs w:val="24"/>
        </w:rPr>
      </w:pPr>
      <w:r w:rsidR="118A2782">
        <w:rPr/>
        <w:t>Analysis from Cointegration</w:t>
      </w:r>
    </w:p>
    <w:p w:rsidR="093A71AD" w:rsidP="093A71AD" w:rsidRDefault="093A71AD" w14:paraId="6DF099A2" w14:textId="5A7612EA">
      <w:pPr>
        <w:pStyle w:val="Normal"/>
      </w:pPr>
      <w:r w:rsidR="3BA0CCF0">
        <w:rPr/>
        <w:t>The OOS $z$-scores are computed relative to the rolling OOS mean and  therefore reflect displacement from the prevailing spread level rather  than the original in-sample equilibrium. For KO/PEP and GS/MS, where  the spread has undergone a permanent level shift, a moderate $z$-score does not imply proximity to the in-sample mean but rather localised  stability around a new regime, which is consistent with the ADF and  half-life deterioration observed for both pairs.</w:t>
      </w:r>
    </w:p>
    <w:p w:rsidR="093A71AD" w:rsidP="093A71AD" w:rsidRDefault="093A71AD" w14:paraId="50D012CE" w14:textId="71D31417">
      <w:pPr>
        <w:pStyle w:val="Normal"/>
        <w:rPr>
          <w:b w:val="1"/>
          <w:bCs w:val="1"/>
          <w:sz w:val="24"/>
          <w:szCs w:val="24"/>
        </w:rPr>
      </w:pPr>
    </w:p>
    <w:p w:rsidR="3BA0CCF0" w:rsidP="0524EDBF" w:rsidRDefault="3BA0CCF0" w14:paraId="752E0A7E" w14:textId="4F6D8902">
      <w:pPr>
        <w:pStyle w:val="Normal"/>
        <w:rPr>
          <w:b w:val="0"/>
          <w:bCs w:val="0"/>
          <w:sz w:val="24"/>
          <w:szCs w:val="24"/>
        </w:rPr>
      </w:pPr>
      <w:r w:rsidRPr="0524EDBF" w:rsidR="3BA0CCF0">
        <w:rPr>
          <w:b w:val="1"/>
          <w:bCs w:val="1"/>
          <w:sz w:val="24"/>
          <w:szCs w:val="24"/>
        </w:rPr>
        <w:t xml:space="preserve">Out of the 3 pairs that were </w:t>
      </w:r>
      <w:r w:rsidRPr="0524EDBF" w:rsidR="3BA0CCF0">
        <w:rPr>
          <w:b w:val="1"/>
          <w:bCs w:val="1"/>
          <w:sz w:val="24"/>
          <w:szCs w:val="24"/>
        </w:rPr>
        <w:t>deemed</w:t>
      </w:r>
      <w:r w:rsidRPr="0524EDBF" w:rsidR="3BA0CCF0">
        <w:rPr>
          <w:b w:val="1"/>
          <w:bCs w:val="1"/>
          <w:sz w:val="24"/>
          <w:szCs w:val="24"/>
        </w:rPr>
        <w:t xml:space="preserve"> cointegrated from the in-sample range, </w:t>
      </w:r>
      <w:r w:rsidRPr="0524EDBF" w:rsidR="0B68E528">
        <w:rPr>
          <w:b w:val="1"/>
          <w:bCs w:val="1"/>
          <w:sz w:val="24"/>
          <w:szCs w:val="24"/>
        </w:rPr>
        <w:t xml:space="preserve">the cointegration for </w:t>
      </w:r>
      <w:r w:rsidRPr="0524EDBF" w:rsidR="0B68E528">
        <w:rPr>
          <w:b w:val="0"/>
          <w:bCs w:val="0"/>
          <w:sz w:val="24"/>
          <w:szCs w:val="24"/>
        </w:rPr>
        <w:t>out-of-sample (2024-2025) is breaking down</w:t>
      </w:r>
    </w:p>
    <w:p w:rsidR="0524EDBF" w:rsidP="0524EDBF" w:rsidRDefault="0524EDBF" w14:paraId="6508802B" w14:textId="09560FCE">
      <w:pPr>
        <w:pStyle w:val="Normal"/>
        <w:rPr>
          <w:b w:val="0"/>
          <w:bCs w:val="0"/>
          <w:sz w:val="24"/>
          <w:szCs w:val="24"/>
        </w:rPr>
      </w:pPr>
    </w:p>
    <w:p w:rsidR="1AB01623" w:rsidP="0524EDBF" w:rsidRDefault="1AB01623" w14:paraId="5EA0CA2B" w14:textId="7F9F33D4">
      <w:pPr>
        <w:pStyle w:val="Heading1"/>
      </w:pPr>
      <w:r w:rsidR="1AB01623">
        <w:rPr/>
        <w:t>Return Estimation</w:t>
      </w:r>
    </w:p>
    <w:p w:rsidR="1AB01623" w:rsidP="0524EDBF" w:rsidRDefault="1AB01623" w14:paraId="2AE3B915" w14:textId="5006CD74">
      <w:pPr>
        <w:pStyle w:val="Normal"/>
      </w:pPr>
      <w:r w:rsidR="1AB01623">
        <w:drawing>
          <wp:inline wp14:editId="5AF2D2FA" wp14:anchorId="45EB0A46">
            <wp:extent cx="5943600" cy="1752600"/>
            <wp:effectExtent l="0" t="0" r="0" b="0"/>
            <wp:docPr id="1264889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4889531" name="Picture 1264889531"/>
                    <pic:cNvPicPr/>
                  </pic:nvPicPr>
                  <pic:blipFill>
                    <a:blip xmlns:r="http://schemas.openxmlformats.org/officeDocument/2006/relationships" r:embed="rId1395642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B01623">
        <w:rPr/>
        <w:t>The historical estimator is uniformly bullish — every asset showed strong IS returns 2019–2023. The OU estimator is more nuanced: GS/MS with z=1.74 gets a strong negative signal (spread stretched, expect reversion), KO/PEP with z=−0.76 gets a small positive signal, CVX/XOM with z=0.30 gets a mild negative signal. This divergence is the entire methodological contribution — the OU estimator uses current market information (where the spread sits right now) rather than averaging over 5 years of history.</w:t>
      </w:r>
    </w:p>
    <w:p w:rsidR="1AB01623" w:rsidP="0524EDBF" w:rsidRDefault="1AB01623" w14:paraId="36C76FD4" w14:textId="556D7A8F">
      <w:pPr>
        <w:pStyle w:val="Normal"/>
      </w:pPr>
      <w:r w:rsidR="1AB01623">
        <w:rPr/>
        <w:t>The covariance structure also tells an important story. Spread-space correlations are very low — the off-diagonal entries in spread_cov are tiny (0.003, 0.001, 0.001) compared to asset-space where all six stocks co-move strongly (CVX/XOM correlation implied by cov is ~0.72). This is why the OU portfolio achieves lower volatility — spreads are structurally decorrelated because the hedge ratio cancels common factor exposure.</w:t>
      </w:r>
    </w:p>
    <w:p w:rsidR="0524EDBF" w:rsidP="0524EDBF" w:rsidRDefault="0524EDBF" w14:paraId="3B655F66" w14:textId="29612FC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668626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6f3df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8bb4b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8cfb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5691c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9871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1f15f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e58b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2DC46A"/>
    <w:rsid w:val="00247487"/>
    <w:rsid w:val="002F55CA"/>
    <w:rsid w:val="0087B3C5"/>
    <w:rsid w:val="011F638B"/>
    <w:rsid w:val="0173E734"/>
    <w:rsid w:val="01EC18A3"/>
    <w:rsid w:val="01F17E83"/>
    <w:rsid w:val="034C79FD"/>
    <w:rsid w:val="03D5DB05"/>
    <w:rsid w:val="04263BEB"/>
    <w:rsid w:val="0524EDBF"/>
    <w:rsid w:val="0667C19C"/>
    <w:rsid w:val="067A007C"/>
    <w:rsid w:val="08821872"/>
    <w:rsid w:val="08A07F47"/>
    <w:rsid w:val="08EF6A08"/>
    <w:rsid w:val="093A71AD"/>
    <w:rsid w:val="0953EE35"/>
    <w:rsid w:val="09583D2A"/>
    <w:rsid w:val="099C07BE"/>
    <w:rsid w:val="0B68E528"/>
    <w:rsid w:val="0B935329"/>
    <w:rsid w:val="0C814013"/>
    <w:rsid w:val="0D0286D3"/>
    <w:rsid w:val="0EA2DFD7"/>
    <w:rsid w:val="0EC9609E"/>
    <w:rsid w:val="0F75568A"/>
    <w:rsid w:val="0FCA2D9C"/>
    <w:rsid w:val="102DBCE5"/>
    <w:rsid w:val="118A2782"/>
    <w:rsid w:val="121D155F"/>
    <w:rsid w:val="1249B1AB"/>
    <w:rsid w:val="13C95EC0"/>
    <w:rsid w:val="16D7C5CA"/>
    <w:rsid w:val="17A931F8"/>
    <w:rsid w:val="186CF49D"/>
    <w:rsid w:val="186CF49D"/>
    <w:rsid w:val="18AA0EA4"/>
    <w:rsid w:val="1AB01623"/>
    <w:rsid w:val="1B10ABEA"/>
    <w:rsid w:val="1C41661B"/>
    <w:rsid w:val="1C6A1A1D"/>
    <w:rsid w:val="1E7D4383"/>
    <w:rsid w:val="1F2D818C"/>
    <w:rsid w:val="1F308A9D"/>
    <w:rsid w:val="1F524224"/>
    <w:rsid w:val="1F67EA56"/>
    <w:rsid w:val="1FEA5EA7"/>
    <w:rsid w:val="201B41B5"/>
    <w:rsid w:val="207D18AC"/>
    <w:rsid w:val="20CDC556"/>
    <w:rsid w:val="2117AECC"/>
    <w:rsid w:val="21EF1F98"/>
    <w:rsid w:val="21F9B8BD"/>
    <w:rsid w:val="2337B3A7"/>
    <w:rsid w:val="24ADD0D0"/>
    <w:rsid w:val="2572F2F0"/>
    <w:rsid w:val="25FEDCD2"/>
    <w:rsid w:val="27B54523"/>
    <w:rsid w:val="281D7479"/>
    <w:rsid w:val="291846C9"/>
    <w:rsid w:val="2AADAEFC"/>
    <w:rsid w:val="2ADB1BFA"/>
    <w:rsid w:val="2AECF333"/>
    <w:rsid w:val="2BC2F42D"/>
    <w:rsid w:val="2C61D008"/>
    <w:rsid w:val="2CA830F4"/>
    <w:rsid w:val="2DB82B13"/>
    <w:rsid w:val="2E474AEF"/>
    <w:rsid w:val="2F49F311"/>
    <w:rsid w:val="30217423"/>
    <w:rsid w:val="303FEECA"/>
    <w:rsid w:val="306BB760"/>
    <w:rsid w:val="306BE289"/>
    <w:rsid w:val="30C5DDBB"/>
    <w:rsid w:val="30FAF663"/>
    <w:rsid w:val="312C5FB3"/>
    <w:rsid w:val="31AF252E"/>
    <w:rsid w:val="34AA74FF"/>
    <w:rsid w:val="36442B7F"/>
    <w:rsid w:val="379C9096"/>
    <w:rsid w:val="37F26005"/>
    <w:rsid w:val="38774D95"/>
    <w:rsid w:val="38FD3997"/>
    <w:rsid w:val="3935EACC"/>
    <w:rsid w:val="3B293E31"/>
    <w:rsid w:val="3BA0CCF0"/>
    <w:rsid w:val="3BADBD53"/>
    <w:rsid w:val="3BF3527A"/>
    <w:rsid w:val="3C017BE7"/>
    <w:rsid w:val="3D52E72C"/>
    <w:rsid w:val="3EB70428"/>
    <w:rsid w:val="3F7433BF"/>
    <w:rsid w:val="41C00BCC"/>
    <w:rsid w:val="4311A07E"/>
    <w:rsid w:val="4377010F"/>
    <w:rsid w:val="437A37CE"/>
    <w:rsid w:val="46C0D671"/>
    <w:rsid w:val="48104810"/>
    <w:rsid w:val="48813597"/>
    <w:rsid w:val="48B2B5C1"/>
    <w:rsid w:val="49CE3A7E"/>
    <w:rsid w:val="4A04E73E"/>
    <w:rsid w:val="4BA55BD5"/>
    <w:rsid w:val="4BE4D3A2"/>
    <w:rsid w:val="4BFB809F"/>
    <w:rsid w:val="4E88E464"/>
    <w:rsid w:val="4EECD4E9"/>
    <w:rsid w:val="4EFC6AF6"/>
    <w:rsid w:val="50199154"/>
    <w:rsid w:val="50CBC892"/>
    <w:rsid w:val="512DC46A"/>
    <w:rsid w:val="51C67C0C"/>
    <w:rsid w:val="528EE0B1"/>
    <w:rsid w:val="53340113"/>
    <w:rsid w:val="54131E70"/>
    <w:rsid w:val="541457BA"/>
    <w:rsid w:val="54445C46"/>
    <w:rsid w:val="54F90195"/>
    <w:rsid w:val="56469A80"/>
    <w:rsid w:val="5766CA52"/>
    <w:rsid w:val="59A9F62A"/>
    <w:rsid w:val="59FC7E47"/>
    <w:rsid w:val="5AB84A63"/>
    <w:rsid w:val="5EC5E9AF"/>
    <w:rsid w:val="5F837C75"/>
    <w:rsid w:val="62A2D03C"/>
    <w:rsid w:val="62DEC322"/>
    <w:rsid w:val="64AAFEA1"/>
    <w:rsid w:val="6542DE7C"/>
    <w:rsid w:val="657D702D"/>
    <w:rsid w:val="65A840B5"/>
    <w:rsid w:val="66A1CEAA"/>
    <w:rsid w:val="67401F18"/>
    <w:rsid w:val="67B6E34A"/>
    <w:rsid w:val="68B66686"/>
    <w:rsid w:val="69742803"/>
    <w:rsid w:val="6A2B6ABA"/>
    <w:rsid w:val="72A5D0C2"/>
    <w:rsid w:val="737F4546"/>
    <w:rsid w:val="743DA12D"/>
    <w:rsid w:val="74BA40CE"/>
    <w:rsid w:val="7816F3B8"/>
    <w:rsid w:val="7B23F4EB"/>
    <w:rsid w:val="7C9DB2BD"/>
    <w:rsid w:val="7D69A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DC46A"/>
  <w15:chartTrackingRefBased/>
  <w15:docId w15:val="{C9C63B70-3D4A-4655-974E-CCB38E51C5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81D747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81D7479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093A71A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i.org/10.2307/1913236" TargetMode="External" Id="Rcd2865a84a31485e" /><Relationship Type="http://schemas.openxmlformats.org/officeDocument/2006/relationships/numbering" Target="numbering.xml" Id="Rdb627b48adf0496f" /><Relationship Type="http://schemas.openxmlformats.org/officeDocument/2006/relationships/image" Target="/media/image.png" Id="rId672059431" /><Relationship Type="http://schemas.openxmlformats.org/officeDocument/2006/relationships/image" Target="/media/image2.png" Id="rId782521044" /><Relationship Type="http://schemas.openxmlformats.org/officeDocument/2006/relationships/image" Target="/media/image3.png" Id="rId629811725" /><Relationship Type="http://schemas.openxmlformats.org/officeDocument/2006/relationships/hyperlink" Target="https://doi.org/10.2469/faj.v66.n4.1" TargetMode="External" Id="R54df4b96c3344a30" /><Relationship Type="http://schemas.openxmlformats.org/officeDocument/2006/relationships/hyperlink" Target="https://doi.org/10.1080/00036846.2014.975417" TargetMode="External" Id="R83ee7772532a4bed" /><Relationship Type="http://schemas.openxmlformats.org/officeDocument/2006/relationships/hyperlink" Target="https://doi.org/10.1080/14697688.2016.1164337" TargetMode="External" Id="R40d88bb83b614ac9" /><Relationship Type="http://schemas.openxmlformats.org/officeDocument/2006/relationships/hyperlink" Target="https://databento.com/docs/examples/algo-trading/pairs-trading/setup-and-dependencies" TargetMode="External" Id="R9fa20864b3bf445c" /><Relationship Type="http://schemas.openxmlformats.org/officeDocument/2006/relationships/image" Target="/media/image4.png" Id="rId219027636" /><Relationship Type="http://schemas.openxmlformats.org/officeDocument/2006/relationships/image" Target="/media/image5.png" Id="rId2111567700" /><Relationship Type="http://schemas.openxmlformats.org/officeDocument/2006/relationships/image" Target="/media/image6.png" Id="rId1732170350" /><Relationship Type="http://schemas.openxmlformats.org/officeDocument/2006/relationships/image" Target="/media/image7.png" Id="rId1397870671" /><Relationship Type="http://schemas.openxmlformats.org/officeDocument/2006/relationships/image" Target="/media/image8.png" Id="rId611870142" /><Relationship Type="http://schemas.openxmlformats.org/officeDocument/2006/relationships/image" Target="/media/image9.png" Id="rId303307715" /><Relationship Type="http://schemas.openxmlformats.org/officeDocument/2006/relationships/image" Target="/media/imagea.png" Id="rId13956424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2025-12-22T15:44:05.0415130Z</dcterms:created>
  <dcterms:modified xsi:type="dcterms:W3CDTF">2026-03-13T13:08:57.2868921Z</dcterms:modified>
  <dc:creator>Loo, Declan</dc:creator>
  <lastModifiedBy>Declan Loo</lastModifiedBy>
</coreProperties>
</file>