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E9B9CBD" w:rsidP="1BF4B67C" w:rsidRDefault="2E9B9CBD" w14:paraId="0B8D352A" w14:textId="044C2B7F">
      <w:pPr>
        <w:pStyle w:val="Heading1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</w:rPr>
      </w:pPr>
      <w:r w:rsidR="2E9B9CBD">
        <w:rPr/>
        <w:t>Literature</w:t>
      </w:r>
    </w:p>
    <w:p xmlns:wp14="http://schemas.microsoft.com/office/word/2010/wordml" w:rsidP="1BF4B67C" wp14:paraId="2C078E63" wp14:textId="392417A7">
      <w:pPr>
        <w:pStyle w:val="Heading2"/>
        <w:rPr>
          <w:b w:val="1"/>
          <w:bCs w:val="1"/>
          <w:color w:val="auto"/>
          <w:sz w:val="28"/>
          <w:szCs w:val="28"/>
        </w:rPr>
      </w:pPr>
      <w:r w:rsidR="2E9B9CBD">
        <w:rPr/>
        <w:t xml:space="preserve">Portfolio Selection - Efficient Diversification of Investments (Harry M. </w:t>
      </w:r>
      <w:r w:rsidR="2E9B9CBD">
        <w:rPr/>
        <w:t>Markowitz)</w:t>
      </w:r>
    </w:p>
    <w:p w:rsidR="2E9B9CBD" w:rsidP="1BF4B67C" w:rsidRDefault="2E9B9CBD" w14:paraId="5535C657" w14:textId="0F3A5D78">
      <w:pPr>
        <w:pStyle w:val="Normal"/>
        <w:rPr>
          <w:rFonts w:ascii="Times New Roman" w:hAnsi="Times New Roman" w:eastAsia="Times New Roman" w:cs="Times New Roman"/>
          <w:i w:val="1"/>
          <w:iCs w:val="1"/>
        </w:rPr>
      </w:pPr>
      <w:r w:rsidRPr="1BF4B67C" w:rsidR="2E9B9CBD">
        <w:rPr>
          <w:rFonts w:ascii="Times New Roman" w:hAnsi="Times New Roman" w:eastAsia="Times New Roman" w:cs="Times New Roman"/>
          <w:i w:val="1"/>
          <w:iCs w:val="1"/>
        </w:rPr>
        <w:t>Markowitz, Harry M. Portfolio Selection: Efficient Diversification of Investments. Yale University Press, 1959. JSTOR, http://www.jstor.org/stable/j.ctt1bh4c8h. Accessed 3 Nov. 2025.</w:t>
      </w:r>
    </w:p>
    <w:p w:rsidR="1BF4B67C" w:rsidRDefault="1BF4B67C" w14:paraId="41F9BBCE" w14:textId="0ADE0AB7"/>
    <w:p w:rsidR="46498D33" w:rsidP="1BF4B67C" w:rsidRDefault="46498D33" w14:paraId="6040083C" w14:textId="487ACA8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BF4B67C" w:rsidR="46498D33">
        <w:rPr>
          <w:sz w:val="24"/>
          <w:szCs w:val="24"/>
        </w:rPr>
        <w:t>Mean variance framework</w:t>
      </w:r>
    </w:p>
    <w:p w:rsidR="46498D33" w:rsidP="1BF4B67C" w:rsidRDefault="46498D33" w14:paraId="60FDAC34" w14:textId="33258D1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BF4B67C" w:rsidR="46498D33">
        <w:rPr>
          <w:sz w:val="24"/>
          <w:szCs w:val="24"/>
        </w:rPr>
        <w:t>Problem: noisy</w:t>
      </w:r>
    </w:p>
    <w:p w:rsidR="1BF4B67C" w:rsidRDefault="1BF4B67C" w14:paraId="6EDC2535" w14:textId="0DC0A15C"/>
    <w:p w:rsidR="2E9B9CBD" w:rsidP="1BF4B67C" w:rsidRDefault="2E9B9CBD" w14:paraId="1359C2CD" w14:textId="4C796A88">
      <w:pPr>
        <w:pStyle w:val="Heading2"/>
        <w:rPr>
          <w:b w:val="1"/>
          <w:bCs w:val="1"/>
        </w:rPr>
      </w:pPr>
      <w:r w:rsidR="2E9B9CBD">
        <w:rPr/>
        <w:t>An Introduction to Risk and Return from Common Stocks</w:t>
      </w:r>
    </w:p>
    <w:p w:rsidR="2E9B9CBD" w:rsidP="1BF4B67C" w:rsidRDefault="2E9B9CBD" w14:paraId="4AA7A5B1" w14:textId="7E8A1F30">
      <w:pPr>
        <w:rPr>
          <w:rFonts w:ascii="Times New Roman" w:hAnsi="Times New Roman" w:eastAsia="Times New Roman" w:cs="Times New Roman"/>
          <w:i w:val="1"/>
          <w:iCs w:val="1"/>
        </w:rPr>
      </w:pPr>
      <w:r w:rsidRPr="1BF4B67C" w:rsidR="2E9B9CBD">
        <w:rPr>
          <w:rFonts w:ascii="Times New Roman" w:hAnsi="Times New Roman" w:eastAsia="Times New Roman" w:cs="Times New Roman"/>
          <w:i w:val="1"/>
          <w:iCs w:val="1"/>
        </w:rPr>
        <w:t xml:space="preserve">Brealey, Richard A. </w:t>
      </w:r>
      <w:r w:rsidRPr="1BF4B67C" w:rsidR="2E9B9CBD">
        <w:rPr>
          <w:rFonts w:ascii="Times New Roman" w:hAnsi="Times New Roman" w:eastAsia="Times New Roman" w:cs="Times New Roman"/>
          <w:i w:val="1"/>
          <w:iCs w:val="1"/>
        </w:rPr>
        <w:t>An Intr</w:t>
      </w:r>
      <w:r w:rsidRPr="1BF4B67C" w:rsidR="2E9B9CBD">
        <w:rPr>
          <w:rFonts w:ascii="Times New Roman" w:hAnsi="Times New Roman" w:eastAsia="Times New Roman" w:cs="Times New Roman"/>
          <w:i w:val="1"/>
          <w:iCs w:val="1"/>
        </w:rPr>
        <w:t>oduc</w:t>
      </w:r>
      <w:r w:rsidRPr="1BF4B67C" w:rsidR="2E9B9CBD">
        <w:rPr>
          <w:rFonts w:ascii="Times New Roman" w:hAnsi="Times New Roman" w:eastAsia="Times New Roman" w:cs="Times New Roman"/>
          <w:i w:val="1"/>
          <w:iCs w:val="1"/>
        </w:rPr>
        <w:t xml:space="preserve">tion </w:t>
      </w:r>
      <w:r w:rsidRPr="1BF4B67C" w:rsidR="2E9B9CBD">
        <w:rPr>
          <w:rFonts w:ascii="Times New Roman" w:hAnsi="Times New Roman" w:eastAsia="Times New Roman" w:cs="Times New Roman"/>
          <w:i w:val="1"/>
          <w:iCs w:val="1"/>
        </w:rPr>
        <w:t xml:space="preserve">to Risk and Return from Common Stocks. 2nd ed., MIT Press, 1983. Accessed 3 Nov. 2025. </w:t>
      </w:r>
    </w:p>
    <w:p w:rsidR="1BF4B67C" w:rsidP="1BF4B67C" w:rsidRDefault="1BF4B67C" w14:paraId="41992EFB" w14:textId="583053CB">
      <w:pPr>
        <w:rPr>
          <w:rFonts w:ascii="Times New Roman" w:hAnsi="Times New Roman" w:eastAsia="Times New Roman" w:cs="Times New Roman"/>
          <w:i w:val="1"/>
          <w:iCs w:val="1"/>
        </w:rPr>
      </w:pPr>
    </w:p>
    <w:p w:rsidR="2E9B9CBD" w:rsidP="1BF4B67C" w:rsidRDefault="2E9B9CBD" w14:paraId="68A66F38" w14:textId="0151B096">
      <w:pPr>
        <w:pStyle w:val="Heading2"/>
        <w:rPr>
          <w:b w:val="1"/>
          <w:bCs w:val="1"/>
        </w:rPr>
      </w:pPr>
      <w:r w:rsidR="2E9B9CBD">
        <w:rPr/>
        <w:t>Quantitative Investment Analysis</w:t>
      </w:r>
    </w:p>
    <w:p w:rsidR="2E9B9CBD" w:rsidP="1BF4B67C" w:rsidRDefault="2E9B9CBD" w14:paraId="7D192CE1" w14:textId="2232B6CA">
      <w:pPr>
        <w:pStyle w:val="Normal"/>
        <w:rPr>
          <w:rFonts w:ascii="Times New Roman" w:hAnsi="Times New Roman" w:eastAsia="Times New Roman" w:cs="Times New Roman"/>
          <w:i w:val="1"/>
          <w:iCs w:val="1"/>
        </w:rPr>
      </w:pPr>
      <w:r w:rsidRPr="1BF4B67C" w:rsidR="2E9B9CBD">
        <w:rPr>
          <w:rFonts w:ascii="Times New Roman" w:hAnsi="Times New Roman" w:eastAsia="Times New Roman" w:cs="Times New Roman"/>
          <w:i w:val="1"/>
          <w:iCs w:val="1"/>
        </w:rPr>
        <w:t xml:space="preserve">DeFusco, Richard A., et al. Quantitative Investment Analysis. 4th ed., CFA Institute/Wiley, 2015. Accessed 3 Nov. 2025. </w:t>
      </w:r>
    </w:p>
    <w:p w:rsidR="2E9B9CBD" w:rsidP="1BF4B67C" w:rsidRDefault="2E9B9CBD" w14:paraId="7AAE056A" w14:textId="082C90C4">
      <w:pPr>
        <w:pStyle w:val="Normal"/>
      </w:pPr>
      <w:r w:rsidR="2E9B9CBD">
        <w:rPr/>
        <w:t xml:space="preserve"> </w:t>
      </w:r>
    </w:p>
    <w:p w:rsidR="2E9B9CBD" w:rsidP="1BF4B67C" w:rsidRDefault="2E9B9CBD" w14:paraId="22B05AB9" w14:textId="3BF7BCAE">
      <w:pPr>
        <w:pStyle w:val="Heading2"/>
        <w:rPr>
          <w:b w:val="1"/>
          <w:bCs w:val="1"/>
        </w:rPr>
      </w:pPr>
      <w:r w:rsidR="2E9B9CBD">
        <w:rPr/>
        <w:t>Co-Integration and Error Correction: Representation, Estimation, and Testing</w:t>
      </w:r>
    </w:p>
    <w:p w:rsidR="2E9B9CBD" w:rsidP="1BF4B67C" w:rsidRDefault="2E9B9CBD" w14:paraId="41EA9297" w14:textId="519C39FD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1BF4B67C" w:rsidR="2E9B9CBD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Engle, Robert F., and C. W. J. Granger. “Co-Integration and Error Correction: Representation, Estimation, and Testing.” </w:t>
      </w:r>
      <w:r w:rsidRPr="1BF4B67C" w:rsidR="2E9B9CBD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Econometrica</w:t>
      </w:r>
      <w:r w:rsidRPr="1BF4B67C" w:rsidR="2E9B9CBD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, vol. 55, no. 2, 1987, pp. 251–76. JSTOR, </w:t>
      </w:r>
      <w:hyperlink r:id="R0a79df1195334556">
        <w:r w:rsidRPr="1BF4B67C" w:rsidR="2E9B9CBD">
          <w:rPr>
            <w:rFonts w:ascii="Times New Roman" w:hAnsi="Times New Roman" w:eastAsia="Times New Roman" w:cs="Times New Roman"/>
            <w:i w:val="1"/>
            <w:iCs w:val="1"/>
            <w:sz w:val="24"/>
            <w:szCs w:val="24"/>
          </w:rPr>
          <w:t>https://doi.org/10.2307/1913236</w:t>
        </w:r>
      </w:hyperlink>
      <w:r w:rsidRPr="1BF4B67C" w:rsidR="2E9B9CBD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. Accessed 4 Nov. 2025. </w:t>
      </w:r>
    </w:p>
    <w:p w:rsidR="1BF4B67C" w:rsidP="1BF4B67C" w:rsidRDefault="1BF4B67C" w14:paraId="6EB84FB0" w14:textId="2CD49221">
      <w:pPr>
        <w:pStyle w:val="Normal"/>
      </w:pPr>
    </w:p>
    <w:p w:rsidR="0EBCF8D7" w:rsidP="315DAC3A" w:rsidRDefault="0EBCF8D7" w14:paraId="6D044AA9" w14:textId="18BD3AE1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15DAC3A" w:rsidR="0EBCF8D7">
        <w:rPr>
          <w:rFonts w:ascii="Aptos Display" w:hAnsi="Aptos Display" w:eastAsia="Aptos Display" w:cs="Aptos Display" w:asciiTheme="majorAscii" w:hAnsiTheme="majorAscii" w:eastAsiaTheme="majorAscii" w:cstheme="majorAscii"/>
        </w:rPr>
        <w:t>Example Book</w:t>
      </w:r>
    </w:p>
    <w:p w:rsidR="0EBCF8D7" w:rsidP="315DAC3A" w:rsidRDefault="0EBCF8D7" w14:paraId="47865311" w14:textId="06F4842F">
      <w:pPr>
        <w:spacing w:before="240" w:beforeAutospacing="off" w:after="240" w:afterAutospacing="off"/>
      </w:pPr>
      <w:r w:rsidRPr="315DAC3A" w:rsidR="0EBCF8D7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Palomar, D.P. (2025) </w:t>
      </w:r>
      <w:r w:rsidRPr="315DAC3A" w:rsidR="0EBCF8D7">
        <w:rPr>
          <w:rFonts w:ascii="Aptos Display" w:hAnsi="Aptos Display" w:eastAsia="Aptos Display" w:cs="Aptos Display"/>
          <w:i w:val="1"/>
          <w:iCs w:val="1"/>
          <w:noProof w:val="0"/>
          <w:sz w:val="24"/>
          <w:szCs w:val="24"/>
          <w:lang w:val="en-US"/>
        </w:rPr>
        <w:t>Portfolio Optimization: Theory and Application</w:t>
      </w:r>
      <w:r w:rsidRPr="315DAC3A" w:rsidR="0EBCF8D7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. Cambridge University Press. Available at: </w:t>
      </w:r>
      <w:hyperlink r:id="R8cc75857d7814221">
        <w:r w:rsidRPr="315DAC3A" w:rsidR="0EBCF8D7">
          <w:rPr>
            <w:rStyle w:val="Hyperlink"/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https://portfoliooptimizationbook.com/</w:t>
        </w:r>
      </w:hyperlink>
    </w:p>
    <w:p w:rsidR="0EBCF8D7" w:rsidP="315DAC3A" w:rsidRDefault="0EBCF8D7" w14:paraId="6DB2A6AD" w14:textId="4055F0AF">
      <w:pPr>
        <w:pStyle w:val="ListParagraph"/>
        <w:numPr>
          <w:ilvl w:val="0"/>
          <w:numId w:val="5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15DAC3A" w:rsidR="0EBCF8D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Covers MPT, </w:t>
      </w:r>
      <w:r w:rsidRPr="315DAC3A" w:rsidR="0EBCF8D7">
        <w:rPr>
          <w:rFonts w:ascii="Aptos Display" w:hAnsi="Aptos Display" w:eastAsia="Aptos Display" w:cs="Aptos Display" w:asciiTheme="majorAscii" w:hAnsiTheme="majorAscii" w:eastAsiaTheme="majorAscii" w:cstheme="majorAscii"/>
        </w:rPr>
        <w:t>backtesting</w:t>
      </w:r>
      <w:r w:rsidRPr="315DAC3A" w:rsidR="0EBCF8D7">
        <w:rPr>
          <w:rFonts w:ascii="Aptos Display" w:hAnsi="Aptos Display" w:eastAsia="Aptos Display" w:cs="Aptos Display" w:asciiTheme="majorAscii" w:hAnsiTheme="majorAscii" w:eastAsiaTheme="majorAscii" w:cstheme="majorAscii"/>
        </w:rPr>
        <w:t>, pairs trading portfolios (</w:t>
      </w:r>
      <w:r w:rsidRPr="315DAC3A" w:rsidR="0EBCF8D7">
        <w:rPr>
          <w:rFonts w:ascii="Aptos Display" w:hAnsi="Aptos Display" w:eastAsia="Aptos Display" w:cs="Aptos Display" w:asciiTheme="majorAscii" w:hAnsiTheme="majorAscii" w:eastAsiaTheme="majorAscii" w:cstheme="majorAscii"/>
        </w:rPr>
        <w:t>Chp</w:t>
      </w:r>
      <w:r w:rsidRPr="315DAC3A" w:rsidR="0EBCF8D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7, 8, 15)</w:t>
      </w:r>
    </w:p>
    <w:p w:rsidR="315DAC3A" w:rsidP="315DAC3A" w:rsidRDefault="315DAC3A" w14:paraId="0D105B34" w14:textId="4E9655ED">
      <w:pPr>
        <w:pStyle w:val="Normal"/>
      </w:pPr>
    </w:p>
    <w:p w:rsidR="6F946CF4" w:rsidP="315DAC3A" w:rsidRDefault="6F946CF4" w14:paraId="2DB20B0E" w14:textId="34FE5970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315DAC3A" w:rsidR="6F946CF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Pairs Trading</w:t>
      </w:r>
      <w:r w:rsidRPr="315DAC3A" w:rsidR="7387CFB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–</w:t>
      </w:r>
      <w:r w:rsidRPr="315DAC3A" w:rsidR="7387CFB1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Methodology section</w:t>
      </w:r>
    </w:p>
    <w:p w:rsidR="6F946CF4" w:rsidP="315DAC3A" w:rsidRDefault="6F946CF4" w14:paraId="447AD408" w14:textId="56528298">
      <w:pPr>
        <w:pStyle w:val="Normal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315DAC3A" w:rsidR="6F946CF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Elliott, R. J., Van Der </w:t>
      </w:r>
      <w:r w:rsidRPr="315DAC3A" w:rsidR="6F946CF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Hoek *,</w:t>
      </w:r>
      <w:r w:rsidRPr="315DAC3A" w:rsidR="6F946CF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J., &amp; Malcolm, W. P. (2005). </w:t>
      </w:r>
      <w:r w:rsidRPr="315DAC3A" w:rsidR="6F946CF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Pairs</w:t>
      </w:r>
      <w:r w:rsidRPr="315DAC3A" w:rsidR="6F946CF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trading. </w:t>
      </w:r>
      <w:r w:rsidRPr="315DAC3A" w:rsidR="6F946CF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Quantitative Finance</w:t>
      </w:r>
      <w:r w:rsidRPr="315DAC3A" w:rsidR="6F946CF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315DAC3A" w:rsidR="6F946CF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5</w:t>
      </w:r>
      <w:r w:rsidRPr="315DAC3A" w:rsidR="6F946CF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(3), 271–276. </w:t>
      </w:r>
      <w:hyperlink r:id="Rd0e7c17b85e34bbc">
        <w:r w:rsidRPr="315DAC3A" w:rsidR="6F946CF4">
          <w:rPr>
            <w:rStyle w:val="Hyperlink"/>
            <w:rFonts w:ascii="Times New Roman" w:hAnsi="Times New Roman" w:eastAsia="Times New Roman" w:cs="Times New Roman"/>
            <w:b w:val="0"/>
            <w:bCs w:val="0"/>
            <w:i w:val="1"/>
            <w:iCs w:val="1"/>
            <w:caps w:val="0"/>
            <w:smallCaps w:val="0"/>
            <w:noProof w:val="0"/>
            <w:sz w:val="24"/>
            <w:szCs w:val="24"/>
            <w:lang w:val="en-US"/>
          </w:rPr>
          <w:t>https://doi.org/10.1080/14697680500149370</w:t>
        </w:r>
      </w:hyperlink>
    </w:p>
    <w:p w:rsidR="315DAC3A" w:rsidP="315DAC3A" w:rsidRDefault="315DAC3A" w14:paraId="46F1F2C9" w14:textId="6BB726DE">
      <w:pPr>
        <w:pStyle w:val="Normal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5D686D45" w:rsidP="315DAC3A" w:rsidRDefault="5D686D45" w14:paraId="030F95B4" w14:textId="0F858928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315DAC3A" w:rsidR="5D686D4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Cointegration –</w:t>
      </w:r>
      <w:r w:rsidRPr="315DAC3A" w:rsidR="5D686D4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Literature Review section</w:t>
      </w:r>
    </w:p>
    <w:p w:rsidR="5D686D45" w:rsidP="315DAC3A" w:rsidRDefault="5D686D45" w14:paraId="142389C1" w14:textId="0649F869">
      <w:pPr>
        <w:pStyle w:val="Normal"/>
      </w:pPr>
      <w:r w:rsidRPr="315DAC3A" w:rsidR="5D686D4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Rad, H., Low, R. K. Y., &amp; Faff, R. (2016). The profitability of pairs trading strategies: distance, cointegration and copula methods. </w:t>
      </w:r>
      <w:r w:rsidRPr="315DAC3A" w:rsidR="5D686D45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Quantitative Finance</w:t>
      </w:r>
      <w:r w:rsidRPr="315DAC3A" w:rsidR="5D686D4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315DAC3A" w:rsidR="5D686D45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16</w:t>
      </w:r>
      <w:r w:rsidRPr="315DAC3A" w:rsidR="5D686D4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(10), 1541–1558. </w:t>
      </w:r>
      <w:hyperlink r:id="R4989f2855a9544c4">
        <w:r w:rsidRPr="315DAC3A" w:rsidR="5D686D45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https://doi.org/10.1080/14697688.2016.1164337</w:t>
        </w:r>
      </w:hyperlink>
    </w:p>
    <w:p w:rsidR="315DAC3A" w:rsidP="315DAC3A" w:rsidRDefault="315DAC3A" w14:paraId="3F4FFBDC" w14:textId="1C2F0047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5AA6169E" w:rsidP="315DAC3A" w:rsidRDefault="5AA6169E" w14:paraId="3800932C" w14:textId="40D5F9E8">
      <w:pPr>
        <w:pStyle w:val="Normal"/>
      </w:pPr>
      <w:r w:rsidRPr="315DAC3A" w:rsidR="5AA616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Vidyamurthy</w:t>
      </w:r>
      <w:r w:rsidRPr="315DAC3A" w:rsidR="5AA616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, G. (2004). </w:t>
      </w:r>
      <w:r w:rsidRPr="315DAC3A" w:rsidR="5AA6169E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22222"/>
          <w:sz w:val="19"/>
          <w:szCs w:val="19"/>
          <w:lang w:val="en-US"/>
        </w:rPr>
        <w:t>Pairs Trading: quantitative methods and analysis</w:t>
      </w:r>
      <w:r w:rsidRPr="315DAC3A" w:rsidR="5AA616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. John Wiley &amp; Sons.</w:t>
      </w:r>
    </w:p>
    <w:p w:rsidR="5AA6169E" w:rsidP="315DAC3A" w:rsidRDefault="5AA6169E" w14:paraId="204D2A0B" w14:textId="7D8C67E4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</w:pPr>
      <w:r w:rsidRPr="315DAC3A" w:rsidR="5AA616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First </w:t>
      </w:r>
      <w:r w:rsidRPr="315DAC3A" w:rsidR="5AA616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in depth</w:t>
      </w:r>
      <w:r w:rsidRPr="315DAC3A" w:rsidR="5AA616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analysis on Pairs Trading</w:t>
      </w:r>
    </w:p>
    <w:p w:rsidR="315DAC3A" w:rsidP="315DAC3A" w:rsidRDefault="315DAC3A" w14:paraId="29828369" w14:textId="1BF1C89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</w:pPr>
    </w:p>
    <w:p w:rsidR="43ABEB0B" w:rsidP="315DAC3A" w:rsidRDefault="43ABEB0B" w14:paraId="6AD9BDA1" w14:textId="3F3A83C9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</w:pPr>
      <w:r w:rsidRPr="315DAC3A" w:rsidR="43ABEB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The power of cointegration tests</w:t>
      </w:r>
    </w:p>
    <w:p w:rsidR="43ABEB0B" w:rsidP="315DAC3A" w:rsidRDefault="43ABEB0B" w14:paraId="28CFC08A" w14:textId="3A71C349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</w:pPr>
      <w:hyperlink r:id="Re332120e12764c51">
        <w:r w:rsidRPr="315DAC3A" w:rsidR="43ABEB0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19"/>
            <w:szCs w:val="19"/>
            <w:lang w:val="en-US"/>
          </w:rPr>
          <w:t>https://onlinelibrary.wiley.com/doi/abs/10.1111/j.1468-0084.1992.tb00005.x</w:t>
        </w:r>
      </w:hyperlink>
    </w:p>
    <w:p w:rsidR="43ABEB0B" w:rsidP="315DAC3A" w:rsidRDefault="43ABEB0B" w14:paraId="0D2304EB" w14:textId="728418C3">
      <w:pPr>
        <w:pStyle w:val="Normal"/>
      </w:pPr>
      <w:r w:rsidRPr="315DAC3A" w:rsidR="43ABEB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Kremers, J. J., Ericsson, N. R., &amp; Dolado, J. J. (1992). The power of cointegration tests. </w:t>
      </w:r>
      <w:r w:rsidRPr="315DAC3A" w:rsidR="43ABEB0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22222"/>
          <w:sz w:val="19"/>
          <w:szCs w:val="19"/>
          <w:lang w:val="en-US"/>
        </w:rPr>
        <w:t>Oxford bulletin of economics and statistics</w:t>
      </w:r>
      <w:r w:rsidRPr="315DAC3A" w:rsidR="43ABEB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, </w:t>
      </w:r>
      <w:r w:rsidRPr="315DAC3A" w:rsidR="43ABEB0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22222"/>
          <w:sz w:val="19"/>
          <w:szCs w:val="19"/>
          <w:lang w:val="en-US"/>
        </w:rPr>
        <w:t>54</w:t>
      </w:r>
      <w:r w:rsidRPr="315DAC3A" w:rsidR="43ABEB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(3), 325-348.</w:t>
      </w:r>
    </w:p>
    <w:p w:rsidR="315DAC3A" w:rsidP="315DAC3A" w:rsidRDefault="315DAC3A" w14:paraId="66B3EA5C" w14:textId="719BD5D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</w:pPr>
    </w:p>
    <w:p w:rsidR="5D686D45" w:rsidP="315DAC3A" w:rsidRDefault="5D686D45" w14:paraId="7629F21B" w14:textId="601ECB22">
      <w:pPr>
        <w:pStyle w:val="Normal"/>
        <w:rPr>
          <w:b w:val="1"/>
          <w:bCs w:val="1"/>
        </w:rPr>
      </w:pPr>
      <w:r w:rsidRPr="315DAC3A" w:rsidR="5D686D45">
        <w:rPr>
          <w:b w:val="1"/>
          <w:bCs w:val="1"/>
        </w:rPr>
        <w:t>Literature Review Order</w:t>
      </w:r>
      <w:r>
        <w:br/>
      </w:r>
    </w:p>
    <w:p w:rsidR="47FB649A" w:rsidP="315DAC3A" w:rsidRDefault="47FB649A" w14:paraId="01535AD0" w14:textId="772234EA">
      <w:pPr>
        <w:spacing w:before="0" w:beforeAutospacing="off" w:after="120" w:afterAutospacing="off"/>
        <w:ind w:left="0"/>
      </w:pP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clearer literature flow is to go from </w:t>
      </w: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theory → early empirical → limitations → modern cointegration → your FYP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47FB649A" w:rsidP="315DAC3A" w:rsidRDefault="47FB649A" w14:paraId="203DF3A9" w14:textId="7C76FAC5">
      <w:pPr>
        <w:pStyle w:val="ListParagraph"/>
        <w:numPr>
          <w:ilvl w:val="0"/>
          <w:numId w:val="4"/>
        </w:numPr>
        <w:spacing w:before="240" w:beforeAutospacing="off" w:after="240" w:afterAutospacing="off"/>
        <w:ind w:left="360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Theoretical foundations of spreads and cointegration</w:t>
      </w:r>
    </w:p>
    <w:p w:rsidR="47FB649A" w:rsidP="315DAC3A" w:rsidRDefault="47FB649A" w14:paraId="03F1FDAA" w14:textId="3279EBEA">
      <w:pPr>
        <w:pStyle w:val="ListParagraph"/>
        <w:numPr>
          <w:ilvl w:val="7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Engle &amp; Granger (1987)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introduce cointegration and the idea that a linear combination of non‑stationary prices (the spread) can be stationary (true basis for spread analysis).</w:t>
      </w:r>
    </w:p>
    <w:p w:rsidR="47FB649A" w:rsidP="315DAC3A" w:rsidRDefault="47FB649A" w14:paraId="14C7C152" w14:textId="04F2F172">
      <w:pPr>
        <w:pStyle w:val="ListParagraph"/>
        <w:numPr>
          <w:ilvl w:val="7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Elliott, Van Der Hoek &amp; Malcolm (2005)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model the spread as a stochastic mean‑reverting process using a state‑space/Kalman filter framework (formal mean‑reversion theory for pairs trading).</w:t>
      </w:r>
    </w:p>
    <w:p w:rsidR="47FB649A" w:rsidP="315DAC3A" w:rsidRDefault="47FB649A" w14:paraId="6FEC29CF" w14:textId="697289F6">
      <w:pPr>
        <w:pStyle w:val="ListParagraph"/>
        <w:numPr>
          <w:ilvl w:val="0"/>
          <w:numId w:val="4"/>
        </w:numPr>
        <w:spacing w:before="240" w:beforeAutospacing="off" w:after="240" w:afterAutospacing="off"/>
        <w:ind w:left="360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Foundational pairs trading implementations</w:t>
      </w:r>
    </w:p>
    <w:p w:rsidR="47FB649A" w:rsidP="315DAC3A" w:rsidRDefault="47FB649A" w14:paraId="13F2381C" w14:textId="499A8C4A">
      <w:pPr>
        <w:pStyle w:val="ListParagraph"/>
        <w:numPr>
          <w:ilvl w:val="7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Gatev</w:t>
      </w: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Goetzmann &amp; </w:t>
      </w: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Rouwenhorst</w:t>
      </w: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(2006)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distance‑based pairs trading on US equities; show strong historical profitability and 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establish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baseline “simple pairs trading” rule.</w:t>
      </w:r>
    </w:p>
    <w:p w:rsidR="47FB649A" w:rsidP="315DAC3A" w:rsidRDefault="47FB649A" w14:paraId="332CD41B" w14:textId="5A0D4EC6">
      <w:pPr>
        <w:pStyle w:val="ListParagraph"/>
        <w:numPr>
          <w:ilvl w:val="7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Vidyamurthy</w:t>
      </w: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(2004)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practitioner book that connects cointegration to pairs trading, detailing spread construction, hedge ratios, and market‑neutral portfolio design.</w:t>
      </w:r>
    </w:p>
    <w:p w:rsidR="47FB649A" w:rsidP="315DAC3A" w:rsidRDefault="47FB649A" w14:paraId="6A060D42" w14:textId="1458269D">
      <w:pPr>
        <w:pStyle w:val="ListParagraph"/>
        <w:numPr>
          <w:ilvl w:val="0"/>
          <w:numId w:val="4"/>
        </w:numPr>
        <w:spacing w:before="240" w:beforeAutospacing="off" w:after="240" w:afterAutospacing="off"/>
        <w:ind w:left="360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Evidence that simple/distance pairs trading is weakening</w:t>
      </w:r>
    </w:p>
    <w:p w:rsidR="47FB649A" w:rsidP="315DAC3A" w:rsidRDefault="47FB649A" w14:paraId="56DC3F27" w14:textId="1AC21785">
      <w:pPr>
        <w:pStyle w:val="ListParagraph"/>
        <w:numPr>
          <w:ilvl w:val="7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&amp; Faff (2010)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show that simple (distance) pairs trading profitability declines over time and 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nsitive to arbitrage risks, especially after costs.</w:t>
      </w:r>
    </w:p>
    <w:p w:rsidR="47FB649A" w:rsidP="315DAC3A" w:rsidRDefault="47FB649A" w14:paraId="75813A34" w14:textId="0F91962D">
      <w:pPr>
        <w:pStyle w:val="ListParagraph"/>
        <w:numPr>
          <w:ilvl w:val="0"/>
          <w:numId w:val="4"/>
        </w:numPr>
        <w:spacing w:before="240" w:beforeAutospacing="off" w:after="240" w:afterAutospacing="off"/>
        <w:ind w:left="360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Modern comparisons of selection methods</w:t>
      </w:r>
    </w:p>
    <w:p w:rsidR="47FB649A" w:rsidP="315DAC3A" w:rsidRDefault="47FB649A" w14:paraId="0E6A6750" w14:textId="2D2DA838">
      <w:pPr>
        <w:pStyle w:val="ListParagraph"/>
        <w:numPr>
          <w:ilvl w:val="7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Rad, Low &amp; Faff (2016)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directly compare distance, cointegration, and copula selection; find cointegration delivers the strongest risk‑adjusted returns after transaction costs.</w:t>
      </w:r>
    </w:p>
    <w:p w:rsidR="47FB649A" w:rsidP="315DAC3A" w:rsidRDefault="47FB649A" w14:paraId="43152572" w14:textId="2AD5393E">
      <w:pPr>
        <w:pStyle w:val="ListParagraph"/>
        <w:numPr>
          <w:ilvl w:val="7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Huck &amp; </w:t>
      </w: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Afawubo</w:t>
      </w: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2015)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test many 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parameterisations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confirm that cointegration‑based selection is robustly superior to distance methods.</w:t>
      </w:r>
    </w:p>
    <w:p w:rsidR="47FB649A" w:rsidP="315DAC3A" w:rsidRDefault="47FB649A" w14:paraId="405238C6" w14:textId="6739F099">
      <w:pPr>
        <w:pStyle w:val="ListParagraph"/>
        <w:numPr>
          <w:ilvl w:val="0"/>
          <w:numId w:val="4"/>
        </w:numPr>
        <w:spacing w:before="240" w:beforeAutospacing="off" w:after="240" w:afterAutospacing="off"/>
        <w:ind w:left="360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 extensions (future work signposts)</w:t>
      </w:r>
    </w:p>
    <w:p w:rsidR="47FB649A" w:rsidP="315DAC3A" w:rsidRDefault="47FB649A" w14:paraId="3F63D3E3" w14:textId="1CFB7AC2">
      <w:pPr>
        <w:pStyle w:val="ListParagraph"/>
        <w:numPr>
          <w:ilvl w:val="7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Clegg &amp; Krauss (2018)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partial cointegration, allowing both mean‑reverting and random‑walk components; PCI outperforms standard cointegration but is more complex.</w:t>
      </w:r>
    </w:p>
    <w:p w:rsidR="47FB649A" w:rsidP="315DAC3A" w:rsidRDefault="47FB649A" w14:paraId="52C68792" w14:textId="30480983">
      <w:pPr>
        <w:pStyle w:val="ListParagraph"/>
        <w:numPr>
          <w:ilvl w:val="7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(Optionally) </w:t>
      </w: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Kremers et al. (1992)</w:t>
      </w: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highlight low power of cointegration tests, motivating cautious interpretation and robustness checks.</w:t>
      </w:r>
    </w:p>
    <w:p w:rsidR="47FB649A" w:rsidP="315DAC3A" w:rsidRDefault="47FB649A" w14:paraId="6F85525E" w14:textId="3AABCD8C">
      <w:pPr>
        <w:pStyle w:val="ListParagraph"/>
        <w:numPr>
          <w:ilvl w:val="0"/>
          <w:numId w:val="4"/>
        </w:numPr>
        <w:spacing w:before="240" w:beforeAutospacing="off" w:after="240" w:afterAutospacing="off"/>
        <w:ind w:left="360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Your FYP</w:t>
      </w:r>
    </w:p>
    <w:p w:rsidR="47FB649A" w:rsidP="315DAC3A" w:rsidRDefault="47FB649A" w14:paraId="00293C77" w14:textId="2163AB95">
      <w:pPr>
        <w:pStyle w:val="ListParagraph"/>
        <w:numPr>
          <w:ilvl w:val="7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DAC3A" w:rsidR="47FB6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Positions itself as: </w:t>
      </w:r>
      <w:r w:rsidRPr="315DAC3A" w:rsidR="47FB649A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“building on the evidence that cointegration‑based pairs trading is superior and robust, this project uses cointegrated spreads not just for trading, but as inputs to expected‑return estimation within a Markowitz (MPT) portfolio </w:t>
      </w:r>
      <w:r w:rsidRPr="315DAC3A" w:rsidR="47FB649A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optimisation</w:t>
      </w:r>
      <w:r w:rsidRPr="315DAC3A" w:rsidR="47FB649A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framework.”</w:t>
      </w:r>
    </w:p>
    <w:p w:rsidR="4A2EA1DA" w:rsidP="315DAC3A" w:rsidRDefault="4A2EA1DA" w14:paraId="34A28A33" w14:textId="61E6C814">
      <w:pPr>
        <w:pStyle w:val="Normal"/>
      </w:pPr>
      <w:r w:rsidR="4A2EA1DA">
        <w:drawing>
          <wp:inline wp14:editId="353EBEBC" wp14:anchorId="1423B325">
            <wp:extent cx="5943600" cy="3009900"/>
            <wp:effectExtent l="0" t="0" r="0" b="0"/>
            <wp:docPr id="2031412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412467" name="Picture 2031412467"/>
                    <pic:cNvPicPr/>
                  </pic:nvPicPr>
                  <pic:blipFill>
                    <a:blip xmlns:r="http://schemas.openxmlformats.org/officeDocument/2006/relationships" r:embed="rId2035188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9B9CBD" w:rsidP="1BF4B67C" w:rsidRDefault="2E9B9CBD" w14:paraId="6A263B75" w14:textId="079F4E65">
      <w:pPr>
        <w:pStyle w:val="Heading1"/>
      </w:pPr>
      <w:r w:rsidR="2E9B9CBD">
        <w:rPr/>
        <w:t>Backtesting</w:t>
      </w:r>
      <w:r w:rsidR="2E9B9CBD">
        <w:rPr/>
        <w:t xml:space="preserve"> </w:t>
      </w:r>
      <w:r w:rsidR="2E9B9CBD">
        <w:rPr/>
        <w:t>Metrics</w:t>
      </w:r>
    </w:p>
    <w:p w:rsidR="2E9B9CBD" w:rsidP="1BF4B67C" w:rsidRDefault="2E9B9CBD" w14:paraId="35E7896B" w14:textId="155DB979">
      <w:pPr>
        <w:pStyle w:val="Heading2"/>
        <w:rPr>
          <w:b w:val="1"/>
          <w:bCs w:val="1"/>
        </w:rPr>
      </w:pPr>
      <w:r w:rsidR="2E9B9CBD">
        <w:rPr/>
        <w:t>Sharpe Ratio</w:t>
      </w:r>
    </w:p>
    <w:p w:rsidR="2E9B9CBD" w:rsidP="1BF4B67C" w:rsidRDefault="2E9B9CBD" w14:paraId="03E41A33" w14:textId="31D78FF5">
      <w:pPr>
        <w:pStyle w:val="Normal"/>
      </w:pPr>
      <w:r w:rsidR="775D12C3">
        <w:rPr/>
        <w:t xml:space="preserve"> </w:t>
      </w:r>
    </w:p>
    <w:p w:rsidR="315DAC3A" w:rsidP="315DAC3A" w:rsidRDefault="315DAC3A" w14:paraId="6FA7CB11" w14:textId="2C26C48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6a28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721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-395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-323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-251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-179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-107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-35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6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108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1805" w:hanging="180"/>
      </w:pPr>
    </w:lvl>
  </w:abstractNum>
  <w:abstractNum xmlns:w="http://schemas.openxmlformats.org/wordprocessingml/2006/main" w:abstractNumId="3">
    <w:nsid w:val="eb837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9ef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ddfc73"/>
    <w:multiLevelType xmlns:w="http://schemas.openxmlformats.org/wordprocessingml/2006/main" w:val="hybridMultilevel"/>
    <w:lvl xmlns:w="http://schemas.openxmlformats.org/wordprocessingml/2006/main" w:ilvl="0"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21B13C"/>
    <w:rsid w:val="026E8139"/>
    <w:rsid w:val="0768DBBA"/>
    <w:rsid w:val="0BA2B108"/>
    <w:rsid w:val="0EBCF8D7"/>
    <w:rsid w:val="12F58291"/>
    <w:rsid w:val="19C42577"/>
    <w:rsid w:val="1BD9E618"/>
    <w:rsid w:val="1BF4B67C"/>
    <w:rsid w:val="1E966EC9"/>
    <w:rsid w:val="1EA90B3A"/>
    <w:rsid w:val="21B27188"/>
    <w:rsid w:val="2E9B9CBD"/>
    <w:rsid w:val="30B0FC4A"/>
    <w:rsid w:val="315DAC3A"/>
    <w:rsid w:val="32A0DC54"/>
    <w:rsid w:val="3B5BCFBC"/>
    <w:rsid w:val="42CABE31"/>
    <w:rsid w:val="43ABEB0B"/>
    <w:rsid w:val="46498D33"/>
    <w:rsid w:val="47FB649A"/>
    <w:rsid w:val="4A2EA1DA"/>
    <w:rsid w:val="4A600A3E"/>
    <w:rsid w:val="4E26A716"/>
    <w:rsid w:val="50C50B07"/>
    <w:rsid w:val="5721B13C"/>
    <w:rsid w:val="5AA6169E"/>
    <w:rsid w:val="5D686D45"/>
    <w:rsid w:val="62CA9B62"/>
    <w:rsid w:val="6ED8FB6D"/>
    <w:rsid w:val="6F946CF4"/>
    <w:rsid w:val="7031DC59"/>
    <w:rsid w:val="7387CFB1"/>
    <w:rsid w:val="775D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B13C"/>
  <w15:chartTrackingRefBased/>
  <w15:docId w15:val="{E14F8DD2-CE91-4B5A-8376-1D903D4DC9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F4B6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1BF4B67C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1BF4B67C"/>
    <w:rPr>
      <w:rFonts w:ascii="Aptos Display" w:hAnsi="Aptos Display" w:eastAsia="" w:cs="" w:asciiTheme="majorAscii" w:hAnsiTheme="majorAscii" w:eastAsiaTheme="majorEastAsia" w:cstheme="majorBidi"/>
      <w:color w:val="auto"/>
      <w:sz w:val="28"/>
      <w:szCs w:val="28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BF4B6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i.org/10.2307/1913236" TargetMode="External" Id="R0a79df1195334556" /><Relationship Type="http://schemas.openxmlformats.org/officeDocument/2006/relationships/numbering" Target="numbering.xml" Id="R162b2becf5ea440d" /><Relationship Type="http://schemas.openxmlformats.org/officeDocument/2006/relationships/hyperlink" Target="https://portfoliooptimizationbook.com/" TargetMode="External" Id="R8cc75857d7814221" /><Relationship Type="http://schemas.openxmlformats.org/officeDocument/2006/relationships/hyperlink" Target="https://doi.org/10.1080/14697680500149370" TargetMode="External" Id="Rd0e7c17b85e34bbc" /><Relationship Type="http://schemas.openxmlformats.org/officeDocument/2006/relationships/hyperlink" Target="https://doi.org/10.1080/14697688.2016.1164337" TargetMode="External" Id="R4989f2855a9544c4" /><Relationship Type="http://schemas.openxmlformats.org/officeDocument/2006/relationships/hyperlink" Target="https://onlinelibrary.wiley.com/doi/abs/10.1111/j.1468-0084.1992.tb00005.x" TargetMode="External" Id="Re332120e12764c51" /><Relationship Type="http://schemas.openxmlformats.org/officeDocument/2006/relationships/image" Target="/media/image.png" Id="rId20351883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2025-12-22T16:02:00.6484902Z</dcterms:created>
  <dcterms:modified xsi:type="dcterms:W3CDTF">2026-02-26T17:56:21.6276755Z</dcterms:modified>
  <dc:creator>Loo, Declan</dc:creator>
  <lastModifiedBy>Declan Loo</lastModifiedBy>
</coreProperties>
</file>