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512E" w14:textId="4B1A21C2" w:rsidR="00BD1B89" w:rsidRDefault="00BD1B89">
      <w:proofErr w:type="spellStart"/>
      <w:r>
        <w:t>Pemograman</w:t>
      </w:r>
      <w:proofErr w:type="spellEnd"/>
      <w:r>
        <w:t xml:space="preserve"> web</w:t>
      </w:r>
    </w:p>
    <w:p w14:paraId="4A484B2E" w14:textId="3045C51A" w:rsidR="00BD1B89" w:rsidRDefault="00BD1B89">
      <w:r>
        <w:fldChar w:fldCharType="begin"/>
      </w:r>
      <w:r>
        <w:instrText xml:space="preserve"> ADDIN ZOTERO_ITEM CSL_CITATION {"citationID":"QbBC7Uyn","properties":{"formattedCitation":"(Abdullah et al., 2021)","plainCitation":"(Abdullah et al., 2021)","noteIndex":0},"citationItems":[{"id":10,"uris":["http://zotero.org/users/local/JpDErDne/items/HNE93AUI"],"itemData":{"id":10,"type":"article-journal","container-title":"Inspiration: Jurnal Teknologi Informasi dan Komunikasi","DOI":"10.35585/inspir.v11i1.2626","ISSN":"2621-5608, 2088-6705","issue":"1","journalAbbreviation":"j. inspir.","page":"45","source":"DOI.org (Crossref)","title":"Media Pembelajaran Interaktif Mata Kuliah Pemograman Web Berbasis Android","volume":"11","author":[{"family":"Abdullah","given":"Alfiah"},{"family":"Achmad","given":"Andani"},{"family":"Sahibu","given":"Supriadi"}],"issued":{"date-parts":[["2021",6,20]]}}}],"schema":"https://github.com/citation-style-language/schema/raw/master/csl-citation.json"} </w:instrText>
      </w:r>
      <w:r>
        <w:fldChar w:fldCharType="separate"/>
      </w:r>
      <w:r w:rsidRPr="00BD1B89">
        <w:rPr>
          <w:rFonts w:ascii="Calibri" w:hAnsi="Calibri" w:cs="Calibri"/>
        </w:rPr>
        <w:t>(Abdullah et al., 2021)</w:t>
      </w:r>
      <w:r>
        <w:fldChar w:fldCharType="end"/>
      </w:r>
    </w:p>
    <w:p w14:paraId="1222E6C6" w14:textId="7C71547E" w:rsidR="00BD1B89" w:rsidRDefault="00BD1B89">
      <w:r>
        <w:fldChar w:fldCharType="begin"/>
      </w:r>
      <w:r>
        <w:instrText xml:space="preserve"> ADDIN ZOTERO_ITEM CSL_CITATION {"citationID":"JmFzgFEE","properties":{"formattedCitation":"(Prayudi et al., 2022)","plainCitation":"(Prayudi et al., 2022)","noteIndex":0},"citationItems":[{"id":11,"uris":["http://zotero.org/users/local/JpDErDne/items/XWD5PGMD"],"itemData":{"id":11,"type":"article-journal","abstract":"Matakuliah Teori Dan Praktek (T&amp;P) Pemograman Web Dasar 1 adalah salah satu matakuliah yang sedikit diminati oleh mahasiswa khususnya di STKIP Yapis Dompu. karena latar belakang yang berbeda-beda, oleh sebab itu kemampuan mencerna kode-kode pemograman sangat sulit diterima oleh mahasiswa, maka dibutuhkannya media pembelajaran yang akan menunjung matakuliah T&amp;P Pemograman Dasar Web 1. Penelitian ini menggunakan metode Research and Development (R&amp;D), media pembelajaran akan dikembangkan mengacu pada model ADDIE (Analize, Design, Development, Implement, Evaluation). Validator ahli materi dan media memberikan persentase rata-rata sebesar 88,4% maka media pembelajaran (meme) ini sangat layak untuk diterapkan. Dari persentase pre-test memperoleh rata-rata sebanyak 61% sedangkan post-test rata-ratanya sebesar 80%, dari persentasi tersebut post-test lebih tinggi daripada pre-test, maka dari itu kemampuan psikomotorik mahasiswa semester 3 kelas C tahun ajaran 2021/2022 meningkat sebanyak 19%.","container-title":"Jurnal Informatika, Teknologi dan Sains","DOI":"10.51401/jinteks.v4i3.1676","ISSN":"2686-3359","issue":"3","journalAbbreviation":"JINTEKS","license":"https://creativecommons.org/licenses/by/4.0","page":"117-122","source":"DOI.org (Crossref)","title":"PENGEMBANGAN MEDIA PEMBELAJARAN BERBASIS MEME UNTUK MENINGKATKAN KEMAMPUAN PSIKOMOTORIK MAHASISWA","volume":"4","author":[{"family":"Prayudi","given":"Andi"},{"literal":"Fathirma’ruf"},{"literal":"Supriyaddin"}],"issued":{"date-parts":[["2022",8,2]]}}}],"schema":"https://github.com/citation-style-language/schema/raw/master/csl-citation.json"} </w:instrText>
      </w:r>
      <w:r>
        <w:fldChar w:fldCharType="separate"/>
      </w:r>
      <w:r w:rsidRPr="00BD1B89">
        <w:rPr>
          <w:rFonts w:ascii="Calibri" w:hAnsi="Calibri" w:cs="Calibri"/>
        </w:rPr>
        <w:t>(Prayudi et al., 2022)</w:t>
      </w:r>
      <w:r>
        <w:fldChar w:fldCharType="end"/>
      </w:r>
    </w:p>
    <w:p w14:paraId="3E820A41" w14:textId="216EAF0B" w:rsidR="00BD1B89" w:rsidRDefault="00BD1B89">
      <w:r>
        <w:fldChar w:fldCharType="begin"/>
      </w:r>
      <w:r>
        <w:instrText xml:space="preserve"> ADDIN ZOTERO_ITEM CSL_CITATION {"citationID":"WbNldjMV","properties":{"formattedCitation":"(Sayed &amp; Patel, 2023)","plainCitation":"(Sayed &amp; Patel, 2023)","noteIndex":0},"citationItems":[{"id":13,"uris":["http://zotero.org/users/local/JpDErDne/items/TIVITUXF"],"itemData":{"id":13,"type":"article-journal","abstract":"Abstract: JavaScript, a programming language has brought about a revolution in the construction of websites and web applications. Its capability to generate interactive web pages while enabling real time user interaction has made it an indispensable tool for developers. This article delves into the impact of JavaScript on website design and development highlighting its contributions to user experience. Additionally it emphasizes the importance of research and development in this field.","container-title":"International Journal for Research in Applied Science and Engineering Technology","DOI":"10.22214/ijraset.2023.56284","ISSN":"23219653","issue":"11","journalAbbreviation":"IJRASET","page":"87-88","source":"DOI.org (Crossref)","title":"The Influence of JavaScript, on Website Development and User Experience","volume":"11","author":[{"family":"Sayed","given":"AsifaliAlimali"},{"family":"Patel","given":"Mohammed Owais Shabbir"}],"issued":{"date-parts":[["2023",11,30]]}}}],"schema":"https://github.com/citation-style-language/schema/raw/master/csl-citation.json"} </w:instrText>
      </w:r>
      <w:r>
        <w:fldChar w:fldCharType="separate"/>
      </w:r>
      <w:r w:rsidRPr="00BD1B89">
        <w:rPr>
          <w:rFonts w:ascii="Calibri" w:hAnsi="Calibri" w:cs="Calibri"/>
        </w:rPr>
        <w:t>(Sayed &amp; Patel, 2023)</w:t>
      </w:r>
      <w:r>
        <w:fldChar w:fldCharType="end"/>
      </w:r>
    </w:p>
    <w:p w14:paraId="1DC474A9" w14:textId="054BF749" w:rsidR="00BD1B89" w:rsidRDefault="00BD1B89">
      <w:r>
        <w:fldChar w:fldCharType="begin"/>
      </w:r>
      <w:r>
        <w:instrText xml:space="preserve"> ADDIN ZOTERO_ITEM CSL_CITATION {"citationID":"pGm8Ecio","properties":{"formattedCitation":"(Nakhaei et al., 2020)","plainCitation":"(Nakhaei et al., 2020)","noteIndex":0},"citationItems":[{"id":15,"uris":["http://zotero.org/users/local/JpDErDne/items/2YNNI2ZK"],"itemData":{"id":15,"type":"article-journal","container-title":"SN Applied Sciences","DOI":"10.1007/s42452-019-1805-5","ISSN":"2523-3963, 2523-3971","issue":"1","journalAbbreviation":"SN Appl. Sci.","language":"en","page":"4","source":"DOI.org (Crossref)","title":"JSSignature: eliminating third-party-hosted JavaScript infection threats using digital signatures","title-short":"JSSignature","volume":"2","author":[{"family":"Nakhaei","given":"Kousha"},{"family":"Ansari","given":"Fateme"},{"family":"Ansari","given":"Ebrahim"}],"issued":{"date-parts":[["2020",1]]}}}],"schema":"https://github.com/citation-style-language/schema/raw/master/csl-citation.json"} </w:instrText>
      </w:r>
      <w:r>
        <w:fldChar w:fldCharType="separate"/>
      </w:r>
      <w:r w:rsidRPr="00BD1B89">
        <w:rPr>
          <w:rFonts w:ascii="Calibri" w:hAnsi="Calibri" w:cs="Calibri"/>
        </w:rPr>
        <w:t>(</w:t>
      </w:r>
      <w:proofErr w:type="spellStart"/>
      <w:r w:rsidRPr="00BD1B89">
        <w:rPr>
          <w:rFonts w:ascii="Calibri" w:hAnsi="Calibri" w:cs="Calibri"/>
        </w:rPr>
        <w:t>Nakhaei</w:t>
      </w:r>
      <w:proofErr w:type="spellEnd"/>
      <w:r w:rsidRPr="00BD1B89">
        <w:rPr>
          <w:rFonts w:ascii="Calibri" w:hAnsi="Calibri" w:cs="Calibri"/>
        </w:rPr>
        <w:t xml:space="preserve"> et al., 2020)</w:t>
      </w:r>
      <w:r>
        <w:fldChar w:fldCharType="end"/>
      </w:r>
    </w:p>
    <w:p w14:paraId="7C8807F8" w14:textId="2D506FC0" w:rsidR="00BD1B89" w:rsidRDefault="00BD1B89">
      <w:r>
        <w:fldChar w:fldCharType="begin"/>
      </w:r>
      <w:r>
        <w:instrText xml:space="preserve"> ADDIN ZOTERO_ITEM CSL_CITATION {"citationID":"Kg5A4DJt","properties":{"formattedCitation":"(Multazam et al., 2023)","plainCitation":"(Multazam et al., 2023)","noteIndex":0},"citationItems":[{"id":17,"uris":["http://zotero.org/users/local/JpDErDne/items/TRQ5Z5NF"],"itemData":{"id":17,"type":"article-journal","abstract":"Web programming courses are practical courses that can only run with the help of computer devices. The content or learning content in web programming courses is in program code directly created with a computer. The models developed include conceptual models, procedural models, and physical models. The research method used is Research and Development (R&amp;amp;D) using the Dick &amp;amp; Carey instructional system design model combined with the Hannafin &amp;amp; Peck model. The learning model was tested for feasibility and effectiveness before being implemented. The learning model developed has four components: syntax, reaction principle, social system, and support system. The feasibility of the model is seen from the percentage of the results of the one-to-one evaluation, which is 91.47%, the small group evaluation is 94.88% and the field trial evaluation is 92%. The effectiveness test results can be seen from the increase in the post-test score with the pre-test reaching 68.7% and the percentage of the success rate of student studies who have carried out learning with the tutorial learning model reaching 83%. The result of this research is a web programming learning model computer-based learning tutorial that is effective for improving student learning outcomes in web programming courses.","container-title":"Turkish Online Journal of Distance Education","DOI":"10.17718/tojde.1081507","ISSN":"1302-6488","issue":"2","page":"232-244","source":"DOI.org (Crossref)","title":"DEVELOPMENT OF LEARNING MODELS IN WEB PROGRAMMING COURSES WITH COMPUTER-BASED LEARNING TUTORIALS","volume":"24","author":[{"family":"Multazam","given":"Muhammad"},{"family":"Syahrial","given":"Zulfiati"},{"family":"Rusmono","given":"Rusmono"}],"issued":{"date-parts":[["2023",4,1]]}}}],"schema":"https://github.com/citation-style-language/schema/raw/master/csl-citation.json"} </w:instrText>
      </w:r>
      <w:r>
        <w:fldChar w:fldCharType="separate"/>
      </w:r>
      <w:r w:rsidRPr="00BD1B89">
        <w:rPr>
          <w:rFonts w:ascii="Calibri" w:hAnsi="Calibri" w:cs="Calibri"/>
        </w:rPr>
        <w:t>(</w:t>
      </w:r>
      <w:proofErr w:type="spellStart"/>
      <w:r w:rsidRPr="00BD1B89">
        <w:rPr>
          <w:rFonts w:ascii="Calibri" w:hAnsi="Calibri" w:cs="Calibri"/>
        </w:rPr>
        <w:t>Multazam</w:t>
      </w:r>
      <w:proofErr w:type="spellEnd"/>
      <w:r w:rsidRPr="00BD1B89">
        <w:rPr>
          <w:rFonts w:ascii="Calibri" w:hAnsi="Calibri" w:cs="Calibri"/>
        </w:rPr>
        <w:t xml:space="preserve"> et al., 2023)</w:t>
      </w:r>
      <w:r>
        <w:fldChar w:fldCharType="end"/>
      </w:r>
    </w:p>
    <w:p w14:paraId="69647129" w14:textId="77777777" w:rsidR="00BD1B89" w:rsidRDefault="00BD1B89"/>
    <w:p w14:paraId="7D208506" w14:textId="4D06BC53" w:rsidR="00BD1B89" w:rsidRDefault="00BD1B89">
      <w:proofErr w:type="spellStart"/>
      <w:r>
        <w:t>Pemograman</w:t>
      </w:r>
      <w:proofErr w:type="spellEnd"/>
      <w:r>
        <w:t xml:space="preserve"> mobile</w:t>
      </w:r>
    </w:p>
    <w:p w14:paraId="6DB24765" w14:textId="0A40A906" w:rsidR="00BD1B89" w:rsidRDefault="00BD1B89">
      <w:r>
        <w:fldChar w:fldCharType="begin"/>
      </w:r>
      <w:r>
        <w:instrText xml:space="preserve"> ADDIN ZOTERO_ITEM CSL_CITATION {"citationID":"E9S7Q9V9","properties":{"formattedCitation":"(Mir &amp; Llueca, 2020)","plainCitation":"(Mir &amp; Llueca, 2020)","noteIndex":0},"citationItems":[{"id":27,"uris":["http://zotero.org/users/local/JpDErDne/items/VYLUH7R5"],"itemData":{"id":27,"type":"article-journal","container-title":"IEEE Revista Iberoamericana de Tecnologias del Aprendizaje","DOI":"10.1109/RITA.2020.3008110","ISSN":"1932-8540, 2374-0132","issue":"3","journalAbbreviation":"IEEE R. Iberoamericana Tecnologias Aprendizaje","license":"https://ieeexplore.ieee.org/Xplorehelp/downloads/license-information/IEEE.html","page":"192-201","source":"DOI.org (Crossref)","title":"Introduction to Programming Using Mobile Phones and MIT App Inventor","volume":"15","author":[{"family":"Mir","given":"Sergio Barrachina"},{"family":"Llueca","given":"German Fabregat"}],"issued":{"date-parts":[["2020",8]]}}}],"schema":"https://github.com/citation-style-language/schema/raw/master/csl-citation.json"} </w:instrText>
      </w:r>
      <w:r>
        <w:fldChar w:fldCharType="separate"/>
      </w:r>
      <w:r w:rsidRPr="00BD1B89">
        <w:rPr>
          <w:rFonts w:ascii="Calibri" w:hAnsi="Calibri" w:cs="Calibri"/>
        </w:rPr>
        <w:t xml:space="preserve">(Mir &amp; </w:t>
      </w:r>
      <w:proofErr w:type="spellStart"/>
      <w:r w:rsidRPr="00BD1B89">
        <w:rPr>
          <w:rFonts w:ascii="Calibri" w:hAnsi="Calibri" w:cs="Calibri"/>
        </w:rPr>
        <w:t>Llueca</w:t>
      </w:r>
      <w:proofErr w:type="spellEnd"/>
      <w:r w:rsidRPr="00BD1B89">
        <w:rPr>
          <w:rFonts w:ascii="Calibri" w:hAnsi="Calibri" w:cs="Calibri"/>
        </w:rPr>
        <w:t>, 2020)</w:t>
      </w:r>
      <w:r>
        <w:fldChar w:fldCharType="end"/>
      </w:r>
    </w:p>
    <w:p w14:paraId="2450952E" w14:textId="0A7AF9CF" w:rsidR="00BD1B89" w:rsidRDefault="00BD1B89">
      <w:r>
        <w:fldChar w:fldCharType="begin"/>
      </w:r>
      <w:r>
        <w:instrText xml:space="preserve"> ADDIN ZOTERO_ITEM CSL_CITATION {"citationID":"6eAloWIj","properties":{"formattedCitation":"(Taufiq et al., 2020)","plainCitation":"(Taufiq et al., 2020)","noteIndex":0},"citationItems":[{"id":28,"uris":["http://zotero.org/users/local/JpDErDne/items/XEUM3VSI"],"itemData":{"id":28,"type":"article-journal","abstract":"Salary is remuneration received by workers in the form of money based on a certain time. Processing employee salary data is very important for companies to appreciate their employees who are already working. The payroll process for employees at CV Agung Glass currently uses Ms. Excel, this causes several errors that often occur in the salary calculation process. As a growing company, CV Agung Glass needs a data processing application that can assist in processing employee payroll data quickly, precisely, and thoroughly. The method used in this payroll system is the iteration method, which is an application design method by sequencing the steps in designing the application, then repeating it if there are errors or developments for the application. The programming language used to make this payroll application is hybrid programming for mobile by combining two different programming languages, namely mobile programming using Android Studio and web programming using PHP.","container-title":"Jurnal Informatika Universitas Pamulang","DOI":"10.32493/informatika.v5i3.6778","ISSN":"2622-4615, 2541-1004","issue":"3","journalAbbreviation":"JIUP","license":"http://creativecommons.org/licenses/by-nc/4.0","page":"334","source":"DOI.org (Crossref)","title":"Rancang Bangun Aplikasi Penggajian Menggunakan Hybrid Mobile Programming di CV Agung Glass","volume":"5","author":[{"family":"Taufiq","given":"Rohmat"},{"family":"Kasoni","given":"Dian"},{"family":"Siswoko","given":"Catur"},{"family":"Liesnaningsih","given":"Liesnaningsih"}],"issued":{"date-parts":[["2020",9,30]]}}}],"schema":"https://github.com/citation-style-language/schema/raw/master/csl-citation.json"} </w:instrText>
      </w:r>
      <w:r>
        <w:fldChar w:fldCharType="separate"/>
      </w:r>
      <w:r w:rsidRPr="00BD1B89">
        <w:rPr>
          <w:rFonts w:ascii="Calibri" w:hAnsi="Calibri" w:cs="Calibri"/>
        </w:rPr>
        <w:t>(Taufiq et al., 2020)</w:t>
      </w:r>
      <w:r>
        <w:fldChar w:fldCharType="end"/>
      </w:r>
    </w:p>
    <w:p w14:paraId="45A675E5" w14:textId="15970594" w:rsidR="00BD1B89" w:rsidRDefault="00BD1B89">
      <w:r>
        <w:fldChar w:fldCharType="begin"/>
      </w:r>
      <w:r>
        <w:instrText xml:space="preserve"> ADDIN ZOTERO_ITEM CSL_CITATION {"citationID":"wQRlx1zw","properties":{"formattedCitation":"(Faisal et al., 2023)","plainCitation":"(Faisal et al., 2023)","noteIndex":0},"citationItems":[{"id":25,"uris":["http://zotero.org/users/local/JpDErDne/items/U5GSYBW4"],"itemData":{"id":25,"type":"article-journal","abstract":"ABSTRAKSMA Ittihad adalah salah satu sekolah swasta yang berdiri sejak tahun 1983, beralamat di jalan G. Lokon No. 44, Kecamatan Makassar, Kota Makassar, Sulawesi Selatan 90145. Minimnya pengetahuan siswa siswi mengenai penggunaan software khususnya bahasa pemrograman berbasis mobile programming.  Perlu adanya pemberian pemahaman dan gambaran terkait cara pembuatan aplikasi mobile tanpa menggunakan pengkodean program. Keunggulan App Inventor terletak pada kemudahan pemrograman, dimana pengguna tidak perlu memiliki pengetahuan pemrograman dasar, memahami kode, atau memiliki pengalaman di bidang IT, namun yang terpenting dalam membuat aplikasi menggunakan App Inventor adalah bagaimana programmer menggunakan logika seperti saat seseorang menyusun teka-teki. Pelatihan pengenalan App Inventor berbasis mobile programming menjadi salah satu solusi untuk meningkatkan minat dan pengetahuan serta kemampuan Siswa siswi SMA Ittihad Makassar dalam membuat sebuah aplikasi tanpa menuliskan coding dari program tersebut. Tujuan pelatihan ini adalah meningkatkan pengetahuan siswa dalam pembuatan aplikasi mobile tanpa menggunakan pengkodean. Pelatihan dilakukan dengan metode presentasi, demonstrasi, serta praktik langsung. Untuk mengukur pencapaian maka dilakukan pengisian kuesioner sebelum dan sesudah pelatihan. Hasil kuesioner menunjukkan adanya peningkatan pengetahuan peserta pelatihan terkait penggunaan app inventor. Mengalami peningkatan menjadi rata-rata sebesar 68,25% setelah diberi pelatihan. Kata kunci: app inventor; pelatihan; system usability scale. ABSTRACTSMA Ittihad is one of the private schools established since 1983, located at Jalan G. Lokon No. 44, Makassar District, Makassar City, South Sulawesi 90145. The lack of knowledge of students about the use of software, especially mobile programming-based programming languages.  It is necessary to provide understanding and overview related to how to make mobile applications without using program coding. The advantage of App Inventor lies in the ease of programming, where users do not need to have basic programming knowledge, understand code, or have experience in the IT field, but the most important thing in creating applications using App Inventor is how programmers use logic like when someone puts together a puzzle. Mobile programming-based App Inventor introduction training is one solution to increase the interest and knowledge and ability of Ittihad Makassar High School students in making an application without writing down the coding of the program. The purpose of this training is to increase students' knowledge in making mobile applications without using coding. Training is carried out by presentation, discussion, and direct practice. To measure achievement, questionnaires were filled out before and after training. The results of the questionnaire showed an increase in training participants' knowledge regarding the use of app inventors. Increased to an average of 68,25% after being given training. Key Word: app inventor; training; system usability scale.","container-title":"SELAPARANG: Jurnal Pengabdian Masyarakat Berkemajuan","DOI":"10.31764/jpmb.v7i3.17153","ISSN":"2614-526X, 2614-5251","issue":"3","journalAbbreviation":"SELAPARANG","license":"https://creativecommons.org/licenses/by-sa/4.0","page":"2069","source":"DOI.org (Crossref)","title":"SOSIALISASI PENGENALAN APP INVENTOR BERBASIS MOBILE PROGRAMMING","volume":"7","author":[{"family":"Faisal","given":"Muhammad"},{"family":"Ida","given":"Ida"},{"family":"Khaiyyir","given":"Muhammad"},{"family":"Ahsan","given":"Adnan"}],"issued":{"date-parts":[["2023",9,23]]}}}],"schema":"https://github.com/citation-style-language/schema/raw/master/csl-citation.json"} </w:instrText>
      </w:r>
      <w:r>
        <w:fldChar w:fldCharType="separate"/>
      </w:r>
      <w:r w:rsidRPr="00BD1B89">
        <w:rPr>
          <w:rFonts w:ascii="Calibri" w:hAnsi="Calibri" w:cs="Calibri"/>
        </w:rPr>
        <w:t>(Faisal et al., 2023)</w:t>
      </w:r>
      <w:r>
        <w:fldChar w:fldCharType="end"/>
      </w:r>
    </w:p>
    <w:p w14:paraId="513AE865" w14:textId="1795297E" w:rsidR="00BD1B89" w:rsidRDefault="00BD1B89">
      <w:r>
        <w:fldChar w:fldCharType="begin"/>
      </w:r>
      <w:r>
        <w:instrText xml:space="preserve"> ADDIN ZOTERO_ITEM CSL_CITATION {"citationID":"JiupAqOz","properties":{"formattedCitation":"(Bologa et al., 2017)","plainCitation":"(Bologa et al., 2017)","noteIndex":0},"citationItems":[{"id":23,"uris":["http://zotero.org/users/local/JpDErDne/items/VWPIK9CU"],"itemData":{"id":23,"type":"article-journal","abstract":"This article describes a process for introducing modern technological subjects into the academic curricula of non-technical universities. The process described may increase and contribute to social sustainability by enabling non-technical students’ access to the field of the Internet of Things and the broader Industry 4.0. The process has been defined and tested during a curricular reform project that took place in two large universities in Eastern Europe. In this article, the authors describe the results and impact, over multiple years, of a project financed by the European Union that aimed to introduce the following subjects into the academic curricula of business students: cloud computing, big data, mobile programming, and social networks and cybersecurity (CAMSS). The results are useful for those trying to implement similar curricular reforms, or to companies that need to manage talent pipelines.","container-title":"Sustainability","DOI":"10.3390/su9122235","ISSN":"2071-1050","issue":"12","journalAbbreviation":"Sustainability","language":"en","page":"2235","source":"DOI.org (Crossref)","title":"Sustaining Employability: A Process for Introducing Cloud Computing, Big Data, Social Networks, Mobile Programming and Cybersecurity into Academic Curricula","title-short":"Sustaining Employability","volume":"9","author":[{"family":"Bologa","given":"Razvan"},{"family":"Lupu","given":"Ana-Ramona"},{"family":"Boja","given":"Catalin"},{"family":"Georgescu","given":"Tiberiu"}],"issued":{"date-parts":[["2017",12,4]]}}}],"schema":"https://github.com/citation-style-language/schema/raw/master/csl-citation.json"} </w:instrText>
      </w:r>
      <w:r>
        <w:fldChar w:fldCharType="separate"/>
      </w:r>
      <w:r w:rsidRPr="00BD1B89">
        <w:rPr>
          <w:rFonts w:ascii="Calibri" w:hAnsi="Calibri" w:cs="Calibri"/>
        </w:rPr>
        <w:t>(Bologa et al., 2017)</w:t>
      </w:r>
      <w:r>
        <w:fldChar w:fldCharType="end"/>
      </w:r>
    </w:p>
    <w:p w14:paraId="6190E997" w14:textId="623D16BC" w:rsidR="00BD1B89" w:rsidRDefault="00BD1B89">
      <w:r>
        <w:fldChar w:fldCharType="begin"/>
      </w:r>
      <w:r>
        <w:instrText xml:space="preserve"> ADDIN ZOTERO_ITEM CSL_CITATION {"citationID":"eG4Zfsa6","properties":{"formattedCitation":"(Da\\uc0\\u287{}yar et al., 2020)","plainCitation":"(Dağyar et al., 2020)","noteIndex":0},"citationItems":[{"id":19,"uris":["http://zotero.org/users/local/JpDErDne/items/TTW8JYMC"],"itemData":{"id":19,"type":"article-journal","abstract":"The purpose of this study is to reveal the views of fourth-grade primary school students about mobile programming education. Data were collected by using interviews, metaphor and student drawings under the qualitative research method. Amongst the 135 students who participated in the mobile programming education, 24 fourth-grade primary school students, who were selected via the purposeful sampling method, took part in the study. Content analysis was used to analyse the data collected through the semi-structured interview form. The drawings of the students which reflected what the mobile programming education meant for them were evaluated through document analysis. As a result, it can be said that mobile programming education contributes positively to students' mobile programming, scientific and creative thinking skills and social skills. It is recommended to use MIT App Inventor in programming education for primary school students.\r\n \r\nKeywords: Mobile programming; mobile programming education; MIT app inventor; information technology; primary school students.","container-title":"World Journal on Educational Technology: Current Issues","DOI":"10.18844/wjet.v12i4.5179","ISSN":"1309-0348","issue":"4","journalAbbreviation":"WJET","page":"258-277","source":"DOI.org (Crossref)","title":"What do primary school students think about mobile programming education? ‘Developing my own mobile game’","title-short":"What do primary school students think about mobile programming education?","volume":"12","author":[{"family":"Dağyar","given":"Miray"},{"family":"Kasalak","given":"Gamze"},{"family":"Sezgin","given":"Evren"}],"issued":{"date-parts":[["2020",10,30]]}}}],"schema":"https://github.com/citation-style-language/schema/raw/master/csl-citation.json"} </w:instrText>
      </w:r>
      <w:r>
        <w:fldChar w:fldCharType="separate"/>
      </w:r>
      <w:r w:rsidRPr="00BD1B89">
        <w:rPr>
          <w:rFonts w:ascii="Calibri" w:hAnsi="Calibri" w:cs="Calibri"/>
          <w:kern w:val="0"/>
        </w:rPr>
        <w:t>(</w:t>
      </w:r>
      <w:proofErr w:type="spellStart"/>
      <w:r w:rsidRPr="00BD1B89">
        <w:rPr>
          <w:rFonts w:ascii="Calibri" w:hAnsi="Calibri" w:cs="Calibri"/>
          <w:kern w:val="0"/>
        </w:rPr>
        <w:t>Dağyar</w:t>
      </w:r>
      <w:proofErr w:type="spellEnd"/>
      <w:r w:rsidRPr="00BD1B89">
        <w:rPr>
          <w:rFonts w:ascii="Calibri" w:hAnsi="Calibri" w:cs="Calibri"/>
          <w:kern w:val="0"/>
        </w:rPr>
        <w:t xml:space="preserve"> et al., 2020)</w:t>
      </w:r>
      <w:r>
        <w:fldChar w:fldCharType="end"/>
      </w:r>
    </w:p>
    <w:p w14:paraId="3567C082" w14:textId="77777777" w:rsidR="00BD1B89" w:rsidRDefault="00BD1B89"/>
    <w:p w14:paraId="08490E5F" w14:textId="42F9794B" w:rsidR="00BD1B89" w:rsidRDefault="00BD1B89">
      <w:proofErr w:type="spellStart"/>
      <w:r>
        <w:t>Pemograman</w:t>
      </w:r>
      <w:proofErr w:type="spellEnd"/>
      <w:r>
        <w:t xml:space="preserve"> database</w:t>
      </w:r>
    </w:p>
    <w:p w14:paraId="11193D8C" w14:textId="78A7F682" w:rsidR="00BD1B89" w:rsidRDefault="00BD1B89">
      <w:r>
        <w:fldChar w:fldCharType="begin"/>
      </w:r>
      <w:r>
        <w:instrText xml:space="preserve"> ADDIN ZOTERO_ITEM CSL_CITATION {"citationID":"3ghMQSOb","properties":{"formattedCitation":"(Gong, 2022)","plainCitation":"(Gong, 2022)","noteIndex":0},"citationItems":[{"id":32,"uris":["http://zotero.org/users/local/JpDErDne/items/I2SUF27M"],"itemData":{"id":32,"type":"article-journal","abstract":"Abstract\n            Based on practical application, this paper further discusses the database programming technology in computer software engineering. Computer technology has developed to a certain extent and is still active in various fields. However, because the demand for computers in various industries and the requirements for technical performance are different, software engineers are required to develop software systems suitable for enterprises according to their own production characteristics. Because the efficiency and quality of computer software can not reach at present, the programming technology level of database may have a certain impact on the software system.In order for database programming technology to play a full role in various fields, it is necessary to increase investment in database programming technology.This paper analyzes the database technology of computer software engineering in detail. In the process of establishing the actual database programming system, we make full use of the file creation and file access of the database to improve the database programming technology in the current computer software engineering, and then improve the stability of computer software. This paper analyzes computer software engineering, summarizes database programming program, fully realizes the application value of program technology in actual production, and combines database programming technology with the design of computer software engineering project, so as to promote the continuous innovation and development of computer software technology in China.","container-title":"Journal of Physics: Conference Series","DOI":"10.1088/1742-6596/2173/1/012073","ISSN":"1742-6588, 1742-6596","issue":"1","journalAbbreviation":"J. Phys.: Conf. Ser.","page":"012073","source":"DOI.org (Crossref)","title":"Database Programming Technology Based on Computer Software Engineering","volume":"2173","author":[{"family":"Gong","given":"Weiwei"}],"issued":{"date-parts":[["2022",1,1]]}}}],"schema":"https://github.com/citation-style-language/schema/raw/master/csl-citation.json"} </w:instrText>
      </w:r>
      <w:r>
        <w:fldChar w:fldCharType="separate"/>
      </w:r>
      <w:r w:rsidRPr="00BD1B89">
        <w:rPr>
          <w:rFonts w:ascii="Calibri" w:hAnsi="Calibri" w:cs="Calibri"/>
        </w:rPr>
        <w:t>(Gong, 2022)</w:t>
      </w:r>
      <w:r>
        <w:fldChar w:fldCharType="end"/>
      </w:r>
    </w:p>
    <w:p w14:paraId="0AB0907E" w14:textId="38B8EFBE" w:rsidR="00BD1B89" w:rsidRDefault="00BD1B89">
      <w:r>
        <w:fldChar w:fldCharType="begin"/>
      </w:r>
      <w:r>
        <w:instrText xml:space="preserve"> ADDIN ZOTERO_ITEM CSL_CITATION {"citationID":"KaI1OI5i","properties":{"formattedCitation":"(\\uc0\\u8220{}Database Programming with JDBC and JAVA,\\uc0\\u8221{} 1997)","plainCitation":"(“Database Programming with JDBC and JAVA,” 1997)","noteIndex":0},"citationItems":[{"id":30,"uris":["http://zotero.org/users/local/JpDErDne/items/Q4V7QYFI"],"itemData":{"id":30,"type":"article-journal","container-title":"Computers &amp; Mathematics with Applications","DOI":"10.1016/S0898-1221(97)90259-5","ISSN":"08981221","issue":"10","journalAbbreviation":"Computers &amp; Mathematics with Applications","language":"en","license":"https://www.elsevier.com/tdm/userlicense/1.0/","page":"141","source":"DOI.org (Crossref)","title":"Database programming with JDBC and JAVA","volume":"34","issued":{"date-parts":[["1997",11]]}}}],"schema":"https://github.com/citation-style-language/schema/raw/master/csl-citation.json"} </w:instrText>
      </w:r>
      <w:r>
        <w:fldChar w:fldCharType="separate"/>
      </w:r>
      <w:r w:rsidRPr="00BD1B89">
        <w:rPr>
          <w:rFonts w:ascii="Calibri" w:hAnsi="Calibri" w:cs="Calibri"/>
          <w:kern w:val="0"/>
        </w:rPr>
        <w:t>(“Database Programming with JDBC and JAVA,” 1997)</w:t>
      </w:r>
      <w:r>
        <w:fldChar w:fldCharType="end"/>
      </w:r>
    </w:p>
    <w:p w14:paraId="7F4B1236" w14:textId="04204571" w:rsidR="00BD1B89" w:rsidRDefault="00BD1B89">
      <w:r>
        <w:fldChar w:fldCharType="begin"/>
      </w:r>
      <w:r>
        <w:instrText xml:space="preserve"> ADDIN ZOTERO_ITEM CSL_CITATION {"citationID":"Jj5MSl5V","properties":{"formattedCitation":"(Leontiev et al., 2002)","plainCitation":"(Leontiev et al., 2002)","noteIndex":0},"citationItems":[{"id":31,"uris":["http://zotero.org/users/local/JpDErDne/items/JF2GW4QS"],"itemData":{"id":31,"type":"article-journal","abstract":"The concept of an object-oriented database programming language (OODBPL) is appealing because it has the potential of combining the advantages of object orientation and database programming to yield a powerful and universal programming language design. A uniform and consistent combination of object orientation and database programming, however, is not straightforward. Since one of the main components of an object-oriented programming language is its type system, one of the first problems that arises during an OODBPL design is related to the development of a uniform, consistent, and theoretically sound type system that is sufficiently expressive to satisfy the combined needs of object orientation and database programming.The purpose of this article is to answer two questions: \"What are the requirements that a modern type system for an object-oriented database programming language should satisfy?\" and \"Are there any type systems developed to-date that satisfy these requirements?\". In order to answer the first question, we compile the set of requirements that an OODBPL type system should satisfy. We then use this set of requirements to evaluate more than 30 existing type systems. The result of this extensive analysis shows that while each of the requirements is satisfied by at least one type system, no type system satisfies all of them. It also enables identification of the mechanisms that lie behind the strengths and weaknesses of the current type systems.","container-title":"ACM Computing Surveys","DOI":"10.1145/592642.592643","ISSN":"0360-0300, 1557-7341","issue":"4","journalAbbreviation":"ACM Comput. Surv.","language":"en","page":"409-449","source":"DOI.org (Crossref)","title":"On type systems for object-oriented database programming languages","volume":"34","author":[{"family":"Leontiev","given":"Yuri"},{"family":"Özsu","given":"M. Tamer"},{"family":"Szafron","given":"Duane"}],"issued":{"date-parts":[["2002",12]]}}}],"schema":"https://github.com/citation-style-language/schema/raw/master/csl-citation.json"} </w:instrText>
      </w:r>
      <w:r>
        <w:fldChar w:fldCharType="separate"/>
      </w:r>
      <w:r w:rsidRPr="00BD1B89">
        <w:rPr>
          <w:rFonts w:ascii="Calibri" w:hAnsi="Calibri" w:cs="Calibri"/>
        </w:rPr>
        <w:t>(</w:t>
      </w:r>
      <w:proofErr w:type="spellStart"/>
      <w:r w:rsidRPr="00BD1B89">
        <w:rPr>
          <w:rFonts w:ascii="Calibri" w:hAnsi="Calibri" w:cs="Calibri"/>
        </w:rPr>
        <w:t>Leontiev</w:t>
      </w:r>
      <w:proofErr w:type="spellEnd"/>
      <w:r w:rsidRPr="00BD1B89">
        <w:rPr>
          <w:rFonts w:ascii="Calibri" w:hAnsi="Calibri" w:cs="Calibri"/>
        </w:rPr>
        <w:t xml:space="preserve"> et al., 2002)</w:t>
      </w:r>
      <w:r>
        <w:fldChar w:fldCharType="end"/>
      </w:r>
    </w:p>
    <w:p w14:paraId="63A01196" w14:textId="7903C3F5" w:rsidR="00BD1B89" w:rsidRDefault="00BD1B89">
      <w:r>
        <w:fldChar w:fldCharType="begin"/>
      </w:r>
      <w:r>
        <w:instrText xml:space="preserve"> ADDIN ZOTERO_ITEM CSL_CITATION {"citationID":"J8b3HtxW","properties":{"formattedCitation":"(Marzuki, 2019)","plainCitation":"(Marzuki, 2019)","noteIndex":0},"citationItems":[{"id":35,"uris":["http://zotero.org/users/local/JpDErDne/items/P9YXDP53"],"itemData":{"id":35,"type":"article-journal","abstract":"Perkembangan teknologi CIM (Computer Integrated Manufacturing) memaksa perusahaan manufaktur untuk meningkatkan kebijaksanaan strategi kompetisinya dengan fleksibelitas dan optimasi proses pemesinan untuk tetap mampu bersaing dalam pasar dan konsumen yang berubah-ubah. Perhitungan waktu dan biaya produksi haruslah dapat meningkatkan efektifitas kerja dan optimasi proses pemesinan. Tujuan dari penulisan jurnal ini adalah membuat suatu perangkat lunak dan pemograman database yang dapat melakukan perhitungan waktu, biaya produksi secara otomatis dan tersedianya database yang terintegrasi dengan menggunakan bahasa pemrograman Visual Basic 6.O. Sistem kerja dari database elektronik yang tergabung dalam Database Management System (DBMS) ini meliputi  hampir seluruh langkah proses, input data, penyimpanan data, verifikasi data dan perhitungan optimasi proses pemesinan. Penggunaan perangkat Iunak ini menunjukan ketelitian, kemudahan pemanggilan dan penyimpanan data, edit data, dan efisiensi waktu perhitungan biaya dan waktu produksi proses pemesinan secara keseluruhan tanpa harus menggunakan tenaga ahli.","container-title":"Jurnal POLIMESIN","DOI":"10.30811/jop.v1i1.1393","ISSN":"2549-1199, 1693-5462","issue":"1","journalAbbreviation":"JPL","page":"21","source":"DOI.org (Crossref)","title":"Perancangan perangat lunak perhitungan dan pemograman database optimasi proses pemesinan","volume":"1","author":[{"family":"Marzuki","given":"Marzuki"}],"issued":{"date-parts":[["2019",9,16]]}}}],"schema":"https://github.com/citation-style-language/schema/raw/master/csl-citation.json"} </w:instrText>
      </w:r>
      <w:r>
        <w:fldChar w:fldCharType="separate"/>
      </w:r>
      <w:r w:rsidRPr="00BD1B89">
        <w:rPr>
          <w:rFonts w:ascii="Calibri" w:hAnsi="Calibri" w:cs="Calibri"/>
        </w:rPr>
        <w:t>(Marzuki, 2019)</w:t>
      </w:r>
      <w:r>
        <w:fldChar w:fldCharType="end"/>
      </w:r>
    </w:p>
    <w:p w14:paraId="2331107C" w14:textId="6AC64689" w:rsidR="00BD1B89" w:rsidRDefault="00BD1B89">
      <w:r>
        <w:fldChar w:fldCharType="begin"/>
      </w:r>
      <w:r>
        <w:instrText xml:space="preserve"> ADDIN ZOTERO_ITEM CSL_CITATION {"citationID":"AI9xbaV2","properties":{"formattedCitation":"(Luo &amp; Deng, 2024)","plainCitation":"(Luo &amp; Deng, 2024)","noteIndex":0},"citationItems":[{"id":33,"uris":["http://zotero.org/users/local/JpDErDne/items/UWRLF7KV"],"itemData":{"id":33,"type":"article-journal","abstract":"Abstract\n            To improve the programming efficiency of a software database, this paper analyzes the possibility of running an embedded system in a software engineering database by constructing an embedded software data programming control system with the help of an independent time step algorithm and main function. By analyzing and calculating the format of DXF files and commonly used group code values, the format of file storage and the method of expressing data in the graphical element processing module are summarized to ensure the accuracy of software processing and the stability of the software processing process. According to the laws summarized in the analysis, the necessity of introducing an embedded system in the software data programming control process was proposed and simulated, and tested. In the test process, we focus on the process time consumption, space resource occupation rate, running accuracy, and step length data. The test results show that the maximum programming process time of the embedded software data programming control system is only 4.5s, the minimum software space resource occupation rate is 19.7%, the highest operation accuracy is 98.9%, and the calculation time per step is about 0.002s, which is significantly better than the programming system based on remote wireless synchronization system and the computer software programming system based on C language technology. The data calculation results of the independent time step algorithm and the main function prove the feasibility of introducing embedded systems in the software programming process and improving the reusability of software programming code for embedded systems.","container-title":"Applied Mathematics and Nonlinear Sciences","DOI":"10.2478/amns.2023.1.00473","ISSN":"2444-8656","issue":"1","language":"en","license":"http://creativecommons.org/licenses/by/4.0","page":"20230473","source":"DOI.org (Crossref)","title":"Software engineering database programming control system based on embedded system","volume":"9","author":[{"family":"Luo","given":"Ke"},{"family":"Deng","given":"Wei"}],"issued":{"date-parts":[["2024",1,1]]}}}],"schema":"https://github.com/citation-style-language/schema/raw/master/csl-citation.json"} </w:instrText>
      </w:r>
      <w:r>
        <w:fldChar w:fldCharType="separate"/>
      </w:r>
      <w:r w:rsidRPr="00BD1B89">
        <w:rPr>
          <w:rFonts w:ascii="Calibri" w:hAnsi="Calibri" w:cs="Calibri"/>
        </w:rPr>
        <w:t>(Luo &amp; Deng, 2024)</w:t>
      </w:r>
      <w:r>
        <w:fldChar w:fldCharType="end"/>
      </w:r>
    </w:p>
    <w:p w14:paraId="61C802FF" w14:textId="77777777" w:rsidR="00BD1B89" w:rsidRDefault="00BD1B89"/>
    <w:p w14:paraId="039FE1AC" w14:textId="3159A397" w:rsidR="00BD1B89" w:rsidRDefault="00BD1B89">
      <w:proofErr w:type="spellStart"/>
      <w:r>
        <w:t>ui</w:t>
      </w:r>
      <w:proofErr w:type="spellEnd"/>
      <w:r>
        <w:t xml:space="preserve"> </w:t>
      </w:r>
      <w:proofErr w:type="spellStart"/>
      <w:r>
        <w:t>ux</w:t>
      </w:r>
      <w:proofErr w:type="spellEnd"/>
    </w:p>
    <w:p w14:paraId="410A9770" w14:textId="785BA8D2" w:rsidR="00BD1B89" w:rsidRDefault="00BD1B89">
      <w:r>
        <w:fldChar w:fldCharType="begin"/>
      </w:r>
      <w:r>
        <w:instrText xml:space="preserve"> ADDIN ZOTERO_ITEM CSL_CITATION {"citationID":"ROU0RUvQ","properties":{"formattedCitation":"(Rully Pramudita et al., 2021)","plainCitation":"(Rully Pramudita et al., 2021)","noteIndex":0},"citationItems":[{"id":41,"uris":["http://zotero.org/users/local/JpDErDne/items/MJ253MBP"],"itemData":{"id":41,"type":"article-journal","abstract":"Keberadaan UserInterface (UI) dan User Experience (UX) Designer semakin dibutuhkan beberapa waktu belakangan. Salah satu alasannya karena banyak perusahaan yang mulai menggunakan platform mobile dan situs untuk perkembangan bisnis. Dalam menjawab tantangan ini maka pengetahuan mengenai UI/ UX diperlukan dalam hal melakukan perancangan program, hal ini pun sejalan dengan salah satu tujuan dari profil Prodi S1 Teknik Informatika STMIK Tasikmalaya yaitu; Menghasilkan tenaga ahli di bidang Teknik Informatika yang unggul, terampil menggunakan TIK serta memiliki pengetahuan pendukung yang relevan dengan jenis pekerjaan yang ditanganinya. Kemampuan penguasaaan teknologi dan informasi khususnya kepada mahasiswa semester 3 dari Program Studi Teknik Informatika dalam penguasaan konsep desain UI/UX sangat diperlukan. Melalui kegiatan PkM yang dilaksanakan secara online melalui zoom meeting dan live www.youtube.com, dan diperoleh hasil melalui kuesioner respon balik dari peserta mengenai tingkat kepuasan sebanyak 50% merasa puas, 38,1% merasa puas sekali, dan 11,9% merasa cukup puas dengan adanya PkM ini. Dengan demikian diharapkan mahasiswa dapat meningkatkan wawasan dan kompetensi untuk dapat bersaing pada masa indutri 4.0 ini.\r\n Kata kunci—figma, pengabdian masyarakat, ui/ux, user experience, user interface.\r\nThe existence of UserInterface (UI) and User Experience (UX) Designer has been increasingly needed in recent times. One of the reasons is because many companies are starting to use mobile platforms and websites for business development. In answering this challenge, knowledge of UI / UX is needed in terms of conducting program design, this is also in line with one of the goals of the S1 Informatics Engineering Study Program profile, STMIK Tasikmalaya, namely; Producing experts in the field of Information Technology who are superior, skilled in using ICT and have supporting knowledge that is relevant to the type of work they handle. The ability to control technology and information, especially for 3rd semester students of the Informatics Engineering Study Program, in mastering the UI / UX design concept is needed. Through PkM activities carried out online through zoom meetings and live www.youtube.com, and results were obtained through questionnaire responses from participants regarding the satisfaction level of 50% being satisfied, 38.1% very satisfied, and 11.9% feeling quite satisfied with this PkM. Thus, it is hoped that students can increase their insight and competence to be able to compete in this industrial era 4.0.\r\nKeywords— community service, figma, ui/ux, user experience, user interface.","container-title":"JURNAL BUANA PENGABDIAN","DOI":"10.36805/jurnalbuanapengabdian.v3i1.1542","ISSN":"2686-0244, 2657-0203","issue":"1","journalAbbreviation":"JurnalBuanaPengabdian","page":"149-154","source":"DOI.org (Crossref)","title":"PENGGUNAAN APLIKASI FIGMA DALAM MEMBANGUN UI/UX YANG INTERAKTIF PADA PROGRAM STUDI TEKNIK INFORMATIKA STMIK TASIKMALAYA","volume":"3","author":[{"literal":"Rully Pramudita"},{"literal":"Rita Wahyuni Arifin"},{"literal":"Ari Nurul Alfian"},{"literal":"Nadya Safitri"},{"literal":"Shilka Dina Anwariya"}],"issued":{"date-parts":[["2021",7,14]]}}}],"schema":"https://github.com/citation-style-language/schema/raw/master/csl-citation.json"} </w:instrText>
      </w:r>
      <w:r>
        <w:fldChar w:fldCharType="separate"/>
      </w:r>
      <w:r w:rsidRPr="00BD1B89">
        <w:rPr>
          <w:rFonts w:ascii="Calibri" w:hAnsi="Calibri" w:cs="Calibri"/>
        </w:rPr>
        <w:t xml:space="preserve">(Rully </w:t>
      </w:r>
      <w:proofErr w:type="spellStart"/>
      <w:r w:rsidRPr="00BD1B89">
        <w:rPr>
          <w:rFonts w:ascii="Calibri" w:hAnsi="Calibri" w:cs="Calibri"/>
        </w:rPr>
        <w:t>Pramudita</w:t>
      </w:r>
      <w:proofErr w:type="spellEnd"/>
      <w:r w:rsidRPr="00BD1B89">
        <w:rPr>
          <w:rFonts w:ascii="Calibri" w:hAnsi="Calibri" w:cs="Calibri"/>
        </w:rPr>
        <w:t xml:space="preserve"> et al., 2021)</w:t>
      </w:r>
      <w:r>
        <w:fldChar w:fldCharType="end"/>
      </w:r>
    </w:p>
    <w:p w14:paraId="14A66FA9" w14:textId="57223924" w:rsidR="00BD1B89" w:rsidRDefault="00BD1B89">
      <w:r>
        <w:fldChar w:fldCharType="begin"/>
      </w:r>
      <w:r>
        <w:instrText xml:space="preserve"> ADDIN ZOTERO_ITEM CSL_CITATION {"citationID":"BvYoleDS","properties":{"formattedCitation":"(Gao et al., 2023)","plainCitation":"(Gao et al., 2023)","noteIndex":0},"citationItems":[{"id":38,"uris":["http://zotero.org/users/local/JpDErDne/items/9I5A3HU4"],"itemData":{"id":38,"type":"article-journal","abstract":"Design psychology and environmental and social psychology are two independent yet interconnected fields. This paper aims to integrate these fields and explore their application in user interface/user experience (UI/UX) design for metaverse social games. The principles of design psychology help understand users’ cognitive and emotional needs, enabling the creation of user-friendly interfaces and interaction designs. On the other hand, principles of environmental and social psychology provide insights into how environmental and social factors influence user behavior and psychological states. Building upon the importance and application of design psychology principles in UI/UX design, we delve into the specific environmental and social psychology factors that impact UI/UX design in metaverse social games. As a virtual global social platform, the metaverse necessitates designers to consider users’ social needs, identity expression, and personal interactions, in order to create an immersive and authentic virtual social experience. Through an in-depth analysis of Zuckerberg’s “Horizon Worlds” and its UI/UX design, we explore the comprehensive application of design psychology and environmental and social psychology principles in metaverse social games. We examine aspects such as usability, personalization, social interaction, and emotional connection in UI/UX design and discuss how visual elements, sound effects, and interactive feedback can facilitate the establishment of emotional connections and social networks within the virtual world. This research aims to provide designers with deeper insights and guidance in creating metaverse social game interfaces that align with user needs and societal adaptability. It will further expand the theoretical foundation of UI/UX design for metaverse social games and serve as a case study and reference for empirical research on the application of environmental and social psychology in game interface design.","container-title":"Environment and Social Psychology","DOI":"10.54517/esp.v9i1.1871","ISSN":"2424-8975, 2424-7979","issue":"1","journalAbbreviation":"Environ. Soc. Psychol.","license":"https://creativecommons.org/licenses/by/4.0/","source":"DOI.org (Crossref)","title":"Principles of environmental and social psychology in UI/UX design for metaverse social games: A case study of Horizon Worlds","title-short":"Principles of environmental and social psychology in UI/UX design for metaverse social games","URL":"https://esp.as-pub.com/index.php/esp/article/view/1871","volume":"9","author":[{"family":"Gao","given":"Biao"},{"family":"Xie","given":"Huiqin"},{"family":"Wang","given":"Yiming"},{"family":"Xie","given":"Zhanglin"}],"accessed":{"date-parts":[["2025",11,4]]},"issued":{"date-parts":[["2023",11,20]]}}}],"schema":"https://github.com/citation-style-language/schema/raw/master/csl-citation.json"} </w:instrText>
      </w:r>
      <w:r>
        <w:fldChar w:fldCharType="separate"/>
      </w:r>
      <w:r w:rsidRPr="00BD1B89">
        <w:rPr>
          <w:rFonts w:ascii="Calibri" w:hAnsi="Calibri" w:cs="Calibri"/>
        </w:rPr>
        <w:t>(Gao et al., 2023)</w:t>
      </w:r>
      <w:r>
        <w:fldChar w:fldCharType="end"/>
      </w:r>
    </w:p>
    <w:p w14:paraId="5D2E9690" w14:textId="2484AB3A" w:rsidR="00BD1B89" w:rsidRDefault="00BD1B89">
      <w:r>
        <w:fldChar w:fldCharType="begin"/>
      </w:r>
      <w:r>
        <w:instrText xml:space="preserve"> ADDIN ZOTERO_ITEM CSL_CITATION {"citationID":"3EsUMj3R","properties":{"formattedCitation":"(Muktamar B et al., 2023)","plainCitation":"(Muktamar B et al., 2023)","noteIndex":0},"citationItems":[{"id":39,"uris":["http://zotero.org/users/local/JpDErDne/items/WQX9VGDA"],"itemData":{"id":39,"type":"article-journal","abstract":"The university has an academic information system called AIS, of which students are one of the main users. Based on the results of the questionnaire from previous research, it has been proven that the AIS display still needs development. This research develops the UI/UX of AIS to better suit the needs of users with the UCD method. Starting from planning agreements with parties related to research, determining the context by interviewing parties who agreed in the first stage, determining needs with questionnaires to users, using the System Usability Scale (SUS) method to determine the results, designing a prototype based on the results of the third step, and UI/UX evaluation, which is carried out using the same method when evaluating the UI/UX AIS running in the third stage to prove whether there has been a significant improvement or not. The evaluation results show that there is an increase in UI/UX, and based on statistical tests, there is a significant difference between the current UI/UX AIS and the UI/UX AIS being developed. In the process of evaluation and statistical tests, even though the SUS calculation results were still marginal, the two AIS questionnaire results proved to have significant differences. So that the results of this study can be accepted, improvements can be made in the future.","container-title":"Journal of Information System, Technology and Engineering","DOI":"10.61487/jiste.v1i2.13","ISSN":"2987-6117","issue":"2","journalAbbreviation":"Journal of Information System, Technology and Engineering","license":"https://creativecommons.org/licenses/by/4.0","page":"26-31","source":"DOI.org (Crossref)","title":"The Implementation of User Centered Design Method in Developing UI/UX","volume":"1","author":[{"family":"Muktamar B","given":"Ahmad"},{"family":"Lumingkewas","given":"Cindy Sandra"},{"family":"Rofi'i","given":"Agus"}],"issued":{"date-parts":[["2023",6,15]]}}}],"schema":"https://github.com/citation-style-language/schema/raw/master/csl-citation.json"} </w:instrText>
      </w:r>
      <w:r>
        <w:fldChar w:fldCharType="separate"/>
      </w:r>
      <w:r w:rsidRPr="00BD1B89">
        <w:rPr>
          <w:rFonts w:ascii="Calibri" w:hAnsi="Calibri" w:cs="Calibri"/>
        </w:rPr>
        <w:t>(</w:t>
      </w:r>
      <w:proofErr w:type="spellStart"/>
      <w:r w:rsidRPr="00BD1B89">
        <w:rPr>
          <w:rFonts w:ascii="Calibri" w:hAnsi="Calibri" w:cs="Calibri"/>
        </w:rPr>
        <w:t>Muktamar</w:t>
      </w:r>
      <w:proofErr w:type="spellEnd"/>
      <w:r w:rsidRPr="00BD1B89">
        <w:rPr>
          <w:rFonts w:ascii="Calibri" w:hAnsi="Calibri" w:cs="Calibri"/>
        </w:rPr>
        <w:t xml:space="preserve"> B et al., 2023)</w:t>
      </w:r>
      <w:r>
        <w:fldChar w:fldCharType="end"/>
      </w:r>
    </w:p>
    <w:p w14:paraId="57C2C2FF" w14:textId="7235AB5E" w:rsidR="00BD1B89" w:rsidRDefault="00BD1B89">
      <w:r>
        <w:fldChar w:fldCharType="begin"/>
      </w:r>
      <w:r>
        <w:instrText xml:space="preserve"> ADDIN ZOTERO_ITEM CSL_CITATION {"citationID":"aDidkvBT","properties":{"formattedCitation":"(Vlasenko et al., 2022)","plainCitation":"(Vlasenko et al., 2022)","noteIndex":0},"citationItems":[{"id":43,"uris":["http://zotero.org/users/local/JpDErDne/items/28GVTLQS"],"itemData":{"id":43,"type":"article-journal","abstract":"This paper considers the problem of an interface for educational platform, which is fully effective for achieving the outcomes of educational activity. The current research is a theoretical analysis of existing recommendations on UI/UX design, applied when creating educational systems, as well as of research papers that study user interface (UI) usability and evaluate user experience (UX) in designing on-line platforms. This article describes a mechanism for evaluating usability with the help of baseline and final evaluation tool. It also studies UX components, that ensure its high quality. A list of standard components of web-design is being discussed in the present paper; modern trends in web-design of educational platforms are identified. The paper provides the description of an on-line course model, which is built on the basis of analysis of the prerequisites for existing and functioning of educational on-line systems and which is aimed at achieving outcomes of educational activity. There is ground to believe that the design of educational on-line courses will contribute to achieving the outcomes of educational activity, if user interface components comply with a list of criteria, such as easy-to-perceive content, no extra information, easy and simple navigation on the pages of the course, following the principles of usability.","container-title":"CTE Workshop Proceedings","DOI":"10.55056/cte.114","ISSN":"2833-5473","journalAbbreviation":"CTE Workshop Proc.","license":"https://creativecommons.org/licenses/by/4.0","page":"184-199","source":"DOI.org (Crossref)","title":"UI/UX design of educational on-line courses","volume":"9","author":[{"family":"Vlasenko","given":"Kateryna V."},{"family":"Lovianova","given":"Iryna V."},{"family":"Volkov","given":"Sergii V."},{"family":"Sitak","given":"Iryna V."},{"family":"Chumak","given":"Olena O."},{"family":"Krasnoshchok","given":"Andrii V."},{"family":"Bohdanova","given":"Nataliia G."},{"family":"Semerikov","given":"Serhiy O."}],"issued":{"date-parts":[["2022",3,21]]}}}],"schema":"https://github.com/citation-style-language/schema/raw/master/csl-citation.json"} </w:instrText>
      </w:r>
      <w:r>
        <w:fldChar w:fldCharType="separate"/>
      </w:r>
      <w:r w:rsidRPr="00BD1B89">
        <w:rPr>
          <w:rFonts w:ascii="Calibri" w:hAnsi="Calibri" w:cs="Calibri"/>
        </w:rPr>
        <w:t>(Vlasenko et al., 2022)</w:t>
      </w:r>
      <w:r>
        <w:fldChar w:fldCharType="end"/>
      </w:r>
    </w:p>
    <w:p w14:paraId="568112EE" w14:textId="32A80BCC" w:rsidR="00BD1B89" w:rsidRDefault="00BD1B89">
      <w:r>
        <w:fldChar w:fldCharType="begin"/>
      </w:r>
      <w:r>
        <w:instrText xml:space="preserve"> ADDIN ZOTERO_ITEM CSL_CITATION {"citationID":"sGi1HYDX","properties":{"formattedCitation":"(Krisnanik &amp; Rahayu, 2021)","plainCitation":"(Krisnanik &amp; Rahayu, 2021)","noteIndex":0},"citationItems":[{"id":36,"uris":["http://zotero.org/users/local/JpDErDne/items/7FRXW53W"],"itemData":{"id":36,"type":"article-journal","abstract":"User interface (UI)/user experience (UX) is one part of the stages in the development of the system to produce interactive and attractive web-based application layouts so that it is easy to understand and use by users. In this research, a case study was conducted on early childhood in PAUD Kuntum Mekar. The design of the UI/UX model for holistic integrative PAUD monitoring becomes one of the solutions to help parents and teachers. The method used to design UI/UX is the task centered system design (TCSD) approach starting from the stages; 1) identification scope of use, 2) user centered requirement analysis, 3) design and scenario, and 4) walkthrough evaluate, the method used for system testing is user satisfaction, and heuristic usability. The purpose of this study is the UI/UX design with TCSD can provide valid data needs of each actor based on the assignment and design of the story board of the developed system. The results of this research are UI/UX model design for integrative holistic PAUD monitoring application.","container-title":"Bulletin of Electrical Engineering and Informatics","DOI":"10.11591/eei.v10i4.3108","ISSN":"2302-9285, 2089-3191","issue":"4","journalAbbreviation":"Bulletin EEI","license":"https://creativecommons.org/licenses/by-sa/4.0","page":"2273-2284","source":"DOI.org (Crossref)","title":"UI/UX integrated holistic monitoring of PAUD using the TCSD method","volume":"10","author":[{"family":"Krisnanik","given":"Erly"},{"family":"Rahayu","given":"Tri"}],"issued":{"date-parts":[["2021",8,1]]}}}],"schema":"https://github.com/citation-style-language/schema/raw/master/csl-citation.json"} </w:instrText>
      </w:r>
      <w:r>
        <w:fldChar w:fldCharType="separate"/>
      </w:r>
      <w:r w:rsidRPr="00BD1B89">
        <w:rPr>
          <w:rFonts w:ascii="Calibri" w:hAnsi="Calibri" w:cs="Calibri"/>
        </w:rPr>
        <w:t>(</w:t>
      </w:r>
      <w:proofErr w:type="spellStart"/>
      <w:r w:rsidRPr="00BD1B89">
        <w:rPr>
          <w:rFonts w:ascii="Calibri" w:hAnsi="Calibri" w:cs="Calibri"/>
        </w:rPr>
        <w:t>Krisnanik</w:t>
      </w:r>
      <w:proofErr w:type="spellEnd"/>
      <w:r w:rsidRPr="00BD1B89">
        <w:rPr>
          <w:rFonts w:ascii="Calibri" w:hAnsi="Calibri" w:cs="Calibri"/>
        </w:rPr>
        <w:t xml:space="preserve"> &amp; Rahayu, 2021)</w:t>
      </w:r>
      <w:r>
        <w:fldChar w:fldCharType="end"/>
      </w:r>
    </w:p>
    <w:p w14:paraId="7395E43A" w14:textId="77777777" w:rsidR="00BD1B89" w:rsidRDefault="00BD1B89"/>
    <w:p w14:paraId="2F0C2E25" w14:textId="6A5B1A5C" w:rsidR="00BD1B89" w:rsidRDefault="00BD1B89">
      <w:proofErr w:type="gramStart"/>
      <w:r>
        <w:lastRenderedPageBreak/>
        <w:t>It</w:t>
      </w:r>
      <w:proofErr w:type="gramEnd"/>
      <w:r>
        <w:t xml:space="preserve"> quality assurance</w:t>
      </w:r>
    </w:p>
    <w:p w14:paraId="139DE6C5" w14:textId="6830A1FB" w:rsidR="00BD1B89" w:rsidRDefault="00BD1B89">
      <w:r>
        <w:fldChar w:fldCharType="begin"/>
      </w:r>
      <w:r>
        <w:instrText xml:space="preserve"> ADDIN ZOTERO_ITEM CSL_CITATION {"citationID":"UQYdko3n","properties":{"formattedCitation":"(Seyfried &amp; Pohlenz, 2018)","plainCitation":"(Seyfried &amp; Pohlenz, 2018)","noteIndex":0},"citationItems":[{"id":45,"uris":["http://zotero.org/users/local/JpDErDne/items/5SKTDATB"],"itemData":{"id":45,"type":"article-journal","container-title":"European Journal of Higher Education","DOI":"10.1080/21568235.2018.1474777","ISSN":"2156-8235, 2156-8243","issue":"3","journalAbbreviation":"European Journal of Higher Education","language":"en","page":"258-271","source":"DOI.org (Crossref)","title":"Assessing quality assurance in higher education: quality managers’ perceptions of effectiveness","title-short":"Assessing quality assurance in higher education","volume":"8","author":[{"family":"Seyfried","given":"Markus"},{"family":"Pohlenz","given":"Philipp"}],"issued":{"date-parts":[["2018",7,3]]}}}],"schema":"https://github.com/citation-style-language/schema/raw/master/csl-citation.json"} </w:instrText>
      </w:r>
      <w:r>
        <w:fldChar w:fldCharType="separate"/>
      </w:r>
      <w:r w:rsidRPr="00BD1B89">
        <w:rPr>
          <w:rFonts w:ascii="Calibri" w:hAnsi="Calibri" w:cs="Calibri"/>
        </w:rPr>
        <w:t>(Seyfried &amp; Pohlenz, 2018)</w:t>
      </w:r>
      <w:r>
        <w:fldChar w:fldCharType="end"/>
      </w:r>
    </w:p>
    <w:p w14:paraId="4ED05393" w14:textId="5AD2C035" w:rsidR="00BD1B89" w:rsidRDefault="00BD1B89">
      <w:r>
        <w:fldChar w:fldCharType="begin"/>
      </w:r>
      <w:r>
        <w:instrText xml:space="preserve"> ADDIN ZOTERO_ITEM CSL_CITATION {"citationID":"y8u9gPPG","properties":{"formattedCitation":"(Vettori, 2023)","plainCitation":"(Vettori, 2023)","noteIndex":0},"citationItems":[{"id":50,"uris":["http://zotero.org/users/local/JpDErDne/items/JKAIMM3F"],"itemData":{"id":50,"type":"article-journal","container-title":"Quality in Higher Education","DOI":"10.1080/13538322.2023.2189454","ISSN":"1353-8322, 1470-1081","issue":"3","journalAbbreviation":"Quality in Higher Education","language":"en","page":"407-420","source":"DOI.org (Crossref)","title":"No time for improvement? The chronopolitics of quality assurance","title-short":"No time for improvement?","volume":"29","author":[{"family":"Vettori","given":"Oliver"}],"issued":{"date-parts":[["2023",9,2]]}}}],"schema":"https://github.com/citation-style-language/schema/raw/master/csl-citation.json"} </w:instrText>
      </w:r>
      <w:r>
        <w:fldChar w:fldCharType="separate"/>
      </w:r>
      <w:r w:rsidRPr="00BD1B89">
        <w:rPr>
          <w:rFonts w:ascii="Calibri" w:hAnsi="Calibri" w:cs="Calibri"/>
        </w:rPr>
        <w:t>(Vettori, 2023)</w:t>
      </w:r>
      <w:r>
        <w:fldChar w:fldCharType="end"/>
      </w:r>
    </w:p>
    <w:p w14:paraId="2F57C520" w14:textId="1FE3CA09" w:rsidR="00BD1B89" w:rsidRDefault="00BD1B89">
      <w:r>
        <w:fldChar w:fldCharType="begin"/>
      </w:r>
      <w:r>
        <w:instrText xml:space="preserve"> ADDIN ZOTERO_ITEM CSL_CITATION {"citationID":"JDEWn117","properties":{"formattedCitation":"(Hafeez et al., 2022)","plainCitation":"(Hafeez et al., 2022)","noteIndex":0},"citationItems":[{"id":52,"uris":["http://zotero.org/users/local/JpDErDne/items/FEGMXWDI"],"itemData":{"id":52,"type":"article-journal","abstract":"In the present scenario of COVID-19, the online learning capacity has been increased much more. Due to increased capacity of online learning in higher education, the quality of online learning has serious concerns. To achieve the minimum requirements of quality in online learning for sustainable development, it is important to review the quality assurance principles and strategies. A brief review of literature was conducted to define the quality, to present some quality assurance indicators for online learning and to discuss some online learning models by selecting 27 published articles through inclusion and exclusion criteria. The review showed that learner-teacher interaction, learner’s prompt feedback, learner’s support service, applying appropriate media, tools for online learning and planned documented technology application for the assurance of quality in online learning are important quality indicators. Some quality assurance models for online learning are also presented in this study.","container-title":"Electronic Journal of e-Learning","DOI":"10.34190/ejel.20.4.2553","ISSN":"1479-4403","issue":"4","journalAbbreviation":"EJEL","license":"https://creativecommons.org/licenses/by-nc-nd/4.0","page":"pp374-385","source":"DOI.org (Crossref)","title":"Quality Indicators and Models for Online Learning Quality Assurance in Higher Education","volume":"20","author":[{"family":"Hafeez","given":"Muhammad"},{"family":"Naureen","given":"Shazia"},{"family":"Sultan","given":"Sohaib"}],"issued":{"date-parts":[["2022",6,30]]}}}],"schema":"https://github.com/citation-style-language/schema/raw/master/csl-citation.json"} </w:instrText>
      </w:r>
      <w:r>
        <w:fldChar w:fldCharType="separate"/>
      </w:r>
      <w:r w:rsidRPr="00BD1B89">
        <w:rPr>
          <w:rFonts w:ascii="Calibri" w:hAnsi="Calibri" w:cs="Calibri"/>
        </w:rPr>
        <w:t>(Hafeez et al., 2022)</w:t>
      </w:r>
      <w:r>
        <w:fldChar w:fldCharType="end"/>
      </w:r>
    </w:p>
    <w:p w14:paraId="73F2C56E" w14:textId="6AF36E73" w:rsidR="00BD1B89" w:rsidRDefault="00BD1B89">
      <w:r>
        <w:fldChar w:fldCharType="begin"/>
      </w:r>
      <w:r>
        <w:instrText xml:space="preserve"> ADDIN ZOTERO_ITEM CSL_CITATION {"citationID":"NsPwqu3i","properties":{"formattedCitation":"(Klein et al., 2009)","plainCitation":"(Klein et al., 2009)","noteIndex":0},"citationItems":[{"id":48,"uris":["http://zotero.org/users/local/JpDErDne/items/2YECVYH6"],"itemData":{"id":48,"type":"article-journal","abstract":"The task group (TG) for quality assurance of medical accelerators was constituted by the American Association of Physicists in Medicine's Science Council under the direction of the Radiation Therapy Committee and the Quality Assurance and Outcome Improvement Subcommittee. The task group (TG‐142) had two main charges. First to update, as needed, recommendations of Table II of the AAPM TG‐40 report on quality assurance and second, to add recommendations for asymmetric jaws, multileaf collimation (MLC), and dynamic/virtual wedges. The TG accomplished the update to TG‐40, specifying new test and tolerances, and has added recommendations for not only the new ancillary delivery technologies but also for imaging devices that are part of the linear accelerator. The imaging devices include x‐ray imaging, photon portal imaging, and cone‐beam CT. The TG report was designed to account for the types of treatments delivered with the particular machine. For example, machines that are used for radiosurgery treatments or intensity‐modulated radiotherapy(IMRT) require different tests and/or tolerances. There are specific recommendations for MLC quality assurance for machines performing IMRT. The report also gives recommendations as to action levels for the physicists to implement particular actions, whether they are inspection, scheduled action, or immediate and corrective action. The report is geared to be flexible for the physicist to customize the QA program depending on clinical utility. There are specific tables according to daily, monthly, and annual reviews, along with unique tables for wedge systems, MLC, and imaging checks. The report also gives specific recommendations regarding setup of a QA program by the physicist in regards to building a QA team, establishing procedures, training of personnel, documentation, and end‐to‐end system checks. The tabulated items of this report have been considerably expanded as compared with the original TG‐40 report and the recommended tolerances accommodate differences in the intended use of the machine functionality (non‐IMRT, IMRT, and stereotactic delivery).","container-title":"Medical Physics","DOI":"10.1118/1.3190392","ISSN":"0094-2405, 2473-4209","issue":"9Part1","journalAbbreviation":"Medical Physics","language":"en","license":"http://onlinelibrary.wiley.com/termsAndConditions#vor","page":"4197-4212","source":"DOI.org (Crossref)","title":"Task Group 142 report: Quality assurance of medical acceleratorsa)","title-short":"Task Group 142 report","volume":"36","author":[{"family":"Klein","given":"Eric E."},{"family":"Hanley","given":"Joseph"},{"family":"Bayouth","given":"John"},{"family":"Yin","given":"Fang‐Fang"},{"family":"Simon","given":"William"},{"family":"Dresser","given":"Sean"},{"family":"Serago","given":"Christopher"},{"family":"Aguirre","given":"Francisco"},{"family":"Ma","given":"Lijun"},{"family":"Arjomandy","given":"Bijan"},{"family":"Liu","given":"Chihray"},{"family":"Sandin","given":"Carlos"},{"family":"Holmes","given":"Todd"}],"issued":{"date-parts":[["2009",9]]}}}],"schema":"https://github.com/citation-style-language/schema/raw/master/csl-citation.json"} </w:instrText>
      </w:r>
      <w:r>
        <w:fldChar w:fldCharType="separate"/>
      </w:r>
      <w:r w:rsidRPr="00BD1B89">
        <w:rPr>
          <w:rFonts w:ascii="Calibri" w:hAnsi="Calibri" w:cs="Calibri"/>
        </w:rPr>
        <w:t>(Klein et al., 2009)</w:t>
      </w:r>
      <w:r>
        <w:fldChar w:fldCharType="end"/>
      </w:r>
    </w:p>
    <w:p w14:paraId="345B8689" w14:textId="40C49DA8" w:rsidR="00BD1B89" w:rsidRDefault="00BD1B89">
      <w:r>
        <w:fldChar w:fldCharType="begin"/>
      </w:r>
      <w:r>
        <w:instrText xml:space="preserve"> ADDIN ZOTERO_ITEM CSL_CITATION {"citationID":"E3RA3znQ","properties":{"formattedCitation":"(Kuwornu et al., 2023)","plainCitation":"(Kuwornu et al., 2023)","noteIndex":0},"citationItems":[{"id":47,"uris":["http://zotero.org/users/local/JpDErDne/items/R4ZJ2996"],"itemData":{"id":47,"type":"article-journal","container-title":"Sustainable Futures","DOI":"10.1016/j.sftr.2022.100103","ISSN":"26661888","journalAbbreviation":"Sustainable Futures","language":"en","page":"100103","source":"DOI.org (Crossref)","title":"The adoption of sustainable supply chain management practices on performance and quality assurance of food companies","volume":"5","author":[{"family":"Kuwornu","given":"John K.M."},{"family":"Khaipetch","given":"Janati"},{"family":"Gunawan","given":"Endro"},{"family":"Bannor","given":"Richard Kwasi"},{"family":"Ho","given":"Tien D.N."}],"issued":{"date-parts":[["2023",12]]}}}],"schema":"https://github.com/citation-style-language/schema/raw/master/csl-citation.json"} </w:instrText>
      </w:r>
      <w:r>
        <w:fldChar w:fldCharType="separate"/>
      </w:r>
      <w:r w:rsidRPr="00BD1B89">
        <w:rPr>
          <w:rFonts w:ascii="Calibri" w:hAnsi="Calibri" w:cs="Calibri"/>
        </w:rPr>
        <w:t>(</w:t>
      </w:r>
      <w:proofErr w:type="spellStart"/>
      <w:r w:rsidRPr="00BD1B89">
        <w:rPr>
          <w:rFonts w:ascii="Calibri" w:hAnsi="Calibri" w:cs="Calibri"/>
        </w:rPr>
        <w:t>Kuwornu</w:t>
      </w:r>
      <w:proofErr w:type="spellEnd"/>
      <w:r w:rsidRPr="00BD1B89">
        <w:rPr>
          <w:rFonts w:ascii="Calibri" w:hAnsi="Calibri" w:cs="Calibri"/>
        </w:rPr>
        <w:t xml:space="preserve"> et al., 2023)</w:t>
      </w:r>
      <w:r>
        <w:fldChar w:fldCharType="end"/>
      </w:r>
    </w:p>
    <w:p w14:paraId="41FF91A0" w14:textId="77777777" w:rsidR="00BD1B89" w:rsidRDefault="00BD1B89"/>
    <w:p w14:paraId="1B4D0FEB" w14:textId="6D872CB6" w:rsidR="00BD1B89" w:rsidRDefault="00BD1B89">
      <w:r>
        <w:t>Data science</w:t>
      </w:r>
    </w:p>
    <w:p w14:paraId="0D388987" w14:textId="2289B853" w:rsidR="00BD1B89" w:rsidRDefault="00BD1B89">
      <w:pPr>
        <w:rPr>
          <w:rFonts w:ascii="Calibri" w:hAnsi="Calibri" w:cs="Calibri"/>
        </w:rPr>
      </w:pPr>
      <w:r w:rsidRPr="00BD1B89">
        <w:rPr>
          <w:rFonts w:ascii="Calibri" w:hAnsi="Calibri" w:cs="Calibri"/>
        </w:rPr>
        <w:t xml:space="preserve"> (Donoho, 2017)</w:t>
      </w:r>
    </w:p>
    <w:p w14:paraId="4634EA53" w14:textId="2A7C2F5A" w:rsidR="00BD1B89" w:rsidRDefault="00BD1B89">
      <w:r>
        <w:fldChar w:fldCharType="begin"/>
      </w:r>
      <w:r>
        <w:instrText xml:space="preserve"> ADDIN ZOTERO_ITEM CSL_CITATION {"citationID":"BnNlXaxi","properties":{"formattedCitation":"(Chauhan &amp; Samuel, 2023)","plainCitation":"(Chauhan &amp; Samuel, 2023)","noteIndex":0},"citationItems":[{"id":55,"uris":["http://zotero.org/users/local/JpDErDne/items/VW8XNFTK"],"itemData":{"id":55,"type":"chapter","container-title":"Computational Science and Its Applications","edition":"1","event-place":"New York","ISBN":"978-1-003-34748-4","language":"en","note":"DOI: 10.1201/9781003347484-3","page":"43-95","publisher":"Apple Academic Press","publisher-place":"New York","source":"DOI.org (Crossref)","title":"Data Science","URL":"https://www.taylorfrancis.com/books/9781003347484/chapters/10.1201/9781003347484-3","container-author":[{"family":"Chadha","given":"Anupama"},{"family":"Sharma","given":"Sachin"},{"family":"Arora","given":"Vasudha"}],"author":[{"family":"Chauhan","given":"Arti"},{"family":"Samuel","given":"Ashirwad"}],"accessed":{"date-parts":[["2025",11,4]]},"issued":{"date-parts":[["2023",11,9]]}}}],"schema":"https://github.com/citation-style-language/schema/raw/master/csl-citation.json"} </w:instrText>
      </w:r>
      <w:r>
        <w:fldChar w:fldCharType="separate"/>
      </w:r>
      <w:r w:rsidRPr="00BD1B89">
        <w:rPr>
          <w:rFonts w:ascii="Calibri" w:hAnsi="Calibri" w:cs="Calibri"/>
        </w:rPr>
        <w:t>(Chauhan &amp; Samuel, 2023)</w:t>
      </w:r>
      <w:r>
        <w:fldChar w:fldCharType="end"/>
      </w:r>
    </w:p>
    <w:p w14:paraId="7496E1E0" w14:textId="099B7F07" w:rsidR="00BD1B89" w:rsidRDefault="00BD1B89">
      <w:r>
        <w:fldChar w:fldCharType="begin"/>
      </w:r>
      <w:r>
        <w:instrText xml:space="preserve"> ADDIN ZOTERO_ITEM CSL_CITATION {"citationID":"2o2xhwYg","properties":{"formattedCitation":"(Green, 2021)","plainCitation":"(Green, 2021)","noteIndex":0},"citationItems":[{"id":60,"uris":["http://zotero.org/users/local/JpDErDne/items/NCZJGHWA"],"itemData":{"id":60,"type":"article-journal","container-title":"Journal of Social Computing","DOI":"10.23919/JSC.2021.0029","ISSN":"2688-5255","issue":"3","journalAbbreviation":"J. Soc. Comput.","page":"249-265","source":"DOI.org (Crossref)","title":"Data Science as Political Action: Grounding Data Science in a Politics of Justice","title-short":"Data Science as Political Action","volume":"2","author":[{"family":"Green","given":"Ben"}],"issued":{"date-parts":[["2021",9]]}}}],"schema":"https://github.com/citation-style-language/schema/raw/master/csl-citation.json"} </w:instrText>
      </w:r>
      <w:r>
        <w:fldChar w:fldCharType="separate"/>
      </w:r>
      <w:r w:rsidRPr="00BD1B89">
        <w:rPr>
          <w:rFonts w:ascii="Calibri" w:hAnsi="Calibri" w:cs="Calibri"/>
        </w:rPr>
        <w:t>(Green, 2021)</w:t>
      </w:r>
      <w:r>
        <w:fldChar w:fldCharType="end"/>
      </w:r>
    </w:p>
    <w:p w14:paraId="11D92ED4" w14:textId="082C5561" w:rsidR="00BD1B89" w:rsidRDefault="00BD1B89">
      <w:r>
        <w:fldChar w:fldCharType="begin"/>
      </w:r>
      <w:r>
        <w:instrText xml:space="preserve"> ADDIN ZOTERO_ITEM CSL_CITATION {"citationID":"5X614jGv","properties":{"formattedCitation":"(Xu et al., 2021)","plainCitation":"(Xu et al., 2021)","noteIndex":0},"citationItems":[{"id":59,"uris":["http://zotero.org/users/local/JpDErDne/items/YLUKBUPA"],"itemData":{"id":59,"type":"article-journal","container-title":"Data Science and Management","DOI":"10.1016/j.dsm.2021.02.002","ISSN":"26667649","issue":"1","journalAbbreviation":"Data Science and Management","language":"en","page":"32-37","source":"DOI.org (Crossref)","title":"Data science: connotation, methods, technologies, and development","title-short":"Data science","volume":"1","author":[{"family":"Xu","given":"Zongben"},{"family":"Tang","given":"Niansheng"},{"family":"Xu","given":"Chen"},{"family":"Cheng","given":"Xueqi"}],"issued":{"date-parts":[["2021",3]]}}}],"schema":"https://github.com/citation-style-language/schema/raw/master/csl-citation.json"} </w:instrText>
      </w:r>
      <w:r>
        <w:fldChar w:fldCharType="separate"/>
      </w:r>
      <w:r w:rsidRPr="00BD1B89">
        <w:rPr>
          <w:rFonts w:ascii="Calibri" w:hAnsi="Calibri" w:cs="Calibri"/>
        </w:rPr>
        <w:t>(Xu et al., 2021)</w:t>
      </w:r>
      <w:r>
        <w:fldChar w:fldCharType="end"/>
      </w:r>
    </w:p>
    <w:p w14:paraId="0F178C12" w14:textId="032664CE" w:rsidR="00BD1B89" w:rsidRDefault="00BD1B89">
      <w:r>
        <w:fldChar w:fldCharType="begin"/>
      </w:r>
      <w:r>
        <w:instrText xml:space="preserve"> ADDIN ZOTERO_ITEM CSL_CITATION {"citationID":"fvnxEPzY","properties":{"formattedCitation":"(Saura, 2021)","plainCitation":"(Saura, 2021)","noteIndex":0},"citationItems":[{"id":58,"uris":["http://zotero.org/users/local/JpDErDne/items/EBNC55RI"],"itemData":{"id":58,"type":"article-journal","container-title":"Journal of Innovation &amp; Knowledge","DOI":"10.1016/j.jik.2020.08.001","ISSN":"2444569X","issue":"2","journalAbbreviation":"Journal of Innovation &amp; Knowledge","language":"en","page":"92-102","source":"DOI.org (Crossref)","title":"Using Data Sciences in Digital Marketing: Framework, methods, and performance metrics","title-short":"Using Data Sciences in Digital Marketing","volume":"6","author":[{"family":"Saura","given":"Jose Ramon"}],"issued":{"date-parts":[["2021",4]]}}}],"schema":"https://github.com/citation-style-language/schema/raw/master/csl-citation.json"} </w:instrText>
      </w:r>
      <w:r>
        <w:fldChar w:fldCharType="separate"/>
      </w:r>
      <w:r w:rsidRPr="00BD1B89">
        <w:rPr>
          <w:rFonts w:ascii="Calibri" w:hAnsi="Calibri" w:cs="Calibri"/>
        </w:rPr>
        <w:t>(Saura, 2021)</w:t>
      </w:r>
      <w:r>
        <w:fldChar w:fldCharType="end"/>
      </w:r>
    </w:p>
    <w:p w14:paraId="60C7A342" w14:textId="77777777" w:rsidR="00BD1B89" w:rsidRDefault="00BD1B89"/>
    <w:p w14:paraId="18940905" w14:textId="77777777" w:rsidR="00BD1B89" w:rsidRPr="00BD1B89" w:rsidRDefault="00BD1B89" w:rsidP="00BD1B89">
      <w:pPr>
        <w:pStyle w:val="Bibliography"/>
        <w:rPr>
          <w:rFonts w:ascii="Calibri" w:hAnsi="Calibri" w:cs="Calibri"/>
        </w:rPr>
      </w:pPr>
      <w:r>
        <w:fldChar w:fldCharType="begin"/>
      </w:r>
      <w:r>
        <w:instrText xml:space="preserve"> ADDIN ZOTERO_BIBL {"uncited":[],"omitted":[],"custom":[]} CSL_BIBLIOGRAPHY </w:instrText>
      </w:r>
      <w:r>
        <w:fldChar w:fldCharType="separate"/>
      </w:r>
      <w:r w:rsidRPr="00BD1B89">
        <w:rPr>
          <w:rFonts w:ascii="Calibri" w:hAnsi="Calibri" w:cs="Calibri"/>
        </w:rPr>
        <w:t xml:space="preserve">Abdullah, A., Achmad, A., &amp; </w:t>
      </w:r>
      <w:proofErr w:type="spellStart"/>
      <w:r w:rsidRPr="00BD1B89">
        <w:rPr>
          <w:rFonts w:ascii="Calibri" w:hAnsi="Calibri" w:cs="Calibri"/>
        </w:rPr>
        <w:t>Sahibu</w:t>
      </w:r>
      <w:proofErr w:type="spellEnd"/>
      <w:r w:rsidRPr="00BD1B89">
        <w:rPr>
          <w:rFonts w:ascii="Calibri" w:hAnsi="Calibri" w:cs="Calibri"/>
        </w:rPr>
        <w:t xml:space="preserve">, S. (2021). Media </w:t>
      </w:r>
      <w:proofErr w:type="spellStart"/>
      <w:r w:rsidRPr="00BD1B89">
        <w:rPr>
          <w:rFonts w:ascii="Calibri" w:hAnsi="Calibri" w:cs="Calibri"/>
        </w:rPr>
        <w:t>Pembelajaran</w:t>
      </w:r>
      <w:proofErr w:type="spellEnd"/>
      <w:r w:rsidRPr="00BD1B89">
        <w:rPr>
          <w:rFonts w:ascii="Calibri" w:hAnsi="Calibri" w:cs="Calibri"/>
        </w:rPr>
        <w:t xml:space="preserve"> </w:t>
      </w:r>
      <w:proofErr w:type="spellStart"/>
      <w:r w:rsidRPr="00BD1B89">
        <w:rPr>
          <w:rFonts w:ascii="Calibri" w:hAnsi="Calibri" w:cs="Calibri"/>
        </w:rPr>
        <w:t>Interaktif</w:t>
      </w:r>
      <w:proofErr w:type="spellEnd"/>
      <w:r w:rsidRPr="00BD1B89">
        <w:rPr>
          <w:rFonts w:ascii="Calibri" w:hAnsi="Calibri" w:cs="Calibri"/>
        </w:rPr>
        <w:t xml:space="preserve"> Mata Kuliah </w:t>
      </w:r>
      <w:proofErr w:type="spellStart"/>
      <w:r w:rsidRPr="00BD1B89">
        <w:rPr>
          <w:rFonts w:ascii="Calibri" w:hAnsi="Calibri" w:cs="Calibri"/>
        </w:rPr>
        <w:t>Pemograman</w:t>
      </w:r>
      <w:proofErr w:type="spellEnd"/>
      <w:r w:rsidRPr="00BD1B89">
        <w:rPr>
          <w:rFonts w:ascii="Calibri" w:hAnsi="Calibri" w:cs="Calibri"/>
        </w:rPr>
        <w:t xml:space="preserve"> Web </w:t>
      </w:r>
      <w:proofErr w:type="spellStart"/>
      <w:r w:rsidRPr="00BD1B89">
        <w:rPr>
          <w:rFonts w:ascii="Calibri" w:hAnsi="Calibri" w:cs="Calibri"/>
        </w:rPr>
        <w:t>Berbasis</w:t>
      </w:r>
      <w:proofErr w:type="spellEnd"/>
      <w:r w:rsidRPr="00BD1B89">
        <w:rPr>
          <w:rFonts w:ascii="Calibri" w:hAnsi="Calibri" w:cs="Calibri"/>
        </w:rPr>
        <w:t xml:space="preserve"> Android. </w:t>
      </w:r>
      <w:r w:rsidRPr="00BD1B89">
        <w:rPr>
          <w:rFonts w:ascii="Calibri" w:hAnsi="Calibri" w:cs="Calibri"/>
          <w:i/>
          <w:iCs/>
        </w:rPr>
        <w:t xml:space="preserve">Inspiration: </w:t>
      </w:r>
      <w:proofErr w:type="spellStart"/>
      <w:r w:rsidRPr="00BD1B89">
        <w:rPr>
          <w:rFonts w:ascii="Calibri" w:hAnsi="Calibri" w:cs="Calibri"/>
          <w:i/>
          <w:iCs/>
        </w:rPr>
        <w:t>Jurnal</w:t>
      </w:r>
      <w:proofErr w:type="spellEnd"/>
      <w:r w:rsidRPr="00BD1B89">
        <w:rPr>
          <w:rFonts w:ascii="Calibri" w:hAnsi="Calibri" w:cs="Calibri"/>
          <w:i/>
          <w:iCs/>
        </w:rPr>
        <w:t xml:space="preserve"> </w:t>
      </w:r>
      <w:proofErr w:type="spellStart"/>
      <w:r w:rsidRPr="00BD1B89">
        <w:rPr>
          <w:rFonts w:ascii="Calibri" w:hAnsi="Calibri" w:cs="Calibri"/>
          <w:i/>
          <w:iCs/>
        </w:rPr>
        <w:t>Teknologi</w:t>
      </w:r>
      <w:proofErr w:type="spellEnd"/>
      <w:r w:rsidRPr="00BD1B89">
        <w:rPr>
          <w:rFonts w:ascii="Calibri" w:hAnsi="Calibri" w:cs="Calibri"/>
          <w:i/>
          <w:iCs/>
        </w:rPr>
        <w:t xml:space="preserve"> </w:t>
      </w:r>
      <w:proofErr w:type="spellStart"/>
      <w:r w:rsidRPr="00BD1B89">
        <w:rPr>
          <w:rFonts w:ascii="Calibri" w:hAnsi="Calibri" w:cs="Calibri"/>
          <w:i/>
          <w:iCs/>
        </w:rPr>
        <w:t>Informasi</w:t>
      </w:r>
      <w:proofErr w:type="spellEnd"/>
      <w:r w:rsidRPr="00BD1B89">
        <w:rPr>
          <w:rFonts w:ascii="Calibri" w:hAnsi="Calibri" w:cs="Calibri"/>
          <w:i/>
          <w:iCs/>
        </w:rPr>
        <w:t xml:space="preserve"> Dan Komunikasi</w:t>
      </w:r>
      <w:r w:rsidRPr="00BD1B89">
        <w:rPr>
          <w:rFonts w:ascii="Calibri" w:hAnsi="Calibri" w:cs="Calibri"/>
        </w:rPr>
        <w:t xml:space="preserve">, </w:t>
      </w:r>
      <w:r w:rsidRPr="00BD1B89">
        <w:rPr>
          <w:rFonts w:ascii="Calibri" w:hAnsi="Calibri" w:cs="Calibri"/>
          <w:i/>
          <w:iCs/>
        </w:rPr>
        <w:t>11</w:t>
      </w:r>
      <w:r w:rsidRPr="00BD1B89">
        <w:rPr>
          <w:rFonts w:ascii="Calibri" w:hAnsi="Calibri" w:cs="Calibri"/>
        </w:rPr>
        <w:t>(1), 45. https://doi.org/10.35585/inspir.v11i1.2626</w:t>
      </w:r>
    </w:p>
    <w:p w14:paraId="022AC196" w14:textId="77777777" w:rsidR="00BD1B89" w:rsidRPr="00BD1B89" w:rsidRDefault="00BD1B89" w:rsidP="00BD1B89">
      <w:pPr>
        <w:pStyle w:val="Bibliography"/>
        <w:rPr>
          <w:rFonts w:ascii="Calibri" w:hAnsi="Calibri" w:cs="Calibri"/>
        </w:rPr>
      </w:pPr>
      <w:r w:rsidRPr="00BD1B89">
        <w:rPr>
          <w:rFonts w:ascii="Calibri" w:hAnsi="Calibri" w:cs="Calibri"/>
        </w:rPr>
        <w:t xml:space="preserve">Bologa, R., Lupu, A.-R., </w:t>
      </w:r>
      <w:proofErr w:type="spellStart"/>
      <w:r w:rsidRPr="00BD1B89">
        <w:rPr>
          <w:rFonts w:ascii="Calibri" w:hAnsi="Calibri" w:cs="Calibri"/>
        </w:rPr>
        <w:t>Boja</w:t>
      </w:r>
      <w:proofErr w:type="spellEnd"/>
      <w:r w:rsidRPr="00BD1B89">
        <w:rPr>
          <w:rFonts w:ascii="Calibri" w:hAnsi="Calibri" w:cs="Calibri"/>
        </w:rPr>
        <w:t xml:space="preserve">, C., &amp; Georgescu, T. (2017). Sustaining Employability: A Process for Introducing Cloud Computing, Big Data, Social Networks, Mobile Programming and Cybersecurity into Academic Curricula. </w:t>
      </w:r>
      <w:r w:rsidRPr="00BD1B89">
        <w:rPr>
          <w:rFonts w:ascii="Calibri" w:hAnsi="Calibri" w:cs="Calibri"/>
          <w:i/>
          <w:iCs/>
        </w:rPr>
        <w:t>Sustainability</w:t>
      </w:r>
      <w:r w:rsidRPr="00BD1B89">
        <w:rPr>
          <w:rFonts w:ascii="Calibri" w:hAnsi="Calibri" w:cs="Calibri"/>
        </w:rPr>
        <w:t xml:space="preserve">, </w:t>
      </w:r>
      <w:r w:rsidRPr="00BD1B89">
        <w:rPr>
          <w:rFonts w:ascii="Calibri" w:hAnsi="Calibri" w:cs="Calibri"/>
          <w:i/>
          <w:iCs/>
        </w:rPr>
        <w:t>9</w:t>
      </w:r>
      <w:r w:rsidRPr="00BD1B89">
        <w:rPr>
          <w:rFonts w:ascii="Calibri" w:hAnsi="Calibri" w:cs="Calibri"/>
        </w:rPr>
        <w:t>(12), 2235. https://doi.org/10.3390/su9122235</w:t>
      </w:r>
    </w:p>
    <w:p w14:paraId="3D5156E2" w14:textId="77777777" w:rsidR="00BD1B89" w:rsidRPr="00BD1B89" w:rsidRDefault="00BD1B89" w:rsidP="00BD1B89">
      <w:pPr>
        <w:pStyle w:val="Bibliography"/>
        <w:rPr>
          <w:rFonts w:ascii="Calibri" w:hAnsi="Calibri" w:cs="Calibri"/>
        </w:rPr>
      </w:pPr>
      <w:r w:rsidRPr="00BD1B89">
        <w:rPr>
          <w:rFonts w:ascii="Calibri" w:hAnsi="Calibri" w:cs="Calibri"/>
        </w:rPr>
        <w:t xml:space="preserve">Chauhan, A., &amp; Samuel, A. (2023). Data Science. In A. Chadha, S. Sharma, &amp; V. Arora, </w:t>
      </w:r>
      <w:r w:rsidRPr="00BD1B89">
        <w:rPr>
          <w:rFonts w:ascii="Calibri" w:hAnsi="Calibri" w:cs="Calibri"/>
          <w:i/>
          <w:iCs/>
        </w:rPr>
        <w:t>Computational Science and Its Applications</w:t>
      </w:r>
      <w:r w:rsidRPr="00BD1B89">
        <w:rPr>
          <w:rFonts w:ascii="Calibri" w:hAnsi="Calibri" w:cs="Calibri"/>
        </w:rPr>
        <w:t xml:space="preserve"> (1st ed., pp. 43–95). Apple Academic Press. https://doi.org/10.1201/9781003347484-3</w:t>
      </w:r>
    </w:p>
    <w:p w14:paraId="747EE934" w14:textId="77777777" w:rsidR="00BD1B89" w:rsidRPr="00BD1B89" w:rsidRDefault="00BD1B89" w:rsidP="00BD1B89">
      <w:pPr>
        <w:pStyle w:val="Bibliography"/>
        <w:rPr>
          <w:rFonts w:ascii="Calibri" w:hAnsi="Calibri" w:cs="Calibri"/>
        </w:rPr>
      </w:pPr>
      <w:proofErr w:type="spellStart"/>
      <w:r w:rsidRPr="00BD1B89">
        <w:rPr>
          <w:rFonts w:ascii="Calibri" w:hAnsi="Calibri" w:cs="Calibri"/>
        </w:rPr>
        <w:t>Dağyar</w:t>
      </w:r>
      <w:proofErr w:type="spellEnd"/>
      <w:r w:rsidRPr="00BD1B89">
        <w:rPr>
          <w:rFonts w:ascii="Calibri" w:hAnsi="Calibri" w:cs="Calibri"/>
        </w:rPr>
        <w:t xml:space="preserve">, M., Kasalak, G., &amp; Sezgin, E. (2020). What do primary school students think about mobile programming education? ‘Developing my own mobile game.’ </w:t>
      </w:r>
      <w:r w:rsidRPr="00BD1B89">
        <w:rPr>
          <w:rFonts w:ascii="Calibri" w:hAnsi="Calibri" w:cs="Calibri"/>
          <w:i/>
          <w:iCs/>
        </w:rPr>
        <w:t>World Journal on Educational Technology: Current Issues</w:t>
      </w:r>
      <w:r w:rsidRPr="00BD1B89">
        <w:rPr>
          <w:rFonts w:ascii="Calibri" w:hAnsi="Calibri" w:cs="Calibri"/>
        </w:rPr>
        <w:t xml:space="preserve">, </w:t>
      </w:r>
      <w:r w:rsidRPr="00BD1B89">
        <w:rPr>
          <w:rFonts w:ascii="Calibri" w:hAnsi="Calibri" w:cs="Calibri"/>
          <w:i/>
          <w:iCs/>
        </w:rPr>
        <w:t>12</w:t>
      </w:r>
      <w:r w:rsidRPr="00BD1B89">
        <w:rPr>
          <w:rFonts w:ascii="Calibri" w:hAnsi="Calibri" w:cs="Calibri"/>
        </w:rPr>
        <w:t>(4), 258–277. https://doi.org/10.18844/wjet.v12i4.5179</w:t>
      </w:r>
    </w:p>
    <w:p w14:paraId="43C55D36" w14:textId="77777777" w:rsidR="00BD1B89" w:rsidRPr="00BD1B89" w:rsidRDefault="00BD1B89" w:rsidP="00BD1B89">
      <w:pPr>
        <w:pStyle w:val="Bibliography"/>
        <w:rPr>
          <w:rFonts w:ascii="Calibri" w:hAnsi="Calibri" w:cs="Calibri"/>
        </w:rPr>
      </w:pPr>
      <w:r w:rsidRPr="00BD1B89">
        <w:rPr>
          <w:rFonts w:ascii="Calibri" w:hAnsi="Calibri" w:cs="Calibri"/>
        </w:rPr>
        <w:t xml:space="preserve">Database programming with JDBC and JAVA. (1997). </w:t>
      </w:r>
      <w:r w:rsidRPr="00BD1B89">
        <w:rPr>
          <w:rFonts w:ascii="Calibri" w:hAnsi="Calibri" w:cs="Calibri"/>
          <w:i/>
          <w:iCs/>
        </w:rPr>
        <w:t>Computers &amp; Mathematics with Applications</w:t>
      </w:r>
      <w:r w:rsidRPr="00BD1B89">
        <w:rPr>
          <w:rFonts w:ascii="Calibri" w:hAnsi="Calibri" w:cs="Calibri"/>
        </w:rPr>
        <w:t xml:space="preserve">, </w:t>
      </w:r>
      <w:r w:rsidRPr="00BD1B89">
        <w:rPr>
          <w:rFonts w:ascii="Calibri" w:hAnsi="Calibri" w:cs="Calibri"/>
          <w:i/>
          <w:iCs/>
        </w:rPr>
        <w:t>34</w:t>
      </w:r>
      <w:r w:rsidRPr="00BD1B89">
        <w:rPr>
          <w:rFonts w:ascii="Calibri" w:hAnsi="Calibri" w:cs="Calibri"/>
        </w:rPr>
        <w:t>(10), 141. https://doi.org/10.1016/S0898-1221(97)90259-5</w:t>
      </w:r>
    </w:p>
    <w:p w14:paraId="0595BB0F" w14:textId="77777777" w:rsidR="00BD1B89" w:rsidRPr="00BD1B89" w:rsidRDefault="00BD1B89" w:rsidP="00BD1B89">
      <w:pPr>
        <w:pStyle w:val="Bibliography"/>
        <w:rPr>
          <w:rFonts w:ascii="Calibri" w:hAnsi="Calibri" w:cs="Calibri"/>
        </w:rPr>
      </w:pPr>
      <w:r w:rsidRPr="00BD1B89">
        <w:rPr>
          <w:rFonts w:ascii="Calibri" w:hAnsi="Calibri" w:cs="Calibri"/>
        </w:rPr>
        <w:lastRenderedPageBreak/>
        <w:t xml:space="preserve">Faisal, M., Ida, I., </w:t>
      </w:r>
      <w:proofErr w:type="spellStart"/>
      <w:r w:rsidRPr="00BD1B89">
        <w:rPr>
          <w:rFonts w:ascii="Calibri" w:hAnsi="Calibri" w:cs="Calibri"/>
        </w:rPr>
        <w:t>Khaiyyir</w:t>
      </w:r>
      <w:proofErr w:type="spellEnd"/>
      <w:r w:rsidRPr="00BD1B89">
        <w:rPr>
          <w:rFonts w:ascii="Calibri" w:hAnsi="Calibri" w:cs="Calibri"/>
        </w:rPr>
        <w:t xml:space="preserve">, M., &amp; Ahsan, A. (2023). SOSIALISASI PENGENALAN APP INVENTOR BERBASIS MOBILE PROGRAMMING. </w:t>
      </w:r>
      <w:r w:rsidRPr="00BD1B89">
        <w:rPr>
          <w:rFonts w:ascii="Calibri" w:hAnsi="Calibri" w:cs="Calibri"/>
          <w:i/>
          <w:iCs/>
        </w:rPr>
        <w:t xml:space="preserve">SELAPARANG: </w:t>
      </w:r>
      <w:proofErr w:type="spellStart"/>
      <w:r w:rsidRPr="00BD1B89">
        <w:rPr>
          <w:rFonts w:ascii="Calibri" w:hAnsi="Calibri" w:cs="Calibri"/>
          <w:i/>
          <w:iCs/>
        </w:rPr>
        <w:t>Jurnal</w:t>
      </w:r>
      <w:proofErr w:type="spellEnd"/>
      <w:r w:rsidRPr="00BD1B89">
        <w:rPr>
          <w:rFonts w:ascii="Calibri" w:hAnsi="Calibri" w:cs="Calibri"/>
          <w:i/>
          <w:iCs/>
        </w:rPr>
        <w:t xml:space="preserve"> </w:t>
      </w:r>
      <w:proofErr w:type="spellStart"/>
      <w:r w:rsidRPr="00BD1B89">
        <w:rPr>
          <w:rFonts w:ascii="Calibri" w:hAnsi="Calibri" w:cs="Calibri"/>
          <w:i/>
          <w:iCs/>
        </w:rPr>
        <w:t>Pengabdian</w:t>
      </w:r>
      <w:proofErr w:type="spellEnd"/>
      <w:r w:rsidRPr="00BD1B89">
        <w:rPr>
          <w:rFonts w:ascii="Calibri" w:hAnsi="Calibri" w:cs="Calibri"/>
          <w:i/>
          <w:iCs/>
        </w:rPr>
        <w:t xml:space="preserve"> Masyarakat Berkemajuan</w:t>
      </w:r>
      <w:r w:rsidRPr="00BD1B89">
        <w:rPr>
          <w:rFonts w:ascii="Calibri" w:hAnsi="Calibri" w:cs="Calibri"/>
        </w:rPr>
        <w:t xml:space="preserve">, </w:t>
      </w:r>
      <w:r w:rsidRPr="00BD1B89">
        <w:rPr>
          <w:rFonts w:ascii="Calibri" w:hAnsi="Calibri" w:cs="Calibri"/>
          <w:i/>
          <w:iCs/>
        </w:rPr>
        <w:t>7</w:t>
      </w:r>
      <w:r w:rsidRPr="00BD1B89">
        <w:rPr>
          <w:rFonts w:ascii="Calibri" w:hAnsi="Calibri" w:cs="Calibri"/>
        </w:rPr>
        <w:t>(3), 2069. https://doi.org/10.31764/jpmb.v7i3.17153</w:t>
      </w:r>
    </w:p>
    <w:p w14:paraId="5C35EB24" w14:textId="77777777" w:rsidR="00BD1B89" w:rsidRPr="00BD1B89" w:rsidRDefault="00BD1B89" w:rsidP="00BD1B89">
      <w:pPr>
        <w:pStyle w:val="Bibliography"/>
        <w:rPr>
          <w:rFonts w:ascii="Calibri" w:hAnsi="Calibri" w:cs="Calibri"/>
        </w:rPr>
      </w:pPr>
      <w:r w:rsidRPr="00BD1B89">
        <w:rPr>
          <w:rFonts w:ascii="Calibri" w:hAnsi="Calibri" w:cs="Calibri"/>
        </w:rPr>
        <w:t xml:space="preserve">Gao, B., Xie, H., Wang, Y., &amp; Xie, Z. (2023). Principles of environmental and social psychology in UI/UX design for metaverse social games: A case study of Horizon Worlds. </w:t>
      </w:r>
      <w:r w:rsidRPr="00BD1B89">
        <w:rPr>
          <w:rFonts w:ascii="Calibri" w:hAnsi="Calibri" w:cs="Calibri"/>
          <w:i/>
          <w:iCs/>
        </w:rPr>
        <w:t>Environment and Social Psychology</w:t>
      </w:r>
      <w:r w:rsidRPr="00BD1B89">
        <w:rPr>
          <w:rFonts w:ascii="Calibri" w:hAnsi="Calibri" w:cs="Calibri"/>
        </w:rPr>
        <w:t xml:space="preserve">, </w:t>
      </w:r>
      <w:r w:rsidRPr="00BD1B89">
        <w:rPr>
          <w:rFonts w:ascii="Calibri" w:hAnsi="Calibri" w:cs="Calibri"/>
          <w:i/>
          <w:iCs/>
        </w:rPr>
        <w:t>9</w:t>
      </w:r>
      <w:r w:rsidRPr="00BD1B89">
        <w:rPr>
          <w:rFonts w:ascii="Calibri" w:hAnsi="Calibri" w:cs="Calibri"/>
        </w:rPr>
        <w:t>(1). https://doi.org/10.54517/esp.v9i1.1871</w:t>
      </w:r>
    </w:p>
    <w:p w14:paraId="1B8AA2DD" w14:textId="77777777" w:rsidR="00BD1B89" w:rsidRPr="00BD1B89" w:rsidRDefault="00BD1B89" w:rsidP="00BD1B89">
      <w:pPr>
        <w:pStyle w:val="Bibliography"/>
        <w:rPr>
          <w:rFonts w:ascii="Calibri" w:hAnsi="Calibri" w:cs="Calibri"/>
        </w:rPr>
      </w:pPr>
      <w:r w:rsidRPr="00BD1B89">
        <w:rPr>
          <w:rFonts w:ascii="Calibri" w:hAnsi="Calibri" w:cs="Calibri"/>
        </w:rPr>
        <w:t xml:space="preserve">Gong, W. (2022). Database Programming Technology Based on Computer Software Engineering. </w:t>
      </w:r>
      <w:r w:rsidRPr="00BD1B89">
        <w:rPr>
          <w:rFonts w:ascii="Calibri" w:hAnsi="Calibri" w:cs="Calibri"/>
          <w:i/>
          <w:iCs/>
        </w:rPr>
        <w:t>Journal of Physics: Conference Series</w:t>
      </w:r>
      <w:r w:rsidRPr="00BD1B89">
        <w:rPr>
          <w:rFonts w:ascii="Calibri" w:hAnsi="Calibri" w:cs="Calibri"/>
        </w:rPr>
        <w:t xml:space="preserve">, </w:t>
      </w:r>
      <w:r w:rsidRPr="00BD1B89">
        <w:rPr>
          <w:rFonts w:ascii="Calibri" w:hAnsi="Calibri" w:cs="Calibri"/>
          <w:i/>
          <w:iCs/>
        </w:rPr>
        <w:t>2173</w:t>
      </w:r>
      <w:r w:rsidRPr="00BD1B89">
        <w:rPr>
          <w:rFonts w:ascii="Calibri" w:hAnsi="Calibri" w:cs="Calibri"/>
        </w:rPr>
        <w:t>(1), 012073. https://doi.org/10.1088/1742-6596/2173/1/012073</w:t>
      </w:r>
    </w:p>
    <w:p w14:paraId="3096C982" w14:textId="77777777" w:rsidR="00BD1B89" w:rsidRPr="00BD1B89" w:rsidRDefault="00BD1B89" w:rsidP="00BD1B89">
      <w:pPr>
        <w:pStyle w:val="Bibliography"/>
        <w:rPr>
          <w:rFonts w:ascii="Calibri" w:hAnsi="Calibri" w:cs="Calibri"/>
        </w:rPr>
      </w:pPr>
      <w:r w:rsidRPr="00BD1B89">
        <w:rPr>
          <w:rFonts w:ascii="Calibri" w:hAnsi="Calibri" w:cs="Calibri"/>
        </w:rPr>
        <w:t xml:space="preserve">Green, B. (2021). Data Science as Political Action: Grounding Data Science in a Politics of Justice. </w:t>
      </w:r>
      <w:r w:rsidRPr="00BD1B89">
        <w:rPr>
          <w:rFonts w:ascii="Calibri" w:hAnsi="Calibri" w:cs="Calibri"/>
          <w:i/>
          <w:iCs/>
        </w:rPr>
        <w:t>Journal of Social Computing</w:t>
      </w:r>
      <w:r w:rsidRPr="00BD1B89">
        <w:rPr>
          <w:rFonts w:ascii="Calibri" w:hAnsi="Calibri" w:cs="Calibri"/>
        </w:rPr>
        <w:t xml:space="preserve">, </w:t>
      </w:r>
      <w:r w:rsidRPr="00BD1B89">
        <w:rPr>
          <w:rFonts w:ascii="Calibri" w:hAnsi="Calibri" w:cs="Calibri"/>
          <w:i/>
          <w:iCs/>
        </w:rPr>
        <w:t>2</w:t>
      </w:r>
      <w:r w:rsidRPr="00BD1B89">
        <w:rPr>
          <w:rFonts w:ascii="Calibri" w:hAnsi="Calibri" w:cs="Calibri"/>
        </w:rPr>
        <w:t>(3), 249–265. https://doi.org/10.23919/JSC.2021.0029</w:t>
      </w:r>
    </w:p>
    <w:p w14:paraId="23BD562C" w14:textId="77777777" w:rsidR="00BD1B89" w:rsidRPr="00BD1B89" w:rsidRDefault="00BD1B89" w:rsidP="00BD1B89">
      <w:pPr>
        <w:pStyle w:val="Bibliography"/>
        <w:rPr>
          <w:rFonts w:ascii="Calibri" w:hAnsi="Calibri" w:cs="Calibri"/>
        </w:rPr>
      </w:pPr>
      <w:r w:rsidRPr="00BD1B89">
        <w:rPr>
          <w:rFonts w:ascii="Calibri" w:hAnsi="Calibri" w:cs="Calibri"/>
        </w:rPr>
        <w:t xml:space="preserve">Hafeez, M., Naureen, S., &amp; Sultan, S. (2022). Quality Indicators and Models for Online Learning Quality Assurance in Higher Education. </w:t>
      </w:r>
      <w:r w:rsidRPr="00BD1B89">
        <w:rPr>
          <w:rFonts w:ascii="Calibri" w:hAnsi="Calibri" w:cs="Calibri"/>
          <w:i/>
          <w:iCs/>
        </w:rPr>
        <w:t>Electronic Journal of E-Learning</w:t>
      </w:r>
      <w:r w:rsidRPr="00BD1B89">
        <w:rPr>
          <w:rFonts w:ascii="Calibri" w:hAnsi="Calibri" w:cs="Calibri"/>
        </w:rPr>
        <w:t xml:space="preserve">, </w:t>
      </w:r>
      <w:r w:rsidRPr="00BD1B89">
        <w:rPr>
          <w:rFonts w:ascii="Calibri" w:hAnsi="Calibri" w:cs="Calibri"/>
          <w:i/>
          <w:iCs/>
        </w:rPr>
        <w:t>20</w:t>
      </w:r>
      <w:r w:rsidRPr="00BD1B89">
        <w:rPr>
          <w:rFonts w:ascii="Calibri" w:hAnsi="Calibri" w:cs="Calibri"/>
        </w:rPr>
        <w:t>(4), pp374-385. https://doi.org/10.34190/ejel.20.4.2553</w:t>
      </w:r>
    </w:p>
    <w:p w14:paraId="319F9693" w14:textId="77777777" w:rsidR="00BD1B89" w:rsidRPr="00BD1B89" w:rsidRDefault="00BD1B89" w:rsidP="00BD1B89">
      <w:pPr>
        <w:pStyle w:val="Bibliography"/>
        <w:rPr>
          <w:rFonts w:ascii="Calibri" w:hAnsi="Calibri" w:cs="Calibri"/>
        </w:rPr>
      </w:pPr>
      <w:r w:rsidRPr="00BD1B89">
        <w:rPr>
          <w:rFonts w:ascii="Calibri" w:hAnsi="Calibri" w:cs="Calibri"/>
        </w:rPr>
        <w:t xml:space="preserve">Klein, E. E., Hanley, J., Bayouth, J., Yin, F., Simon, W., Dresser, S., Serago, C., Aguirre, F., Ma, L., </w:t>
      </w:r>
      <w:proofErr w:type="spellStart"/>
      <w:r w:rsidRPr="00BD1B89">
        <w:rPr>
          <w:rFonts w:ascii="Calibri" w:hAnsi="Calibri" w:cs="Calibri"/>
        </w:rPr>
        <w:t>Arjomandy</w:t>
      </w:r>
      <w:proofErr w:type="spellEnd"/>
      <w:r w:rsidRPr="00BD1B89">
        <w:rPr>
          <w:rFonts w:ascii="Calibri" w:hAnsi="Calibri" w:cs="Calibri"/>
        </w:rPr>
        <w:t xml:space="preserve">, B., Liu, C., Sandin, C., &amp; Holmes, T. (2009). Task Group 142 report: Quality assurance of medical </w:t>
      </w:r>
      <w:proofErr w:type="spellStart"/>
      <w:r w:rsidRPr="00BD1B89">
        <w:rPr>
          <w:rFonts w:ascii="Calibri" w:hAnsi="Calibri" w:cs="Calibri"/>
        </w:rPr>
        <w:t>acceleratorsa</w:t>
      </w:r>
      <w:proofErr w:type="spellEnd"/>
      <w:r w:rsidRPr="00BD1B89">
        <w:rPr>
          <w:rFonts w:ascii="Calibri" w:hAnsi="Calibri" w:cs="Calibri"/>
        </w:rPr>
        <w:t xml:space="preserve">). </w:t>
      </w:r>
      <w:r w:rsidRPr="00BD1B89">
        <w:rPr>
          <w:rFonts w:ascii="Calibri" w:hAnsi="Calibri" w:cs="Calibri"/>
          <w:i/>
          <w:iCs/>
        </w:rPr>
        <w:t>Medical Physics</w:t>
      </w:r>
      <w:r w:rsidRPr="00BD1B89">
        <w:rPr>
          <w:rFonts w:ascii="Calibri" w:hAnsi="Calibri" w:cs="Calibri"/>
        </w:rPr>
        <w:t xml:space="preserve">, </w:t>
      </w:r>
      <w:r w:rsidRPr="00BD1B89">
        <w:rPr>
          <w:rFonts w:ascii="Calibri" w:hAnsi="Calibri" w:cs="Calibri"/>
          <w:i/>
          <w:iCs/>
        </w:rPr>
        <w:t>36</w:t>
      </w:r>
      <w:r w:rsidRPr="00BD1B89">
        <w:rPr>
          <w:rFonts w:ascii="Calibri" w:hAnsi="Calibri" w:cs="Calibri"/>
        </w:rPr>
        <w:t>(9Part1), 4197–4212. https://doi.org/10.1118/1.3190392</w:t>
      </w:r>
    </w:p>
    <w:p w14:paraId="52604EE8" w14:textId="77777777" w:rsidR="00BD1B89" w:rsidRPr="00BD1B89" w:rsidRDefault="00BD1B89" w:rsidP="00BD1B89">
      <w:pPr>
        <w:pStyle w:val="Bibliography"/>
        <w:rPr>
          <w:rFonts w:ascii="Calibri" w:hAnsi="Calibri" w:cs="Calibri"/>
        </w:rPr>
      </w:pPr>
      <w:proofErr w:type="spellStart"/>
      <w:r w:rsidRPr="00BD1B89">
        <w:rPr>
          <w:rFonts w:ascii="Calibri" w:hAnsi="Calibri" w:cs="Calibri"/>
        </w:rPr>
        <w:t>Krisnanik</w:t>
      </w:r>
      <w:proofErr w:type="spellEnd"/>
      <w:r w:rsidRPr="00BD1B89">
        <w:rPr>
          <w:rFonts w:ascii="Calibri" w:hAnsi="Calibri" w:cs="Calibri"/>
        </w:rPr>
        <w:t xml:space="preserve">, E., &amp; Rahayu, T. (2021). UI/UX integrated holistic monitoring of PAUD using the TCSD method. </w:t>
      </w:r>
      <w:r w:rsidRPr="00BD1B89">
        <w:rPr>
          <w:rFonts w:ascii="Calibri" w:hAnsi="Calibri" w:cs="Calibri"/>
          <w:i/>
          <w:iCs/>
        </w:rPr>
        <w:t>Bulletin of Electrical Engineering and Informatics</w:t>
      </w:r>
      <w:r w:rsidRPr="00BD1B89">
        <w:rPr>
          <w:rFonts w:ascii="Calibri" w:hAnsi="Calibri" w:cs="Calibri"/>
        </w:rPr>
        <w:t xml:space="preserve">, </w:t>
      </w:r>
      <w:r w:rsidRPr="00BD1B89">
        <w:rPr>
          <w:rFonts w:ascii="Calibri" w:hAnsi="Calibri" w:cs="Calibri"/>
          <w:i/>
          <w:iCs/>
        </w:rPr>
        <w:t>10</w:t>
      </w:r>
      <w:r w:rsidRPr="00BD1B89">
        <w:rPr>
          <w:rFonts w:ascii="Calibri" w:hAnsi="Calibri" w:cs="Calibri"/>
        </w:rPr>
        <w:t>(4), 2273–2284. https://doi.org/10.11591/eei.v10i4.3108</w:t>
      </w:r>
    </w:p>
    <w:p w14:paraId="53BFFB63" w14:textId="77777777" w:rsidR="00BD1B89" w:rsidRPr="00BD1B89" w:rsidRDefault="00BD1B89" w:rsidP="00BD1B89">
      <w:pPr>
        <w:pStyle w:val="Bibliography"/>
        <w:rPr>
          <w:rFonts w:ascii="Calibri" w:hAnsi="Calibri" w:cs="Calibri"/>
        </w:rPr>
      </w:pPr>
      <w:proofErr w:type="spellStart"/>
      <w:r w:rsidRPr="00BD1B89">
        <w:rPr>
          <w:rFonts w:ascii="Calibri" w:hAnsi="Calibri" w:cs="Calibri"/>
        </w:rPr>
        <w:t>Kuwornu</w:t>
      </w:r>
      <w:proofErr w:type="spellEnd"/>
      <w:r w:rsidRPr="00BD1B89">
        <w:rPr>
          <w:rFonts w:ascii="Calibri" w:hAnsi="Calibri" w:cs="Calibri"/>
        </w:rPr>
        <w:t xml:space="preserve">, J. K. M., </w:t>
      </w:r>
      <w:proofErr w:type="spellStart"/>
      <w:r w:rsidRPr="00BD1B89">
        <w:rPr>
          <w:rFonts w:ascii="Calibri" w:hAnsi="Calibri" w:cs="Calibri"/>
        </w:rPr>
        <w:t>Khaipetch</w:t>
      </w:r>
      <w:proofErr w:type="spellEnd"/>
      <w:r w:rsidRPr="00BD1B89">
        <w:rPr>
          <w:rFonts w:ascii="Calibri" w:hAnsi="Calibri" w:cs="Calibri"/>
        </w:rPr>
        <w:t xml:space="preserve">, J., Gunawan, E., Bannor, R. K., &amp; Ho, T. D. N. (2023). The adoption of sustainable supply chain management practices on performance and quality assurance of food companies. </w:t>
      </w:r>
      <w:r w:rsidRPr="00BD1B89">
        <w:rPr>
          <w:rFonts w:ascii="Calibri" w:hAnsi="Calibri" w:cs="Calibri"/>
          <w:i/>
          <w:iCs/>
        </w:rPr>
        <w:t>Sustainable Futures</w:t>
      </w:r>
      <w:r w:rsidRPr="00BD1B89">
        <w:rPr>
          <w:rFonts w:ascii="Calibri" w:hAnsi="Calibri" w:cs="Calibri"/>
        </w:rPr>
        <w:t xml:space="preserve">, </w:t>
      </w:r>
      <w:r w:rsidRPr="00BD1B89">
        <w:rPr>
          <w:rFonts w:ascii="Calibri" w:hAnsi="Calibri" w:cs="Calibri"/>
          <w:i/>
          <w:iCs/>
        </w:rPr>
        <w:t>5</w:t>
      </w:r>
      <w:r w:rsidRPr="00BD1B89">
        <w:rPr>
          <w:rFonts w:ascii="Calibri" w:hAnsi="Calibri" w:cs="Calibri"/>
        </w:rPr>
        <w:t>, 100103. https://doi.org/10.1016/j.sftr.2022.100103</w:t>
      </w:r>
    </w:p>
    <w:p w14:paraId="071BEE65" w14:textId="77777777" w:rsidR="00BD1B89" w:rsidRPr="00BD1B89" w:rsidRDefault="00BD1B89" w:rsidP="00BD1B89">
      <w:pPr>
        <w:pStyle w:val="Bibliography"/>
        <w:rPr>
          <w:rFonts w:ascii="Calibri" w:hAnsi="Calibri" w:cs="Calibri"/>
        </w:rPr>
      </w:pPr>
      <w:r w:rsidRPr="00BD1B89">
        <w:rPr>
          <w:rFonts w:ascii="Calibri" w:hAnsi="Calibri" w:cs="Calibri"/>
        </w:rPr>
        <w:t xml:space="preserve">Leontiev, Y., </w:t>
      </w:r>
      <w:proofErr w:type="spellStart"/>
      <w:r w:rsidRPr="00BD1B89">
        <w:rPr>
          <w:rFonts w:ascii="Calibri" w:hAnsi="Calibri" w:cs="Calibri"/>
        </w:rPr>
        <w:t>Özsu</w:t>
      </w:r>
      <w:proofErr w:type="spellEnd"/>
      <w:r w:rsidRPr="00BD1B89">
        <w:rPr>
          <w:rFonts w:ascii="Calibri" w:hAnsi="Calibri" w:cs="Calibri"/>
        </w:rPr>
        <w:t xml:space="preserve">, M. T., &amp; Szafron, D. (2002). On type systems for object-oriented database programming languages. </w:t>
      </w:r>
      <w:r w:rsidRPr="00BD1B89">
        <w:rPr>
          <w:rFonts w:ascii="Calibri" w:hAnsi="Calibri" w:cs="Calibri"/>
          <w:i/>
          <w:iCs/>
        </w:rPr>
        <w:t>ACM Computing Surveys</w:t>
      </w:r>
      <w:r w:rsidRPr="00BD1B89">
        <w:rPr>
          <w:rFonts w:ascii="Calibri" w:hAnsi="Calibri" w:cs="Calibri"/>
        </w:rPr>
        <w:t xml:space="preserve">, </w:t>
      </w:r>
      <w:r w:rsidRPr="00BD1B89">
        <w:rPr>
          <w:rFonts w:ascii="Calibri" w:hAnsi="Calibri" w:cs="Calibri"/>
          <w:i/>
          <w:iCs/>
        </w:rPr>
        <w:t>34</w:t>
      </w:r>
      <w:r w:rsidRPr="00BD1B89">
        <w:rPr>
          <w:rFonts w:ascii="Calibri" w:hAnsi="Calibri" w:cs="Calibri"/>
        </w:rPr>
        <w:t>(4), 409–449. https://doi.org/10.1145/592642.592643</w:t>
      </w:r>
    </w:p>
    <w:p w14:paraId="55953B9B" w14:textId="77777777" w:rsidR="00BD1B89" w:rsidRPr="00BD1B89" w:rsidRDefault="00BD1B89" w:rsidP="00BD1B89">
      <w:pPr>
        <w:pStyle w:val="Bibliography"/>
        <w:rPr>
          <w:rFonts w:ascii="Calibri" w:hAnsi="Calibri" w:cs="Calibri"/>
        </w:rPr>
      </w:pPr>
      <w:r w:rsidRPr="00BD1B89">
        <w:rPr>
          <w:rFonts w:ascii="Calibri" w:hAnsi="Calibri" w:cs="Calibri"/>
        </w:rPr>
        <w:t xml:space="preserve">Luo, K., &amp; Deng, W. (2024). Software engineering database programming control system based on embedded system. </w:t>
      </w:r>
      <w:r w:rsidRPr="00BD1B89">
        <w:rPr>
          <w:rFonts w:ascii="Calibri" w:hAnsi="Calibri" w:cs="Calibri"/>
          <w:i/>
          <w:iCs/>
        </w:rPr>
        <w:t>Applied Mathematics and Nonlinear Sciences</w:t>
      </w:r>
      <w:r w:rsidRPr="00BD1B89">
        <w:rPr>
          <w:rFonts w:ascii="Calibri" w:hAnsi="Calibri" w:cs="Calibri"/>
        </w:rPr>
        <w:t xml:space="preserve">, </w:t>
      </w:r>
      <w:r w:rsidRPr="00BD1B89">
        <w:rPr>
          <w:rFonts w:ascii="Calibri" w:hAnsi="Calibri" w:cs="Calibri"/>
          <w:i/>
          <w:iCs/>
        </w:rPr>
        <w:t>9</w:t>
      </w:r>
      <w:r w:rsidRPr="00BD1B89">
        <w:rPr>
          <w:rFonts w:ascii="Calibri" w:hAnsi="Calibri" w:cs="Calibri"/>
        </w:rPr>
        <w:t>(1), 20230473. https://doi.org/10.2478/amns.2023.1.00473</w:t>
      </w:r>
    </w:p>
    <w:p w14:paraId="591C9BDF" w14:textId="77777777" w:rsidR="00BD1B89" w:rsidRPr="00BD1B89" w:rsidRDefault="00BD1B89" w:rsidP="00BD1B89">
      <w:pPr>
        <w:pStyle w:val="Bibliography"/>
        <w:rPr>
          <w:rFonts w:ascii="Calibri" w:hAnsi="Calibri" w:cs="Calibri"/>
        </w:rPr>
      </w:pPr>
      <w:r w:rsidRPr="00BD1B89">
        <w:rPr>
          <w:rFonts w:ascii="Calibri" w:hAnsi="Calibri" w:cs="Calibri"/>
        </w:rPr>
        <w:t xml:space="preserve">Marzuki, M. (2019). </w:t>
      </w:r>
      <w:proofErr w:type="spellStart"/>
      <w:r w:rsidRPr="00BD1B89">
        <w:rPr>
          <w:rFonts w:ascii="Calibri" w:hAnsi="Calibri" w:cs="Calibri"/>
        </w:rPr>
        <w:t>Perancangan</w:t>
      </w:r>
      <w:proofErr w:type="spellEnd"/>
      <w:r w:rsidRPr="00BD1B89">
        <w:rPr>
          <w:rFonts w:ascii="Calibri" w:hAnsi="Calibri" w:cs="Calibri"/>
        </w:rPr>
        <w:t xml:space="preserve"> </w:t>
      </w:r>
      <w:proofErr w:type="spellStart"/>
      <w:r w:rsidRPr="00BD1B89">
        <w:rPr>
          <w:rFonts w:ascii="Calibri" w:hAnsi="Calibri" w:cs="Calibri"/>
        </w:rPr>
        <w:t>perangat</w:t>
      </w:r>
      <w:proofErr w:type="spellEnd"/>
      <w:r w:rsidRPr="00BD1B89">
        <w:rPr>
          <w:rFonts w:ascii="Calibri" w:hAnsi="Calibri" w:cs="Calibri"/>
        </w:rPr>
        <w:t xml:space="preserve"> </w:t>
      </w:r>
      <w:proofErr w:type="spellStart"/>
      <w:r w:rsidRPr="00BD1B89">
        <w:rPr>
          <w:rFonts w:ascii="Calibri" w:hAnsi="Calibri" w:cs="Calibri"/>
        </w:rPr>
        <w:t>lunak</w:t>
      </w:r>
      <w:proofErr w:type="spellEnd"/>
      <w:r w:rsidRPr="00BD1B89">
        <w:rPr>
          <w:rFonts w:ascii="Calibri" w:hAnsi="Calibri" w:cs="Calibri"/>
        </w:rPr>
        <w:t xml:space="preserve"> </w:t>
      </w:r>
      <w:proofErr w:type="spellStart"/>
      <w:r w:rsidRPr="00BD1B89">
        <w:rPr>
          <w:rFonts w:ascii="Calibri" w:hAnsi="Calibri" w:cs="Calibri"/>
        </w:rPr>
        <w:t>perhitungan</w:t>
      </w:r>
      <w:proofErr w:type="spellEnd"/>
      <w:r w:rsidRPr="00BD1B89">
        <w:rPr>
          <w:rFonts w:ascii="Calibri" w:hAnsi="Calibri" w:cs="Calibri"/>
        </w:rPr>
        <w:t xml:space="preserve"> dan </w:t>
      </w:r>
      <w:proofErr w:type="spellStart"/>
      <w:r w:rsidRPr="00BD1B89">
        <w:rPr>
          <w:rFonts w:ascii="Calibri" w:hAnsi="Calibri" w:cs="Calibri"/>
        </w:rPr>
        <w:t>pemograman</w:t>
      </w:r>
      <w:proofErr w:type="spellEnd"/>
      <w:r w:rsidRPr="00BD1B89">
        <w:rPr>
          <w:rFonts w:ascii="Calibri" w:hAnsi="Calibri" w:cs="Calibri"/>
        </w:rPr>
        <w:t xml:space="preserve"> database </w:t>
      </w:r>
      <w:proofErr w:type="spellStart"/>
      <w:r w:rsidRPr="00BD1B89">
        <w:rPr>
          <w:rFonts w:ascii="Calibri" w:hAnsi="Calibri" w:cs="Calibri"/>
        </w:rPr>
        <w:t>optimasi</w:t>
      </w:r>
      <w:proofErr w:type="spellEnd"/>
      <w:r w:rsidRPr="00BD1B89">
        <w:rPr>
          <w:rFonts w:ascii="Calibri" w:hAnsi="Calibri" w:cs="Calibri"/>
        </w:rPr>
        <w:t xml:space="preserve"> proses </w:t>
      </w:r>
      <w:proofErr w:type="spellStart"/>
      <w:r w:rsidRPr="00BD1B89">
        <w:rPr>
          <w:rFonts w:ascii="Calibri" w:hAnsi="Calibri" w:cs="Calibri"/>
        </w:rPr>
        <w:t>pemesinan</w:t>
      </w:r>
      <w:proofErr w:type="spellEnd"/>
      <w:r w:rsidRPr="00BD1B89">
        <w:rPr>
          <w:rFonts w:ascii="Calibri" w:hAnsi="Calibri" w:cs="Calibri"/>
        </w:rPr>
        <w:t xml:space="preserve">. </w:t>
      </w:r>
      <w:proofErr w:type="spellStart"/>
      <w:r w:rsidRPr="00BD1B89">
        <w:rPr>
          <w:rFonts w:ascii="Calibri" w:hAnsi="Calibri" w:cs="Calibri"/>
          <w:i/>
          <w:iCs/>
        </w:rPr>
        <w:t>Jurnal</w:t>
      </w:r>
      <w:proofErr w:type="spellEnd"/>
      <w:r w:rsidRPr="00BD1B89">
        <w:rPr>
          <w:rFonts w:ascii="Calibri" w:hAnsi="Calibri" w:cs="Calibri"/>
          <w:i/>
          <w:iCs/>
        </w:rPr>
        <w:t xml:space="preserve"> POLIMESIN</w:t>
      </w:r>
      <w:r w:rsidRPr="00BD1B89">
        <w:rPr>
          <w:rFonts w:ascii="Calibri" w:hAnsi="Calibri" w:cs="Calibri"/>
        </w:rPr>
        <w:t xml:space="preserve">, </w:t>
      </w:r>
      <w:r w:rsidRPr="00BD1B89">
        <w:rPr>
          <w:rFonts w:ascii="Calibri" w:hAnsi="Calibri" w:cs="Calibri"/>
          <w:i/>
          <w:iCs/>
        </w:rPr>
        <w:t>1</w:t>
      </w:r>
      <w:r w:rsidRPr="00BD1B89">
        <w:rPr>
          <w:rFonts w:ascii="Calibri" w:hAnsi="Calibri" w:cs="Calibri"/>
        </w:rPr>
        <w:t>(1), 21. https://doi.org/10.30811/jop.v1i1.1393</w:t>
      </w:r>
    </w:p>
    <w:p w14:paraId="3994AFCD" w14:textId="77777777" w:rsidR="00BD1B89" w:rsidRPr="00BD1B89" w:rsidRDefault="00BD1B89" w:rsidP="00BD1B89">
      <w:pPr>
        <w:pStyle w:val="Bibliography"/>
        <w:rPr>
          <w:rFonts w:ascii="Calibri" w:hAnsi="Calibri" w:cs="Calibri"/>
        </w:rPr>
      </w:pPr>
      <w:r w:rsidRPr="00BD1B89">
        <w:rPr>
          <w:rFonts w:ascii="Calibri" w:hAnsi="Calibri" w:cs="Calibri"/>
        </w:rPr>
        <w:lastRenderedPageBreak/>
        <w:t xml:space="preserve">Mir, S. B., &amp; </w:t>
      </w:r>
      <w:proofErr w:type="spellStart"/>
      <w:r w:rsidRPr="00BD1B89">
        <w:rPr>
          <w:rFonts w:ascii="Calibri" w:hAnsi="Calibri" w:cs="Calibri"/>
        </w:rPr>
        <w:t>Llueca</w:t>
      </w:r>
      <w:proofErr w:type="spellEnd"/>
      <w:r w:rsidRPr="00BD1B89">
        <w:rPr>
          <w:rFonts w:ascii="Calibri" w:hAnsi="Calibri" w:cs="Calibri"/>
        </w:rPr>
        <w:t xml:space="preserve">, G. F. (2020). Introduction to Programming Using Mobile Phones and MIT App Inventor. </w:t>
      </w:r>
      <w:r w:rsidRPr="00BD1B89">
        <w:rPr>
          <w:rFonts w:ascii="Calibri" w:hAnsi="Calibri" w:cs="Calibri"/>
          <w:i/>
          <w:iCs/>
        </w:rPr>
        <w:t xml:space="preserve">IEEE Revista Iberoamericana de </w:t>
      </w:r>
      <w:proofErr w:type="spellStart"/>
      <w:r w:rsidRPr="00BD1B89">
        <w:rPr>
          <w:rFonts w:ascii="Calibri" w:hAnsi="Calibri" w:cs="Calibri"/>
          <w:i/>
          <w:iCs/>
        </w:rPr>
        <w:t>Tecnologias</w:t>
      </w:r>
      <w:proofErr w:type="spellEnd"/>
      <w:r w:rsidRPr="00BD1B89">
        <w:rPr>
          <w:rFonts w:ascii="Calibri" w:hAnsi="Calibri" w:cs="Calibri"/>
          <w:i/>
          <w:iCs/>
        </w:rPr>
        <w:t xml:space="preserve"> Del </w:t>
      </w:r>
      <w:proofErr w:type="spellStart"/>
      <w:r w:rsidRPr="00BD1B89">
        <w:rPr>
          <w:rFonts w:ascii="Calibri" w:hAnsi="Calibri" w:cs="Calibri"/>
          <w:i/>
          <w:iCs/>
        </w:rPr>
        <w:t>Aprendizaje</w:t>
      </w:r>
      <w:proofErr w:type="spellEnd"/>
      <w:r w:rsidRPr="00BD1B89">
        <w:rPr>
          <w:rFonts w:ascii="Calibri" w:hAnsi="Calibri" w:cs="Calibri"/>
        </w:rPr>
        <w:t xml:space="preserve">, </w:t>
      </w:r>
      <w:r w:rsidRPr="00BD1B89">
        <w:rPr>
          <w:rFonts w:ascii="Calibri" w:hAnsi="Calibri" w:cs="Calibri"/>
          <w:i/>
          <w:iCs/>
        </w:rPr>
        <w:t>15</w:t>
      </w:r>
      <w:r w:rsidRPr="00BD1B89">
        <w:rPr>
          <w:rFonts w:ascii="Calibri" w:hAnsi="Calibri" w:cs="Calibri"/>
        </w:rPr>
        <w:t>(3), 192–201. https://doi.org/10.1109/RITA.2020.3008110</w:t>
      </w:r>
    </w:p>
    <w:p w14:paraId="182913A2" w14:textId="77777777" w:rsidR="00BD1B89" w:rsidRPr="00BD1B89" w:rsidRDefault="00BD1B89" w:rsidP="00BD1B89">
      <w:pPr>
        <w:pStyle w:val="Bibliography"/>
        <w:rPr>
          <w:rFonts w:ascii="Calibri" w:hAnsi="Calibri" w:cs="Calibri"/>
        </w:rPr>
      </w:pPr>
      <w:proofErr w:type="spellStart"/>
      <w:r w:rsidRPr="00BD1B89">
        <w:rPr>
          <w:rFonts w:ascii="Calibri" w:hAnsi="Calibri" w:cs="Calibri"/>
        </w:rPr>
        <w:t>Muktamar</w:t>
      </w:r>
      <w:proofErr w:type="spellEnd"/>
      <w:r w:rsidRPr="00BD1B89">
        <w:rPr>
          <w:rFonts w:ascii="Calibri" w:hAnsi="Calibri" w:cs="Calibri"/>
        </w:rPr>
        <w:t xml:space="preserve"> B, A., </w:t>
      </w:r>
      <w:proofErr w:type="spellStart"/>
      <w:r w:rsidRPr="00BD1B89">
        <w:rPr>
          <w:rFonts w:ascii="Calibri" w:hAnsi="Calibri" w:cs="Calibri"/>
        </w:rPr>
        <w:t>Lumingkewas</w:t>
      </w:r>
      <w:proofErr w:type="spellEnd"/>
      <w:r w:rsidRPr="00BD1B89">
        <w:rPr>
          <w:rFonts w:ascii="Calibri" w:hAnsi="Calibri" w:cs="Calibri"/>
        </w:rPr>
        <w:t xml:space="preserve">, C. S., &amp; </w:t>
      </w:r>
      <w:proofErr w:type="spellStart"/>
      <w:r w:rsidRPr="00BD1B89">
        <w:rPr>
          <w:rFonts w:ascii="Calibri" w:hAnsi="Calibri" w:cs="Calibri"/>
        </w:rPr>
        <w:t>Rofi’i</w:t>
      </w:r>
      <w:proofErr w:type="spellEnd"/>
      <w:r w:rsidRPr="00BD1B89">
        <w:rPr>
          <w:rFonts w:ascii="Calibri" w:hAnsi="Calibri" w:cs="Calibri"/>
        </w:rPr>
        <w:t xml:space="preserve">, A. (2023). The Implementation of User </w:t>
      </w:r>
      <w:proofErr w:type="spellStart"/>
      <w:r w:rsidRPr="00BD1B89">
        <w:rPr>
          <w:rFonts w:ascii="Calibri" w:hAnsi="Calibri" w:cs="Calibri"/>
        </w:rPr>
        <w:t>Centered</w:t>
      </w:r>
      <w:proofErr w:type="spellEnd"/>
      <w:r w:rsidRPr="00BD1B89">
        <w:rPr>
          <w:rFonts w:ascii="Calibri" w:hAnsi="Calibri" w:cs="Calibri"/>
        </w:rPr>
        <w:t xml:space="preserve"> Design Method in Developing UI/UX. </w:t>
      </w:r>
      <w:r w:rsidRPr="00BD1B89">
        <w:rPr>
          <w:rFonts w:ascii="Calibri" w:hAnsi="Calibri" w:cs="Calibri"/>
          <w:i/>
          <w:iCs/>
        </w:rPr>
        <w:t>Journal of Information System, Technology and Engineering</w:t>
      </w:r>
      <w:r w:rsidRPr="00BD1B89">
        <w:rPr>
          <w:rFonts w:ascii="Calibri" w:hAnsi="Calibri" w:cs="Calibri"/>
        </w:rPr>
        <w:t xml:space="preserve">, </w:t>
      </w:r>
      <w:r w:rsidRPr="00BD1B89">
        <w:rPr>
          <w:rFonts w:ascii="Calibri" w:hAnsi="Calibri" w:cs="Calibri"/>
          <w:i/>
          <w:iCs/>
        </w:rPr>
        <w:t>1</w:t>
      </w:r>
      <w:r w:rsidRPr="00BD1B89">
        <w:rPr>
          <w:rFonts w:ascii="Calibri" w:hAnsi="Calibri" w:cs="Calibri"/>
        </w:rPr>
        <w:t>(2), 26–31. https://doi.org/10.61487/jiste.v1i2.13</w:t>
      </w:r>
    </w:p>
    <w:p w14:paraId="7AE2DE41" w14:textId="77777777" w:rsidR="00BD1B89" w:rsidRPr="00BD1B89" w:rsidRDefault="00BD1B89" w:rsidP="00BD1B89">
      <w:pPr>
        <w:pStyle w:val="Bibliography"/>
        <w:rPr>
          <w:rFonts w:ascii="Calibri" w:hAnsi="Calibri" w:cs="Calibri"/>
        </w:rPr>
      </w:pPr>
      <w:r w:rsidRPr="00BD1B89">
        <w:rPr>
          <w:rFonts w:ascii="Calibri" w:hAnsi="Calibri" w:cs="Calibri"/>
        </w:rPr>
        <w:t xml:space="preserve">Multazam, M., </w:t>
      </w:r>
      <w:proofErr w:type="spellStart"/>
      <w:r w:rsidRPr="00BD1B89">
        <w:rPr>
          <w:rFonts w:ascii="Calibri" w:hAnsi="Calibri" w:cs="Calibri"/>
        </w:rPr>
        <w:t>Syahrial</w:t>
      </w:r>
      <w:proofErr w:type="spellEnd"/>
      <w:r w:rsidRPr="00BD1B89">
        <w:rPr>
          <w:rFonts w:ascii="Calibri" w:hAnsi="Calibri" w:cs="Calibri"/>
        </w:rPr>
        <w:t xml:space="preserve">, Z., &amp; </w:t>
      </w:r>
      <w:proofErr w:type="spellStart"/>
      <w:r w:rsidRPr="00BD1B89">
        <w:rPr>
          <w:rFonts w:ascii="Calibri" w:hAnsi="Calibri" w:cs="Calibri"/>
        </w:rPr>
        <w:t>Rusmono</w:t>
      </w:r>
      <w:proofErr w:type="spellEnd"/>
      <w:r w:rsidRPr="00BD1B89">
        <w:rPr>
          <w:rFonts w:ascii="Calibri" w:hAnsi="Calibri" w:cs="Calibri"/>
        </w:rPr>
        <w:t xml:space="preserve">, R. (2023). DEVELOPMENT OF LEARNING MODELS IN WEB PROGRAMMING COURSES WITH COMPUTER-BASED LEARNING TUTORIALS. </w:t>
      </w:r>
      <w:r w:rsidRPr="00BD1B89">
        <w:rPr>
          <w:rFonts w:ascii="Calibri" w:hAnsi="Calibri" w:cs="Calibri"/>
          <w:i/>
          <w:iCs/>
        </w:rPr>
        <w:t>Turkish Online Journal of Distance Education</w:t>
      </w:r>
      <w:r w:rsidRPr="00BD1B89">
        <w:rPr>
          <w:rFonts w:ascii="Calibri" w:hAnsi="Calibri" w:cs="Calibri"/>
        </w:rPr>
        <w:t xml:space="preserve">, </w:t>
      </w:r>
      <w:r w:rsidRPr="00BD1B89">
        <w:rPr>
          <w:rFonts w:ascii="Calibri" w:hAnsi="Calibri" w:cs="Calibri"/>
          <w:i/>
          <w:iCs/>
        </w:rPr>
        <w:t>24</w:t>
      </w:r>
      <w:r w:rsidRPr="00BD1B89">
        <w:rPr>
          <w:rFonts w:ascii="Calibri" w:hAnsi="Calibri" w:cs="Calibri"/>
        </w:rPr>
        <w:t>(2), 232–244. https://doi.org/10.17718/tojde.1081507</w:t>
      </w:r>
    </w:p>
    <w:p w14:paraId="6C754A7D" w14:textId="77777777" w:rsidR="00BD1B89" w:rsidRPr="00BD1B89" w:rsidRDefault="00BD1B89" w:rsidP="00BD1B89">
      <w:pPr>
        <w:pStyle w:val="Bibliography"/>
        <w:rPr>
          <w:rFonts w:ascii="Calibri" w:hAnsi="Calibri" w:cs="Calibri"/>
        </w:rPr>
      </w:pPr>
      <w:proofErr w:type="spellStart"/>
      <w:r w:rsidRPr="00BD1B89">
        <w:rPr>
          <w:rFonts w:ascii="Calibri" w:hAnsi="Calibri" w:cs="Calibri"/>
        </w:rPr>
        <w:t>Nakhaei</w:t>
      </w:r>
      <w:proofErr w:type="spellEnd"/>
      <w:r w:rsidRPr="00BD1B89">
        <w:rPr>
          <w:rFonts w:ascii="Calibri" w:hAnsi="Calibri" w:cs="Calibri"/>
        </w:rPr>
        <w:t xml:space="preserve">, K., Ansari, F., &amp; Ansari, E. (2020). </w:t>
      </w:r>
      <w:proofErr w:type="spellStart"/>
      <w:r w:rsidRPr="00BD1B89">
        <w:rPr>
          <w:rFonts w:ascii="Calibri" w:hAnsi="Calibri" w:cs="Calibri"/>
        </w:rPr>
        <w:t>JSSignature</w:t>
      </w:r>
      <w:proofErr w:type="spellEnd"/>
      <w:r w:rsidRPr="00BD1B89">
        <w:rPr>
          <w:rFonts w:ascii="Calibri" w:hAnsi="Calibri" w:cs="Calibri"/>
        </w:rPr>
        <w:t xml:space="preserve">: Eliminating third-party-hosted JavaScript infection threats using digital signatures. </w:t>
      </w:r>
      <w:r w:rsidRPr="00BD1B89">
        <w:rPr>
          <w:rFonts w:ascii="Calibri" w:hAnsi="Calibri" w:cs="Calibri"/>
          <w:i/>
          <w:iCs/>
        </w:rPr>
        <w:t>SN Applied Sciences</w:t>
      </w:r>
      <w:r w:rsidRPr="00BD1B89">
        <w:rPr>
          <w:rFonts w:ascii="Calibri" w:hAnsi="Calibri" w:cs="Calibri"/>
        </w:rPr>
        <w:t xml:space="preserve">, </w:t>
      </w:r>
      <w:r w:rsidRPr="00BD1B89">
        <w:rPr>
          <w:rFonts w:ascii="Calibri" w:hAnsi="Calibri" w:cs="Calibri"/>
          <w:i/>
          <w:iCs/>
        </w:rPr>
        <w:t>2</w:t>
      </w:r>
      <w:r w:rsidRPr="00BD1B89">
        <w:rPr>
          <w:rFonts w:ascii="Calibri" w:hAnsi="Calibri" w:cs="Calibri"/>
        </w:rPr>
        <w:t>(1), 4. https://doi.org/10.1007/s42452-019-1805-5</w:t>
      </w:r>
    </w:p>
    <w:p w14:paraId="6AB78662" w14:textId="77777777" w:rsidR="00BD1B89" w:rsidRPr="00BD1B89" w:rsidRDefault="00BD1B89" w:rsidP="00BD1B89">
      <w:pPr>
        <w:pStyle w:val="Bibliography"/>
        <w:rPr>
          <w:rFonts w:ascii="Calibri" w:hAnsi="Calibri" w:cs="Calibri"/>
        </w:rPr>
      </w:pPr>
      <w:r w:rsidRPr="00BD1B89">
        <w:rPr>
          <w:rFonts w:ascii="Calibri" w:hAnsi="Calibri" w:cs="Calibri"/>
        </w:rPr>
        <w:t xml:space="preserve">Prayudi, A., </w:t>
      </w:r>
      <w:proofErr w:type="spellStart"/>
      <w:r w:rsidRPr="00BD1B89">
        <w:rPr>
          <w:rFonts w:ascii="Calibri" w:hAnsi="Calibri" w:cs="Calibri"/>
        </w:rPr>
        <w:t>Fathirma’ruf</w:t>
      </w:r>
      <w:proofErr w:type="spellEnd"/>
      <w:r w:rsidRPr="00BD1B89">
        <w:rPr>
          <w:rFonts w:ascii="Calibri" w:hAnsi="Calibri" w:cs="Calibri"/>
        </w:rPr>
        <w:t xml:space="preserve">, &amp; </w:t>
      </w:r>
      <w:proofErr w:type="spellStart"/>
      <w:r w:rsidRPr="00BD1B89">
        <w:rPr>
          <w:rFonts w:ascii="Calibri" w:hAnsi="Calibri" w:cs="Calibri"/>
        </w:rPr>
        <w:t>Supriyaddin</w:t>
      </w:r>
      <w:proofErr w:type="spellEnd"/>
      <w:r w:rsidRPr="00BD1B89">
        <w:rPr>
          <w:rFonts w:ascii="Calibri" w:hAnsi="Calibri" w:cs="Calibri"/>
        </w:rPr>
        <w:t xml:space="preserve">. (2022). PENGEMBANGAN MEDIA PEMBELAJARAN BERBASIS MEME UNTUK MENINGKATKAN KEMAMPUAN PSIKOMOTORIK MAHASISWA. </w:t>
      </w:r>
      <w:proofErr w:type="spellStart"/>
      <w:r w:rsidRPr="00BD1B89">
        <w:rPr>
          <w:rFonts w:ascii="Calibri" w:hAnsi="Calibri" w:cs="Calibri"/>
          <w:i/>
          <w:iCs/>
        </w:rPr>
        <w:t>Jurnal</w:t>
      </w:r>
      <w:proofErr w:type="spellEnd"/>
      <w:r w:rsidRPr="00BD1B89">
        <w:rPr>
          <w:rFonts w:ascii="Calibri" w:hAnsi="Calibri" w:cs="Calibri"/>
          <w:i/>
          <w:iCs/>
        </w:rPr>
        <w:t xml:space="preserve"> </w:t>
      </w:r>
      <w:proofErr w:type="spellStart"/>
      <w:r w:rsidRPr="00BD1B89">
        <w:rPr>
          <w:rFonts w:ascii="Calibri" w:hAnsi="Calibri" w:cs="Calibri"/>
          <w:i/>
          <w:iCs/>
        </w:rPr>
        <w:t>Informatika</w:t>
      </w:r>
      <w:proofErr w:type="spellEnd"/>
      <w:r w:rsidRPr="00BD1B89">
        <w:rPr>
          <w:rFonts w:ascii="Calibri" w:hAnsi="Calibri" w:cs="Calibri"/>
          <w:i/>
          <w:iCs/>
        </w:rPr>
        <w:t xml:space="preserve">, </w:t>
      </w:r>
      <w:proofErr w:type="spellStart"/>
      <w:r w:rsidRPr="00BD1B89">
        <w:rPr>
          <w:rFonts w:ascii="Calibri" w:hAnsi="Calibri" w:cs="Calibri"/>
          <w:i/>
          <w:iCs/>
        </w:rPr>
        <w:t>Teknologi</w:t>
      </w:r>
      <w:proofErr w:type="spellEnd"/>
      <w:r w:rsidRPr="00BD1B89">
        <w:rPr>
          <w:rFonts w:ascii="Calibri" w:hAnsi="Calibri" w:cs="Calibri"/>
          <w:i/>
          <w:iCs/>
        </w:rPr>
        <w:t xml:space="preserve"> Dan Sains</w:t>
      </w:r>
      <w:r w:rsidRPr="00BD1B89">
        <w:rPr>
          <w:rFonts w:ascii="Calibri" w:hAnsi="Calibri" w:cs="Calibri"/>
        </w:rPr>
        <w:t xml:space="preserve">, </w:t>
      </w:r>
      <w:r w:rsidRPr="00BD1B89">
        <w:rPr>
          <w:rFonts w:ascii="Calibri" w:hAnsi="Calibri" w:cs="Calibri"/>
          <w:i/>
          <w:iCs/>
        </w:rPr>
        <w:t>4</w:t>
      </w:r>
      <w:r w:rsidRPr="00BD1B89">
        <w:rPr>
          <w:rFonts w:ascii="Calibri" w:hAnsi="Calibri" w:cs="Calibri"/>
        </w:rPr>
        <w:t>(3), 117–122. https://doi.org/10.51401/jinteks.v4i3.1676</w:t>
      </w:r>
    </w:p>
    <w:p w14:paraId="1DAB49E0" w14:textId="77777777" w:rsidR="00BD1B89" w:rsidRPr="00BD1B89" w:rsidRDefault="00BD1B89" w:rsidP="00BD1B89">
      <w:pPr>
        <w:pStyle w:val="Bibliography"/>
        <w:rPr>
          <w:rFonts w:ascii="Calibri" w:hAnsi="Calibri" w:cs="Calibri"/>
        </w:rPr>
      </w:pPr>
      <w:r w:rsidRPr="00BD1B89">
        <w:rPr>
          <w:rFonts w:ascii="Calibri" w:hAnsi="Calibri" w:cs="Calibri"/>
        </w:rPr>
        <w:t xml:space="preserve">Rully </w:t>
      </w:r>
      <w:proofErr w:type="spellStart"/>
      <w:r w:rsidRPr="00BD1B89">
        <w:rPr>
          <w:rFonts w:ascii="Calibri" w:hAnsi="Calibri" w:cs="Calibri"/>
        </w:rPr>
        <w:t>Pramudita</w:t>
      </w:r>
      <w:proofErr w:type="spellEnd"/>
      <w:r w:rsidRPr="00BD1B89">
        <w:rPr>
          <w:rFonts w:ascii="Calibri" w:hAnsi="Calibri" w:cs="Calibri"/>
        </w:rPr>
        <w:t xml:space="preserve">, Rita Wahyuni Arifin, Ari Nurul Alfian, Nadya Safitri, &amp; Shilka Dina Anwariya. (2021). PENGGUNAAN APLIKASI FIGMA DALAM MEMBANGUN UI/UX YANG INTERAKTIF PADA PROGRAM STUDI TEKNIK INFORMATIKA STMIK TASIKMALAYA. </w:t>
      </w:r>
      <w:r w:rsidRPr="00BD1B89">
        <w:rPr>
          <w:rFonts w:ascii="Calibri" w:hAnsi="Calibri" w:cs="Calibri"/>
          <w:i/>
          <w:iCs/>
        </w:rPr>
        <w:t>JURNAL BUANA PENGABDIAN</w:t>
      </w:r>
      <w:r w:rsidRPr="00BD1B89">
        <w:rPr>
          <w:rFonts w:ascii="Calibri" w:hAnsi="Calibri" w:cs="Calibri"/>
        </w:rPr>
        <w:t xml:space="preserve">, </w:t>
      </w:r>
      <w:r w:rsidRPr="00BD1B89">
        <w:rPr>
          <w:rFonts w:ascii="Calibri" w:hAnsi="Calibri" w:cs="Calibri"/>
          <w:i/>
          <w:iCs/>
        </w:rPr>
        <w:t>3</w:t>
      </w:r>
      <w:r w:rsidRPr="00BD1B89">
        <w:rPr>
          <w:rFonts w:ascii="Calibri" w:hAnsi="Calibri" w:cs="Calibri"/>
        </w:rPr>
        <w:t>(1), 149–154. https://doi.org/10.36805/jurnalbuanapengabdian.v3i1.1542</w:t>
      </w:r>
    </w:p>
    <w:p w14:paraId="4F3DDBE8" w14:textId="77777777" w:rsidR="00BD1B89" w:rsidRPr="00BD1B89" w:rsidRDefault="00BD1B89" w:rsidP="00BD1B89">
      <w:pPr>
        <w:pStyle w:val="Bibliography"/>
        <w:rPr>
          <w:rFonts w:ascii="Calibri" w:hAnsi="Calibri" w:cs="Calibri"/>
        </w:rPr>
      </w:pPr>
      <w:r w:rsidRPr="00BD1B89">
        <w:rPr>
          <w:rFonts w:ascii="Calibri" w:hAnsi="Calibri" w:cs="Calibri"/>
        </w:rPr>
        <w:t xml:space="preserve">Saura, J. R. (2021). Using Data Sciences in Digital Marketing: Framework, methods, and performance metrics. </w:t>
      </w:r>
      <w:r w:rsidRPr="00BD1B89">
        <w:rPr>
          <w:rFonts w:ascii="Calibri" w:hAnsi="Calibri" w:cs="Calibri"/>
          <w:i/>
          <w:iCs/>
        </w:rPr>
        <w:t>Journal of Innovation &amp; Knowledge</w:t>
      </w:r>
      <w:r w:rsidRPr="00BD1B89">
        <w:rPr>
          <w:rFonts w:ascii="Calibri" w:hAnsi="Calibri" w:cs="Calibri"/>
        </w:rPr>
        <w:t xml:space="preserve">, </w:t>
      </w:r>
      <w:r w:rsidRPr="00BD1B89">
        <w:rPr>
          <w:rFonts w:ascii="Calibri" w:hAnsi="Calibri" w:cs="Calibri"/>
          <w:i/>
          <w:iCs/>
        </w:rPr>
        <w:t>6</w:t>
      </w:r>
      <w:r w:rsidRPr="00BD1B89">
        <w:rPr>
          <w:rFonts w:ascii="Calibri" w:hAnsi="Calibri" w:cs="Calibri"/>
        </w:rPr>
        <w:t>(2), 92–102. https://doi.org/10.1016/j.jik.2020.08.001</w:t>
      </w:r>
    </w:p>
    <w:p w14:paraId="132A42B4" w14:textId="77777777" w:rsidR="00BD1B89" w:rsidRPr="00BD1B89" w:rsidRDefault="00BD1B89" w:rsidP="00BD1B89">
      <w:pPr>
        <w:pStyle w:val="Bibliography"/>
        <w:rPr>
          <w:rFonts w:ascii="Calibri" w:hAnsi="Calibri" w:cs="Calibri"/>
        </w:rPr>
      </w:pPr>
      <w:r w:rsidRPr="00BD1B89">
        <w:rPr>
          <w:rFonts w:ascii="Calibri" w:hAnsi="Calibri" w:cs="Calibri"/>
        </w:rPr>
        <w:t xml:space="preserve">Sayed, A., &amp; Patel, M. O. S. (2023). The Influence of JavaScript, on Website Development and User Experience. </w:t>
      </w:r>
      <w:r w:rsidRPr="00BD1B89">
        <w:rPr>
          <w:rFonts w:ascii="Calibri" w:hAnsi="Calibri" w:cs="Calibri"/>
          <w:i/>
          <w:iCs/>
        </w:rPr>
        <w:t>International Journal for Research in Applied Science and Engineering Technology</w:t>
      </w:r>
      <w:r w:rsidRPr="00BD1B89">
        <w:rPr>
          <w:rFonts w:ascii="Calibri" w:hAnsi="Calibri" w:cs="Calibri"/>
        </w:rPr>
        <w:t xml:space="preserve">, </w:t>
      </w:r>
      <w:r w:rsidRPr="00BD1B89">
        <w:rPr>
          <w:rFonts w:ascii="Calibri" w:hAnsi="Calibri" w:cs="Calibri"/>
          <w:i/>
          <w:iCs/>
        </w:rPr>
        <w:t>11</w:t>
      </w:r>
      <w:r w:rsidRPr="00BD1B89">
        <w:rPr>
          <w:rFonts w:ascii="Calibri" w:hAnsi="Calibri" w:cs="Calibri"/>
        </w:rPr>
        <w:t>(11), 87–88. https://doi.org/10.22214/ijraset.2023.56284</w:t>
      </w:r>
    </w:p>
    <w:p w14:paraId="574DAAB0" w14:textId="77777777" w:rsidR="00BD1B89" w:rsidRPr="00BD1B89" w:rsidRDefault="00BD1B89" w:rsidP="00BD1B89">
      <w:pPr>
        <w:pStyle w:val="Bibliography"/>
        <w:rPr>
          <w:rFonts w:ascii="Calibri" w:hAnsi="Calibri" w:cs="Calibri"/>
        </w:rPr>
      </w:pPr>
      <w:r w:rsidRPr="00BD1B89">
        <w:rPr>
          <w:rFonts w:ascii="Calibri" w:hAnsi="Calibri" w:cs="Calibri"/>
        </w:rPr>
        <w:t xml:space="preserve">Seyfried, M., &amp; Pohlenz, P. (2018). Assessing quality assurance in higher education: Quality managers’ perceptions of effectiveness. </w:t>
      </w:r>
      <w:r w:rsidRPr="00BD1B89">
        <w:rPr>
          <w:rFonts w:ascii="Calibri" w:hAnsi="Calibri" w:cs="Calibri"/>
          <w:i/>
          <w:iCs/>
        </w:rPr>
        <w:t>European Journal of Higher Education</w:t>
      </w:r>
      <w:r w:rsidRPr="00BD1B89">
        <w:rPr>
          <w:rFonts w:ascii="Calibri" w:hAnsi="Calibri" w:cs="Calibri"/>
        </w:rPr>
        <w:t xml:space="preserve">, </w:t>
      </w:r>
      <w:r w:rsidRPr="00BD1B89">
        <w:rPr>
          <w:rFonts w:ascii="Calibri" w:hAnsi="Calibri" w:cs="Calibri"/>
          <w:i/>
          <w:iCs/>
        </w:rPr>
        <w:t>8</w:t>
      </w:r>
      <w:r w:rsidRPr="00BD1B89">
        <w:rPr>
          <w:rFonts w:ascii="Calibri" w:hAnsi="Calibri" w:cs="Calibri"/>
        </w:rPr>
        <w:t>(3), 258–271. https://doi.org/10.1080/21568235.2018.1474777</w:t>
      </w:r>
    </w:p>
    <w:p w14:paraId="5999FDB9" w14:textId="77777777" w:rsidR="00BD1B89" w:rsidRPr="00BD1B89" w:rsidRDefault="00BD1B89" w:rsidP="00BD1B89">
      <w:pPr>
        <w:pStyle w:val="Bibliography"/>
        <w:rPr>
          <w:rFonts w:ascii="Calibri" w:hAnsi="Calibri" w:cs="Calibri"/>
        </w:rPr>
      </w:pPr>
      <w:r w:rsidRPr="00BD1B89">
        <w:rPr>
          <w:rFonts w:ascii="Calibri" w:hAnsi="Calibri" w:cs="Calibri"/>
        </w:rPr>
        <w:t xml:space="preserve">Taufiq, R., Kasoni, D., </w:t>
      </w:r>
      <w:proofErr w:type="spellStart"/>
      <w:r w:rsidRPr="00BD1B89">
        <w:rPr>
          <w:rFonts w:ascii="Calibri" w:hAnsi="Calibri" w:cs="Calibri"/>
        </w:rPr>
        <w:t>Siswoko</w:t>
      </w:r>
      <w:proofErr w:type="spellEnd"/>
      <w:r w:rsidRPr="00BD1B89">
        <w:rPr>
          <w:rFonts w:ascii="Calibri" w:hAnsi="Calibri" w:cs="Calibri"/>
        </w:rPr>
        <w:t xml:space="preserve">, C., &amp; </w:t>
      </w:r>
      <w:proofErr w:type="spellStart"/>
      <w:r w:rsidRPr="00BD1B89">
        <w:rPr>
          <w:rFonts w:ascii="Calibri" w:hAnsi="Calibri" w:cs="Calibri"/>
        </w:rPr>
        <w:t>Liesnaningsih</w:t>
      </w:r>
      <w:proofErr w:type="spellEnd"/>
      <w:r w:rsidRPr="00BD1B89">
        <w:rPr>
          <w:rFonts w:ascii="Calibri" w:hAnsi="Calibri" w:cs="Calibri"/>
        </w:rPr>
        <w:t xml:space="preserve">, L. (2020). </w:t>
      </w:r>
      <w:proofErr w:type="spellStart"/>
      <w:r w:rsidRPr="00BD1B89">
        <w:rPr>
          <w:rFonts w:ascii="Calibri" w:hAnsi="Calibri" w:cs="Calibri"/>
        </w:rPr>
        <w:t>Rancang</w:t>
      </w:r>
      <w:proofErr w:type="spellEnd"/>
      <w:r w:rsidRPr="00BD1B89">
        <w:rPr>
          <w:rFonts w:ascii="Calibri" w:hAnsi="Calibri" w:cs="Calibri"/>
        </w:rPr>
        <w:t xml:space="preserve"> </w:t>
      </w:r>
      <w:proofErr w:type="spellStart"/>
      <w:r w:rsidRPr="00BD1B89">
        <w:rPr>
          <w:rFonts w:ascii="Calibri" w:hAnsi="Calibri" w:cs="Calibri"/>
        </w:rPr>
        <w:t>Bangun</w:t>
      </w:r>
      <w:proofErr w:type="spellEnd"/>
      <w:r w:rsidRPr="00BD1B89">
        <w:rPr>
          <w:rFonts w:ascii="Calibri" w:hAnsi="Calibri" w:cs="Calibri"/>
        </w:rPr>
        <w:t xml:space="preserve"> </w:t>
      </w:r>
      <w:proofErr w:type="spellStart"/>
      <w:r w:rsidRPr="00BD1B89">
        <w:rPr>
          <w:rFonts w:ascii="Calibri" w:hAnsi="Calibri" w:cs="Calibri"/>
        </w:rPr>
        <w:t>Aplikasi</w:t>
      </w:r>
      <w:proofErr w:type="spellEnd"/>
      <w:r w:rsidRPr="00BD1B89">
        <w:rPr>
          <w:rFonts w:ascii="Calibri" w:hAnsi="Calibri" w:cs="Calibri"/>
        </w:rPr>
        <w:t xml:space="preserve"> </w:t>
      </w:r>
      <w:proofErr w:type="spellStart"/>
      <w:r w:rsidRPr="00BD1B89">
        <w:rPr>
          <w:rFonts w:ascii="Calibri" w:hAnsi="Calibri" w:cs="Calibri"/>
        </w:rPr>
        <w:t>Penggajian</w:t>
      </w:r>
      <w:proofErr w:type="spellEnd"/>
      <w:r w:rsidRPr="00BD1B89">
        <w:rPr>
          <w:rFonts w:ascii="Calibri" w:hAnsi="Calibri" w:cs="Calibri"/>
        </w:rPr>
        <w:t xml:space="preserve"> </w:t>
      </w:r>
      <w:proofErr w:type="spellStart"/>
      <w:r w:rsidRPr="00BD1B89">
        <w:rPr>
          <w:rFonts w:ascii="Calibri" w:hAnsi="Calibri" w:cs="Calibri"/>
        </w:rPr>
        <w:t>Menggunakan</w:t>
      </w:r>
      <w:proofErr w:type="spellEnd"/>
      <w:r w:rsidRPr="00BD1B89">
        <w:rPr>
          <w:rFonts w:ascii="Calibri" w:hAnsi="Calibri" w:cs="Calibri"/>
        </w:rPr>
        <w:t xml:space="preserve"> Hybrid Mobile Programming di CV Agung Glass. </w:t>
      </w:r>
      <w:proofErr w:type="spellStart"/>
      <w:r w:rsidRPr="00BD1B89">
        <w:rPr>
          <w:rFonts w:ascii="Calibri" w:hAnsi="Calibri" w:cs="Calibri"/>
          <w:i/>
          <w:iCs/>
        </w:rPr>
        <w:t>Jurnal</w:t>
      </w:r>
      <w:proofErr w:type="spellEnd"/>
      <w:r w:rsidRPr="00BD1B89">
        <w:rPr>
          <w:rFonts w:ascii="Calibri" w:hAnsi="Calibri" w:cs="Calibri"/>
          <w:i/>
          <w:iCs/>
        </w:rPr>
        <w:t xml:space="preserve"> </w:t>
      </w:r>
      <w:proofErr w:type="spellStart"/>
      <w:r w:rsidRPr="00BD1B89">
        <w:rPr>
          <w:rFonts w:ascii="Calibri" w:hAnsi="Calibri" w:cs="Calibri"/>
          <w:i/>
          <w:iCs/>
        </w:rPr>
        <w:t>Informatika</w:t>
      </w:r>
      <w:proofErr w:type="spellEnd"/>
      <w:r w:rsidRPr="00BD1B89">
        <w:rPr>
          <w:rFonts w:ascii="Calibri" w:hAnsi="Calibri" w:cs="Calibri"/>
          <w:i/>
          <w:iCs/>
        </w:rPr>
        <w:t xml:space="preserve"> Universitas </w:t>
      </w:r>
      <w:proofErr w:type="spellStart"/>
      <w:r w:rsidRPr="00BD1B89">
        <w:rPr>
          <w:rFonts w:ascii="Calibri" w:hAnsi="Calibri" w:cs="Calibri"/>
          <w:i/>
          <w:iCs/>
        </w:rPr>
        <w:t>Pamulang</w:t>
      </w:r>
      <w:proofErr w:type="spellEnd"/>
      <w:r w:rsidRPr="00BD1B89">
        <w:rPr>
          <w:rFonts w:ascii="Calibri" w:hAnsi="Calibri" w:cs="Calibri"/>
        </w:rPr>
        <w:t xml:space="preserve">, </w:t>
      </w:r>
      <w:r w:rsidRPr="00BD1B89">
        <w:rPr>
          <w:rFonts w:ascii="Calibri" w:hAnsi="Calibri" w:cs="Calibri"/>
          <w:i/>
          <w:iCs/>
        </w:rPr>
        <w:t>5</w:t>
      </w:r>
      <w:r w:rsidRPr="00BD1B89">
        <w:rPr>
          <w:rFonts w:ascii="Calibri" w:hAnsi="Calibri" w:cs="Calibri"/>
        </w:rPr>
        <w:t>(3), 334. https://doi.org/10.32493/informatika.v5i3.6778</w:t>
      </w:r>
    </w:p>
    <w:p w14:paraId="03A78F9B" w14:textId="77777777" w:rsidR="00BD1B89" w:rsidRPr="00BD1B89" w:rsidRDefault="00BD1B89" w:rsidP="00BD1B89">
      <w:pPr>
        <w:pStyle w:val="Bibliography"/>
        <w:rPr>
          <w:rFonts w:ascii="Calibri" w:hAnsi="Calibri" w:cs="Calibri"/>
        </w:rPr>
      </w:pPr>
      <w:r w:rsidRPr="00BD1B89">
        <w:rPr>
          <w:rFonts w:ascii="Calibri" w:hAnsi="Calibri" w:cs="Calibri"/>
        </w:rPr>
        <w:t xml:space="preserve">Vettori, O. (2023). No time for improvement? The </w:t>
      </w:r>
      <w:proofErr w:type="spellStart"/>
      <w:r w:rsidRPr="00BD1B89">
        <w:rPr>
          <w:rFonts w:ascii="Calibri" w:hAnsi="Calibri" w:cs="Calibri"/>
        </w:rPr>
        <w:t>chronopolitics</w:t>
      </w:r>
      <w:proofErr w:type="spellEnd"/>
      <w:r w:rsidRPr="00BD1B89">
        <w:rPr>
          <w:rFonts w:ascii="Calibri" w:hAnsi="Calibri" w:cs="Calibri"/>
        </w:rPr>
        <w:t xml:space="preserve"> of quality assurance. </w:t>
      </w:r>
      <w:r w:rsidRPr="00BD1B89">
        <w:rPr>
          <w:rFonts w:ascii="Calibri" w:hAnsi="Calibri" w:cs="Calibri"/>
          <w:i/>
          <w:iCs/>
        </w:rPr>
        <w:t>Quality in Higher Education</w:t>
      </w:r>
      <w:r w:rsidRPr="00BD1B89">
        <w:rPr>
          <w:rFonts w:ascii="Calibri" w:hAnsi="Calibri" w:cs="Calibri"/>
        </w:rPr>
        <w:t xml:space="preserve">, </w:t>
      </w:r>
      <w:r w:rsidRPr="00BD1B89">
        <w:rPr>
          <w:rFonts w:ascii="Calibri" w:hAnsi="Calibri" w:cs="Calibri"/>
          <w:i/>
          <w:iCs/>
        </w:rPr>
        <w:t>29</w:t>
      </w:r>
      <w:r w:rsidRPr="00BD1B89">
        <w:rPr>
          <w:rFonts w:ascii="Calibri" w:hAnsi="Calibri" w:cs="Calibri"/>
        </w:rPr>
        <w:t>(3), 407–420. https://doi.org/10.1080/13538322.2023.2189454</w:t>
      </w:r>
    </w:p>
    <w:p w14:paraId="4E3CE847" w14:textId="77777777" w:rsidR="00BD1B89" w:rsidRPr="00BD1B89" w:rsidRDefault="00BD1B89" w:rsidP="00BD1B89">
      <w:pPr>
        <w:pStyle w:val="Bibliography"/>
        <w:rPr>
          <w:rFonts w:ascii="Calibri" w:hAnsi="Calibri" w:cs="Calibri"/>
        </w:rPr>
      </w:pPr>
      <w:r w:rsidRPr="00BD1B89">
        <w:rPr>
          <w:rFonts w:ascii="Calibri" w:hAnsi="Calibri" w:cs="Calibri"/>
        </w:rPr>
        <w:lastRenderedPageBreak/>
        <w:t xml:space="preserve">Vlasenko, K. V., Lovianova, I. V., Volkov, S. V., </w:t>
      </w:r>
      <w:proofErr w:type="spellStart"/>
      <w:r w:rsidRPr="00BD1B89">
        <w:rPr>
          <w:rFonts w:ascii="Calibri" w:hAnsi="Calibri" w:cs="Calibri"/>
        </w:rPr>
        <w:t>Sitak</w:t>
      </w:r>
      <w:proofErr w:type="spellEnd"/>
      <w:r w:rsidRPr="00BD1B89">
        <w:rPr>
          <w:rFonts w:ascii="Calibri" w:hAnsi="Calibri" w:cs="Calibri"/>
        </w:rPr>
        <w:t xml:space="preserve">, I. V., Chumak, O. O., </w:t>
      </w:r>
      <w:proofErr w:type="spellStart"/>
      <w:r w:rsidRPr="00BD1B89">
        <w:rPr>
          <w:rFonts w:ascii="Calibri" w:hAnsi="Calibri" w:cs="Calibri"/>
        </w:rPr>
        <w:t>Krasnoshchok</w:t>
      </w:r>
      <w:proofErr w:type="spellEnd"/>
      <w:r w:rsidRPr="00BD1B89">
        <w:rPr>
          <w:rFonts w:ascii="Calibri" w:hAnsi="Calibri" w:cs="Calibri"/>
        </w:rPr>
        <w:t xml:space="preserve">, A. V., Bohdanova, N. G., &amp; Semerikov, S. O. (2022). UI/UX design of educational on-line courses. </w:t>
      </w:r>
      <w:r w:rsidRPr="00BD1B89">
        <w:rPr>
          <w:rFonts w:ascii="Calibri" w:hAnsi="Calibri" w:cs="Calibri"/>
          <w:i/>
          <w:iCs/>
        </w:rPr>
        <w:t>CTE Workshop Proceedings</w:t>
      </w:r>
      <w:r w:rsidRPr="00BD1B89">
        <w:rPr>
          <w:rFonts w:ascii="Calibri" w:hAnsi="Calibri" w:cs="Calibri"/>
        </w:rPr>
        <w:t xml:space="preserve">, </w:t>
      </w:r>
      <w:r w:rsidRPr="00BD1B89">
        <w:rPr>
          <w:rFonts w:ascii="Calibri" w:hAnsi="Calibri" w:cs="Calibri"/>
          <w:i/>
          <w:iCs/>
        </w:rPr>
        <w:t>9</w:t>
      </w:r>
      <w:r w:rsidRPr="00BD1B89">
        <w:rPr>
          <w:rFonts w:ascii="Calibri" w:hAnsi="Calibri" w:cs="Calibri"/>
        </w:rPr>
        <w:t>, 184–199. https://doi.org/10.55056/cte.114</w:t>
      </w:r>
    </w:p>
    <w:p w14:paraId="11A7C3C3" w14:textId="77777777" w:rsidR="00BD1B89" w:rsidRPr="00BD1B89" w:rsidRDefault="00BD1B89" w:rsidP="00BD1B89">
      <w:pPr>
        <w:pStyle w:val="Bibliography"/>
        <w:rPr>
          <w:rFonts w:ascii="Calibri" w:hAnsi="Calibri" w:cs="Calibri"/>
        </w:rPr>
      </w:pPr>
      <w:r w:rsidRPr="00BD1B89">
        <w:rPr>
          <w:rFonts w:ascii="Calibri" w:hAnsi="Calibri" w:cs="Calibri"/>
        </w:rPr>
        <w:t xml:space="preserve">Xu, Z., Tang, N., Xu, C., &amp; Cheng, X. (2021). Data science: Connotation, methods, technologies, and development. </w:t>
      </w:r>
      <w:r w:rsidRPr="00BD1B89">
        <w:rPr>
          <w:rFonts w:ascii="Calibri" w:hAnsi="Calibri" w:cs="Calibri"/>
          <w:i/>
          <w:iCs/>
        </w:rPr>
        <w:t>Data Science and Management</w:t>
      </w:r>
      <w:r w:rsidRPr="00BD1B89">
        <w:rPr>
          <w:rFonts w:ascii="Calibri" w:hAnsi="Calibri" w:cs="Calibri"/>
        </w:rPr>
        <w:t xml:space="preserve">, </w:t>
      </w:r>
      <w:r w:rsidRPr="00BD1B89">
        <w:rPr>
          <w:rFonts w:ascii="Calibri" w:hAnsi="Calibri" w:cs="Calibri"/>
          <w:i/>
          <w:iCs/>
        </w:rPr>
        <w:t>1</w:t>
      </w:r>
      <w:r w:rsidRPr="00BD1B89">
        <w:rPr>
          <w:rFonts w:ascii="Calibri" w:hAnsi="Calibri" w:cs="Calibri"/>
        </w:rPr>
        <w:t>(1), 32–37. https://doi.org/10.1016/j.dsm.2021.02.002</w:t>
      </w:r>
    </w:p>
    <w:p w14:paraId="52056B67" w14:textId="6AECD2B1" w:rsidR="00BD1B89" w:rsidRDefault="00BD1B89">
      <w:r>
        <w:fldChar w:fldCharType="end"/>
      </w:r>
    </w:p>
    <w:sectPr w:rsidR="00BD1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6E7"/>
    <w:rsid w:val="007C76E7"/>
    <w:rsid w:val="00BD1B89"/>
    <w:rsid w:val="00C4381D"/>
    <w:rsid w:val="00FD5F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BD2E"/>
  <w15:chartTrackingRefBased/>
  <w15:docId w15:val="{B1911008-7F47-4263-BF8B-A41BF1925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6E7"/>
    <w:rPr>
      <w:rFonts w:eastAsiaTheme="majorEastAsia" w:cstheme="majorBidi"/>
      <w:color w:val="272727" w:themeColor="text1" w:themeTint="D8"/>
    </w:rPr>
  </w:style>
  <w:style w:type="paragraph" w:styleId="Title">
    <w:name w:val="Title"/>
    <w:basedOn w:val="Normal"/>
    <w:next w:val="Normal"/>
    <w:link w:val="TitleChar"/>
    <w:uiPriority w:val="10"/>
    <w:qFormat/>
    <w:rsid w:val="007C7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6E7"/>
    <w:pPr>
      <w:spacing w:before="160"/>
      <w:jc w:val="center"/>
    </w:pPr>
    <w:rPr>
      <w:i/>
      <w:iCs/>
      <w:color w:val="404040" w:themeColor="text1" w:themeTint="BF"/>
    </w:rPr>
  </w:style>
  <w:style w:type="character" w:customStyle="1" w:styleId="QuoteChar">
    <w:name w:val="Quote Char"/>
    <w:basedOn w:val="DefaultParagraphFont"/>
    <w:link w:val="Quote"/>
    <w:uiPriority w:val="29"/>
    <w:rsid w:val="007C76E7"/>
    <w:rPr>
      <w:i/>
      <w:iCs/>
      <w:color w:val="404040" w:themeColor="text1" w:themeTint="BF"/>
    </w:rPr>
  </w:style>
  <w:style w:type="paragraph" w:styleId="ListParagraph">
    <w:name w:val="List Paragraph"/>
    <w:basedOn w:val="Normal"/>
    <w:uiPriority w:val="34"/>
    <w:qFormat/>
    <w:rsid w:val="007C76E7"/>
    <w:pPr>
      <w:ind w:left="720"/>
      <w:contextualSpacing/>
    </w:pPr>
  </w:style>
  <w:style w:type="character" w:styleId="IntenseEmphasis">
    <w:name w:val="Intense Emphasis"/>
    <w:basedOn w:val="DefaultParagraphFont"/>
    <w:uiPriority w:val="21"/>
    <w:qFormat/>
    <w:rsid w:val="007C76E7"/>
    <w:rPr>
      <w:i/>
      <w:iCs/>
      <w:color w:val="2F5496" w:themeColor="accent1" w:themeShade="BF"/>
    </w:rPr>
  </w:style>
  <w:style w:type="paragraph" w:styleId="IntenseQuote">
    <w:name w:val="Intense Quote"/>
    <w:basedOn w:val="Normal"/>
    <w:next w:val="Normal"/>
    <w:link w:val="IntenseQuoteChar"/>
    <w:uiPriority w:val="30"/>
    <w:qFormat/>
    <w:rsid w:val="007C7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6E7"/>
    <w:rPr>
      <w:i/>
      <w:iCs/>
      <w:color w:val="2F5496" w:themeColor="accent1" w:themeShade="BF"/>
    </w:rPr>
  </w:style>
  <w:style w:type="character" w:styleId="IntenseReference">
    <w:name w:val="Intense Reference"/>
    <w:basedOn w:val="DefaultParagraphFont"/>
    <w:uiPriority w:val="32"/>
    <w:qFormat/>
    <w:rsid w:val="007C76E7"/>
    <w:rPr>
      <w:b/>
      <w:bCs/>
      <w:smallCaps/>
      <w:color w:val="2F5496" w:themeColor="accent1" w:themeShade="BF"/>
      <w:spacing w:val="5"/>
    </w:rPr>
  </w:style>
  <w:style w:type="paragraph" w:styleId="Bibliography">
    <w:name w:val="Bibliography"/>
    <w:basedOn w:val="Normal"/>
    <w:next w:val="Normal"/>
    <w:uiPriority w:val="37"/>
    <w:unhideWhenUsed/>
    <w:rsid w:val="00BD1B89"/>
  </w:style>
  <w:style w:type="character" w:styleId="Hyperlink">
    <w:name w:val="Hyperlink"/>
    <w:basedOn w:val="DefaultParagraphFont"/>
    <w:uiPriority w:val="99"/>
    <w:unhideWhenUsed/>
    <w:rsid w:val="00BD1B89"/>
    <w:rPr>
      <w:color w:val="0563C1" w:themeColor="hyperlink"/>
      <w:u w:val="single"/>
    </w:rPr>
  </w:style>
  <w:style w:type="character" w:styleId="UnresolvedMention">
    <w:name w:val="Unresolved Mention"/>
    <w:basedOn w:val="DefaultParagraphFont"/>
    <w:uiPriority w:val="99"/>
    <w:semiHidden/>
    <w:unhideWhenUsed/>
    <w:rsid w:val="00BD1B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9210</Words>
  <Characters>52502</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Gabut ria</dc:creator>
  <cp:keywords/>
  <dc:description/>
  <cp:lastModifiedBy>Gabut ria</cp:lastModifiedBy>
  <cp:revision>1</cp:revision>
  <dcterms:created xsi:type="dcterms:W3CDTF">2025-11-03T13:47:00Z</dcterms:created>
  <dcterms:modified xsi:type="dcterms:W3CDTF">2025-11-04T11:01:00Z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id="MYL6LfRi"/&gt;&lt;style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