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8F39" w14:textId="757C7438" w:rsidR="004133BF" w:rsidRDefault="00207595" w:rsidP="00207595">
      <w:pPr>
        <w:jc w:val="center"/>
      </w:pPr>
      <w:r>
        <w:rPr>
          <w:noProof/>
        </w:rPr>
        <w:drawing>
          <wp:inline distT="0" distB="0" distL="0" distR="0" wp14:anchorId="55617308" wp14:editId="311E0629">
            <wp:extent cx="4865914" cy="265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86" cy="265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67A8" w14:textId="480BA092" w:rsidR="00207595" w:rsidRDefault="00207595" w:rsidP="00207595"/>
    <w:p w14:paraId="011BD9FC" w14:textId="62F80977" w:rsidR="00207595" w:rsidRDefault="00207595" w:rsidP="00207595">
      <w:pPr>
        <w:jc w:val="center"/>
      </w:pPr>
      <w:r>
        <w:t xml:space="preserve">Benchmark taken from:  Steven Low – </w:t>
      </w:r>
      <w:r w:rsidRPr="00207595">
        <w:t xml:space="preserve">Optimal Power Flow </w:t>
      </w:r>
      <w:r>
        <w:br/>
      </w:r>
      <w:r w:rsidRPr="00207595">
        <w:t>in Stand-Alone DC Microgrids</w:t>
      </w:r>
      <w:r>
        <w:t xml:space="preserve"> (Stand-alone meshed configuration)</w:t>
      </w:r>
    </w:p>
    <w:p w14:paraId="03BD7B65" w14:textId="0EDA1521" w:rsidR="00207595" w:rsidRDefault="00207595" w:rsidP="00207595"/>
    <w:p w14:paraId="294C8B52" w14:textId="78899C2E" w:rsidR="007656FF" w:rsidRPr="007656FF" w:rsidRDefault="007656FF" w:rsidP="00207595">
      <w:r>
        <w:t xml:space="preserve">Run </w:t>
      </w:r>
      <w:proofErr w:type="spellStart"/>
      <w:r w:rsidRPr="007656FF">
        <w:rPr>
          <w:i/>
          <w:iCs/>
        </w:rPr>
        <w:t>plotmain.m</w:t>
      </w:r>
      <w:proofErr w:type="spellEnd"/>
      <w:r>
        <w:rPr>
          <w:i/>
          <w:iCs/>
        </w:rPr>
        <w:t xml:space="preserve"> </w:t>
      </w:r>
      <w:r>
        <w:t>to see all the graphs.</w:t>
      </w:r>
    </w:p>
    <w:p w14:paraId="301B0230" w14:textId="06748CAC" w:rsidR="00207595" w:rsidRDefault="00207595" w:rsidP="00207595">
      <w:r>
        <w:t>Comments :</w:t>
      </w:r>
    </w:p>
    <w:p w14:paraId="0DF7C3B0" w14:textId="751AF32D" w:rsidR="00207595" w:rsidRDefault="00207595" w:rsidP="00207595"/>
    <w:p w14:paraId="498A7999" w14:textId="3C9A7C72" w:rsidR="002F51AA" w:rsidRDefault="00207595" w:rsidP="00207595">
      <w:pPr>
        <w:pStyle w:val="ListParagraph"/>
        <w:numPr>
          <w:ilvl w:val="0"/>
          <w:numId w:val="1"/>
        </w:numPr>
      </w:pPr>
      <w:r w:rsidRPr="00207595">
        <w:rPr>
          <w:b/>
          <w:bCs/>
        </w:rPr>
        <w:t>There are three types of ZIP loads</w:t>
      </w:r>
      <w:r>
        <w:t xml:space="preserve">:  A, B, C. These have different trends and they are placed in different position in the </w:t>
      </w:r>
      <w:proofErr w:type="spellStart"/>
      <w:r>
        <w:t>mG</w:t>
      </w:r>
      <w:proofErr w:type="spellEnd"/>
      <w:r>
        <w:t xml:space="preserve"> (see benchmark). If you run </w:t>
      </w:r>
      <w:proofErr w:type="spellStart"/>
      <w:r>
        <w:rPr>
          <w:i/>
          <w:iCs/>
        </w:rPr>
        <w:t>plotmain.m</w:t>
      </w:r>
      <w:proofErr w:type="spellEnd"/>
      <w:r>
        <w:t xml:space="preserve"> in the first two figures you find the trends of </w:t>
      </w:r>
      <w:r w:rsidRPr="002F51AA">
        <w:rPr>
          <w:b/>
          <w:bCs/>
        </w:rPr>
        <w:t>nominal current and power</w:t>
      </w:r>
      <w:r>
        <w:t xml:space="preserve">. </w:t>
      </w:r>
      <w:r w:rsidR="002F51AA">
        <w:br/>
      </w:r>
      <w:r>
        <w:t xml:space="preserve">The </w:t>
      </w:r>
      <w:r w:rsidR="00983A12">
        <w:t>impedance</w:t>
      </w:r>
      <w:r>
        <w:t xml:space="preserve"> of the tree</w:t>
      </w:r>
      <w:r w:rsidR="002F51AA">
        <w:t xml:space="preserve"> types of</w:t>
      </w:r>
      <w:r>
        <w:t xml:space="preserve"> load is:</w:t>
      </w:r>
      <w:r w:rsidR="002F51AA">
        <w:t xml:space="preserve">    </w:t>
      </w:r>
      <w:proofErr w:type="spellStart"/>
      <w:r w:rsidR="002F51AA">
        <w:t>Y_L_a</w:t>
      </w:r>
      <w:proofErr w:type="spellEnd"/>
      <w:r w:rsidR="002F51AA">
        <w:t xml:space="preserve"> = 0.7,   </w:t>
      </w:r>
      <w:proofErr w:type="spellStart"/>
      <w:r w:rsidR="002F51AA">
        <w:t>Y_L_b</w:t>
      </w:r>
      <w:proofErr w:type="spellEnd"/>
      <w:r w:rsidR="002F51AA">
        <w:t xml:space="preserve"> = 0.6,   </w:t>
      </w:r>
      <w:proofErr w:type="spellStart"/>
      <w:r w:rsidR="002F51AA">
        <w:t>Y_L_c</w:t>
      </w:r>
      <w:proofErr w:type="spellEnd"/>
      <w:r w:rsidR="002F51AA">
        <w:t xml:space="preserve"> = 0.8 </w:t>
      </w:r>
      <w:r w:rsidR="00737DF2">
        <w:br/>
      </w:r>
    </w:p>
    <w:p w14:paraId="138730ED" w14:textId="77777777" w:rsidR="002F51AA" w:rsidRDefault="002F51AA" w:rsidP="002F51AA">
      <w:pPr>
        <w:pStyle w:val="ListParagraph"/>
      </w:pPr>
    </w:p>
    <w:p w14:paraId="2A28B7BB" w14:textId="668BDE5A" w:rsidR="00737DF2" w:rsidRDefault="002F51AA" w:rsidP="00737DF2">
      <w:pPr>
        <w:pStyle w:val="ListParagraph"/>
        <w:numPr>
          <w:ilvl w:val="0"/>
          <w:numId w:val="1"/>
        </w:numPr>
        <w:jc w:val="both"/>
      </w:pPr>
      <w:r>
        <w:t xml:space="preserve">In the file </w:t>
      </w:r>
      <w:proofErr w:type="spellStart"/>
      <w:r>
        <w:rPr>
          <w:i/>
          <w:iCs/>
        </w:rPr>
        <w:t>Initialization.m</w:t>
      </w:r>
      <w:proofErr w:type="spellEnd"/>
      <w:r>
        <w:rPr>
          <w:i/>
          <w:iCs/>
        </w:rPr>
        <w:t xml:space="preserve">, </w:t>
      </w:r>
      <w:r>
        <w:t xml:space="preserve">you find all the parameters of the simulation and the units characteristics. As you can see from the pictures there are 3 batteries, 2 dispatchable generator e 1 </w:t>
      </w:r>
      <w:proofErr w:type="spellStart"/>
      <w:r>
        <w:t>pv</w:t>
      </w:r>
      <w:proofErr w:type="spellEnd"/>
      <w:r>
        <w:t xml:space="preserve"> system.</w:t>
      </w:r>
    </w:p>
    <w:p w14:paraId="43685C5C" w14:textId="77777777" w:rsidR="002F51AA" w:rsidRDefault="002F51AA" w:rsidP="002F51AA">
      <w:pPr>
        <w:pStyle w:val="ListParagraph"/>
      </w:pPr>
    </w:p>
    <w:p w14:paraId="4CD88634" w14:textId="2E3814EB" w:rsidR="002F51AA" w:rsidRDefault="002F51AA" w:rsidP="002F51AA">
      <w:pPr>
        <w:pStyle w:val="ListParagraph"/>
        <w:numPr>
          <w:ilvl w:val="0"/>
          <w:numId w:val="1"/>
        </w:numPr>
        <w:jc w:val="both"/>
      </w:pPr>
      <w:r>
        <w:t xml:space="preserve">You find two sets of data:  </w:t>
      </w:r>
      <w:proofErr w:type="spellStart"/>
      <w:r w:rsidRPr="002F51AA">
        <w:rPr>
          <w:i/>
          <w:iCs/>
        </w:rPr>
        <w:t>data_HMPC_Load</w:t>
      </w:r>
      <w:r>
        <w:rPr>
          <w:i/>
          <w:iCs/>
        </w:rPr>
        <w:t>M</w:t>
      </w:r>
      <w:r w:rsidRPr="002F51AA">
        <w:rPr>
          <w:i/>
          <w:iCs/>
        </w:rPr>
        <w:t>easure.mat</w:t>
      </w:r>
      <w:proofErr w:type="spellEnd"/>
      <w:r>
        <w:t xml:space="preserve">    and    </w:t>
      </w:r>
      <w:proofErr w:type="spellStart"/>
      <w:r w:rsidRPr="002F51AA">
        <w:rPr>
          <w:i/>
          <w:iCs/>
        </w:rPr>
        <w:t>data_HMPC_</w:t>
      </w:r>
      <w:r>
        <w:rPr>
          <w:i/>
          <w:iCs/>
        </w:rPr>
        <w:t>NoM</w:t>
      </w:r>
      <w:r w:rsidRPr="002F51AA">
        <w:rPr>
          <w:i/>
          <w:iCs/>
        </w:rPr>
        <w:t>easure.mat</w:t>
      </w:r>
      <w:proofErr w:type="spellEnd"/>
      <w:r>
        <w:t>.</w:t>
      </w:r>
      <w:r>
        <w:br/>
        <w:t>In the first it is assumed that the HMPC is able to measure the nominal load</w:t>
      </w:r>
      <w:r w:rsidR="00983A12">
        <w:t xml:space="preserve"> at the current time instant</w:t>
      </w:r>
      <w:r>
        <w:t xml:space="preserve"> (as it is for the OPF)</w:t>
      </w:r>
      <w:r w:rsidR="00983A12">
        <w:t xml:space="preserve"> and it uses forecasts for the future time instants. I</w:t>
      </w:r>
      <w:r>
        <w:t>n the second it is assumed that the HMPC relies on the forecasts</w:t>
      </w:r>
      <w:r w:rsidR="00983A12">
        <w:t xml:space="preserve"> also for the current time instant (i.e. open loop)</w:t>
      </w:r>
      <w:r>
        <w:t>. Plotting the graphs it is noticeable that the voltages show smaller deviation with respect to the nominal value when the load is measurable</w:t>
      </w:r>
      <w:r w:rsidR="00983A12">
        <w:t xml:space="preserve"> at the current time instant</w:t>
      </w:r>
      <w:r>
        <w:t>.</w:t>
      </w:r>
    </w:p>
    <w:p w14:paraId="07495A39" w14:textId="77777777" w:rsidR="002F51AA" w:rsidRDefault="002F51AA" w:rsidP="002F51AA">
      <w:pPr>
        <w:pStyle w:val="ListParagraph"/>
      </w:pPr>
    </w:p>
    <w:p w14:paraId="7C98A6F1" w14:textId="476E98D5" w:rsidR="002F51AA" w:rsidRDefault="002F51AA" w:rsidP="002F51AA">
      <w:pPr>
        <w:pStyle w:val="ListParagraph"/>
        <w:jc w:val="both"/>
      </w:pPr>
      <w:r w:rsidRPr="00F926DB">
        <w:rPr>
          <w:b/>
          <w:bCs/>
        </w:rPr>
        <w:t>I would just plot in the paper the case where the load is measured</w:t>
      </w:r>
      <w:r w:rsidR="00983A12">
        <w:rPr>
          <w:b/>
          <w:bCs/>
        </w:rPr>
        <w:t xml:space="preserve"> at the current time instant and then forecasts are used</w:t>
      </w:r>
      <w:r w:rsidR="00F926DB">
        <w:t xml:space="preserve"> (</w:t>
      </w:r>
      <w:proofErr w:type="spellStart"/>
      <w:r w:rsidR="00F926DB" w:rsidRPr="002F51AA">
        <w:rPr>
          <w:i/>
          <w:iCs/>
        </w:rPr>
        <w:t>data_HMPC_Load</w:t>
      </w:r>
      <w:r w:rsidR="00F926DB">
        <w:rPr>
          <w:i/>
          <w:iCs/>
        </w:rPr>
        <w:t>M</w:t>
      </w:r>
      <w:r w:rsidR="00F926DB" w:rsidRPr="002F51AA">
        <w:rPr>
          <w:i/>
          <w:iCs/>
        </w:rPr>
        <w:t>easure.mat</w:t>
      </w:r>
      <w:proofErr w:type="spellEnd"/>
      <w:r w:rsidR="00F926DB">
        <w:rPr>
          <w:i/>
          <w:iCs/>
        </w:rPr>
        <w:t>).</w:t>
      </w:r>
      <w:r>
        <w:t xml:space="preserve"> </w:t>
      </w:r>
      <w:r w:rsidR="00737DF2">
        <w:t>Indeed,</w:t>
      </w:r>
      <w:r>
        <w:t xml:space="preserve"> the OPF has to measure </w:t>
      </w:r>
      <w:r>
        <w:lastRenderedPageBreak/>
        <w:t>the load to compute the voltage references so also the HMPC can</w:t>
      </w:r>
      <w:r w:rsidR="00F926DB">
        <w:t xml:space="preserve"> (and moreover the plots are nicer </w:t>
      </w:r>
      <w:r w:rsidR="00F926D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F926DB">
        <w:t>)</w:t>
      </w:r>
      <w:r>
        <w:t>.</w:t>
      </w:r>
    </w:p>
    <w:p w14:paraId="3D7B8180" w14:textId="77777777" w:rsidR="002F51AA" w:rsidRDefault="002F51AA" w:rsidP="002F51AA">
      <w:pPr>
        <w:pStyle w:val="ListParagraph"/>
        <w:jc w:val="both"/>
      </w:pPr>
    </w:p>
    <w:p w14:paraId="7F9EB676" w14:textId="0DC4CBBB" w:rsidR="002F51AA" w:rsidRDefault="00737DF2" w:rsidP="00737DF2">
      <w:pPr>
        <w:jc w:val="both"/>
      </w:pPr>
      <w:r w:rsidRPr="00983A12">
        <w:rPr>
          <w:highlight w:val="yellow"/>
        </w:rPr>
        <w:t>Two parts are missing in the summary, in section 2.1</w:t>
      </w:r>
    </w:p>
    <w:p w14:paraId="51C88EE3" w14:textId="77BE2E95" w:rsidR="00737DF2" w:rsidRDefault="00737DF2" w:rsidP="00737DF2">
      <w:pPr>
        <w:pStyle w:val="ListParagraph"/>
        <w:numPr>
          <w:ilvl w:val="0"/>
          <w:numId w:val="2"/>
        </w:numPr>
        <w:jc w:val="both"/>
      </w:pPr>
      <w:r>
        <w:t xml:space="preserve">The HMPC sends to the </w:t>
      </w:r>
      <w:r w:rsidRPr="00F926DB">
        <w:rPr>
          <w:b/>
          <w:bCs/>
        </w:rPr>
        <w:t>OPF</w:t>
      </w:r>
      <w:r>
        <w:t xml:space="preserve"> not only the power references but also the </w:t>
      </w:r>
      <w:r w:rsidRPr="00F926DB">
        <w:rPr>
          <w:b/>
          <w:bCs/>
        </w:rPr>
        <w:t>power constraints for the slack variables</w:t>
      </w:r>
      <w:r>
        <w:t>.</w:t>
      </w:r>
    </w:p>
    <w:p w14:paraId="560E095B" w14:textId="77777777" w:rsidR="00C1680F" w:rsidRDefault="00C1680F" w:rsidP="00C1680F">
      <w:pPr>
        <w:pStyle w:val="ListParagraph"/>
        <w:jc w:val="both"/>
      </w:pPr>
    </w:p>
    <w:p w14:paraId="38353216" w14:textId="29867B7C" w:rsidR="00737DF2" w:rsidRDefault="00737DF2" w:rsidP="00737DF2">
      <w:pPr>
        <w:ind w:left="720"/>
        <w:jc w:val="both"/>
      </w:pPr>
      <w:r>
        <w:t>For the dispatchable generators:</w:t>
      </w:r>
    </w:p>
    <w:p w14:paraId="6A1ABEAD" w14:textId="241ACABA" w:rsidR="00737DF2" w:rsidRDefault="00737DF2" w:rsidP="00737DF2">
      <w:pPr>
        <w:ind w:left="720"/>
        <w:jc w:val="both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=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 xml:space="preserve">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r>
          <w:rPr>
            <w:rFonts w:ascii="Cambria Math" w:hAnsi="Cambria Math"/>
          </w:rPr>
          <m:t xml:space="preserve">(k)   </m:t>
        </m:r>
      </m:oMath>
      <w:r>
        <w:rPr>
          <w:rFonts w:eastAsiaTheme="minorEastAsia"/>
        </w:rP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</m:t>
        </m:r>
      </m:oMath>
    </w:p>
    <w:p w14:paraId="32DFFE90" w14:textId="77777777" w:rsidR="00C1680F" w:rsidRPr="00207595" w:rsidRDefault="00C1680F" w:rsidP="00737DF2">
      <w:pPr>
        <w:ind w:left="720"/>
        <w:jc w:val="both"/>
      </w:pPr>
    </w:p>
    <w:p w14:paraId="273BFF78" w14:textId="777DF635" w:rsidR="00737DF2" w:rsidRDefault="00737DF2" w:rsidP="00737DF2">
      <w:pPr>
        <w:ind w:left="720"/>
        <w:jc w:val="both"/>
      </w:pPr>
      <w:r>
        <w:t>For the batteries:</w:t>
      </w:r>
    </w:p>
    <w:p w14:paraId="57D73AE2" w14:textId="185B6B5D" w:rsidR="00737DF2" w:rsidRDefault="00737DF2" w:rsidP="00737DF2">
      <w:pPr>
        <w:ind w:left="720"/>
        <w:jc w:val="both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 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max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 xml:space="preserve"> -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 </m:t>
        </m:r>
      </m:oMath>
      <w:r>
        <w:rPr>
          <w:rFonts w:eastAsiaTheme="minorEastAsia"/>
        </w:rPr>
        <w:tab/>
      </w:r>
    </w:p>
    <w:p w14:paraId="4F51D5A2" w14:textId="37149FE5" w:rsidR="00737DF2" w:rsidRPr="00207595" w:rsidRDefault="00737DF2" w:rsidP="00737DF2">
      <w:pPr>
        <w:ind w:left="720"/>
        <w:jc w:val="both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  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min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 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  -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max 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τ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hAnsi="Cambria Math"/>
          </w:rPr>
          <m:t xml:space="preserve"> -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 </m:t>
        </m:r>
      </m:oMath>
    </w:p>
    <w:p w14:paraId="365B457E" w14:textId="5635AE9B" w:rsidR="00737DF2" w:rsidRDefault="00737DF2" w:rsidP="00737DF2">
      <w:pPr>
        <w:ind w:left="720"/>
        <w:jc w:val="both"/>
      </w:pPr>
    </w:p>
    <w:p w14:paraId="2F550E6F" w14:textId="4BDDCF5A" w:rsidR="00C1680F" w:rsidRDefault="00C1680F" w:rsidP="00C1680F">
      <w:pPr>
        <w:ind w:left="720"/>
        <w:jc w:val="both"/>
      </w:pPr>
      <w:r>
        <w:t>For the PV system (when it is a voltage-controlled generator):</w:t>
      </w:r>
    </w:p>
    <w:p w14:paraId="7F98E850" w14:textId="13CF4824" w:rsidR="00C1680F" w:rsidRDefault="00C1680F" w:rsidP="00C1680F">
      <w:pPr>
        <w:ind w:left="720"/>
        <w:jc w:val="both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PV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=   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PV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r>
          <w:rPr>
            <w:rFonts w:ascii="Cambria Math" w:hAnsi="Cambria Math"/>
          </w:rPr>
          <m:t xml:space="preserve">(k)   </m:t>
        </m:r>
      </m:oMath>
      <w:r>
        <w:rPr>
          <w:rFonts w:eastAsiaTheme="minorEastAsia"/>
        </w:rP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PV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r>
          <w:rPr>
            <w:rFonts w:ascii="Cambria Math" w:hAnsi="Cambria Math"/>
          </w:rPr>
          <m:t>(k)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PV</m:t>
            </m:r>
          </m:sub>
        </m:sSub>
        <m:r>
          <w:rPr>
            <w:rFonts w:ascii="Cambria Math" w:hAnsi="Cambria Math"/>
          </w:rPr>
          <m:t xml:space="preserve">(k)   </m:t>
        </m:r>
      </m:oMath>
    </w:p>
    <w:p w14:paraId="64785768" w14:textId="75DCAF6A" w:rsidR="00C1680F" w:rsidRDefault="00F926DB" w:rsidP="00737DF2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where  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PV</m:t>
            </m:r>
          </m:sub>
          <m:sup>
            <m:r>
              <w:rPr>
                <w:rFonts w:ascii="Cambria Math" w:hAnsi="Cambria Math"/>
              </w:rPr>
              <m:t>ref</m:t>
            </m:r>
          </m:sup>
        </m:sSubSup>
        <m:r>
          <w:rPr>
            <w:rFonts w:ascii="Cambria Math" w:hAnsi="Cambria Math"/>
          </w:rPr>
          <m:t xml:space="preserve">(k) </m:t>
        </m:r>
      </m:oMath>
      <w:r>
        <w:rPr>
          <w:rFonts w:eastAsiaTheme="minorEastAsia"/>
        </w:rPr>
        <w:t xml:space="preserve"> is the pv power reduction committed by the HMPC.</w:t>
      </w:r>
    </w:p>
    <w:p w14:paraId="2E426EBE" w14:textId="459F44F7" w:rsidR="00F926DB" w:rsidRDefault="00F926DB" w:rsidP="00737DF2">
      <w:pPr>
        <w:ind w:left="720"/>
        <w:jc w:val="both"/>
        <w:rPr>
          <w:rFonts w:eastAsiaTheme="minorEastAsia"/>
        </w:rPr>
      </w:pPr>
    </w:p>
    <w:p w14:paraId="485A9003" w14:textId="0D736336" w:rsidR="00F926DB" w:rsidRDefault="00F926DB" w:rsidP="00F926DB">
      <w:pPr>
        <w:pStyle w:val="ListParagraph"/>
        <w:numPr>
          <w:ilvl w:val="0"/>
          <w:numId w:val="2"/>
        </w:numPr>
        <w:jc w:val="both"/>
      </w:pPr>
      <w:r w:rsidRPr="00F926DB">
        <w:rPr>
          <w:b/>
          <w:bCs/>
        </w:rPr>
        <w:t>The condition on the connectivity of the graph at the HMPC level</w:t>
      </w:r>
      <w:r>
        <w:t xml:space="preserve">.  We </w:t>
      </w:r>
      <w:r w:rsidR="00983A12">
        <w:t>must</w:t>
      </w:r>
      <w:r>
        <w:t xml:space="preserve"> state the condition using the </w:t>
      </w:r>
      <w:r w:rsidRPr="00F926DB">
        <w:t>adjacency matrix</w:t>
      </w:r>
      <w:r>
        <w:t xml:space="preserve"> with the Boolean variables saying that it can be converted in a set of linear inequalities</w:t>
      </w:r>
      <w:r w:rsidR="00983A12">
        <w:t xml:space="preserve"> using </w:t>
      </w:r>
      <w:proofErr w:type="spellStart"/>
      <w:r w:rsidR="00983A12">
        <w:t>Bemporad</w:t>
      </w:r>
      <w:proofErr w:type="spellEnd"/>
      <w:r w:rsidR="00983A12">
        <w:t xml:space="preserve"> </w:t>
      </w:r>
      <w:proofErr w:type="spellStart"/>
      <w:r w:rsidR="00983A12">
        <w:t>Morari</w:t>
      </w:r>
      <w:proofErr w:type="spellEnd"/>
      <w:r w:rsidR="00983A12">
        <w:t xml:space="preserve"> approach</w:t>
      </w:r>
      <w:r>
        <w:t xml:space="preserve">. </w:t>
      </w:r>
    </w:p>
    <w:p w14:paraId="77F0E989" w14:textId="77777777" w:rsidR="00983A12" w:rsidRDefault="00983A12" w:rsidP="00F926DB">
      <w:pPr>
        <w:pStyle w:val="ListParagraph"/>
        <w:jc w:val="both"/>
      </w:pPr>
    </w:p>
    <w:p w14:paraId="5FA4A912" w14:textId="703C11FF" w:rsidR="00F926DB" w:rsidRDefault="00F926DB" w:rsidP="00F926DB">
      <w:pPr>
        <w:pStyle w:val="ListParagraph"/>
        <w:jc w:val="both"/>
      </w:pPr>
      <w:r>
        <w:t>Then we can say</w:t>
      </w:r>
      <w:r w:rsidR="00983A12">
        <w:t xml:space="preserve"> that</w:t>
      </w:r>
      <w:r>
        <w:t xml:space="preserve">, based on the topology of the network, also simpler conditions can be stated. </w:t>
      </w:r>
      <w:bookmarkStart w:id="0" w:name="_GoBack"/>
      <w:bookmarkEnd w:id="0"/>
    </w:p>
    <w:p w14:paraId="7F926845" w14:textId="7EE4846A" w:rsidR="00F926DB" w:rsidRDefault="00F926DB" w:rsidP="00F926DB">
      <w:pPr>
        <w:pStyle w:val="ListParagraph"/>
        <w:jc w:val="both"/>
      </w:pPr>
      <w:r>
        <w:t>For instance, for our benchmark I stated that the both dispatchable generators cannot be switched off at the same time instant.</w:t>
      </w:r>
    </w:p>
    <w:p w14:paraId="1FB8DA16" w14:textId="70F3B647" w:rsidR="00F926DB" w:rsidRDefault="00F926DB" w:rsidP="00F926DB">
      <w:pPr>
        <w:pStyle w:val="ListParagraph"/>
        <w:jc w:val="both"/>
      </w:pPr>
    </w:p>
    <w:p w14:paraId="50A4AEE3" w14:textId="77777777" w:rsidR="00F926DB" w:rsidRPr="00207595" w:rsidRDefault="00F926DB" w:rsidP="00F926DB">
      <w:pPr>
        <w:pStyle w:val="ListParagraph"/>
        <w:jc w:val="both"/>
      </w:pPr>
    </w:p>
    <w:sectPr w:rsidR="00F926DB" w:rsidRPr="0020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2AFB"/>
    <w:multiLevelType w:val="hybridMultilevel"/>
    <w:tmpl w:val="C088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A1825"/>
    <w:multiLevelType w:val="hybridMultilevel"/>
    <w:tmpl w:val="0D94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FB"/>
    <w:rsid w:val="000412FB"/>
    <w:rsid w:val="001044EF"/>
    <w:rsid w:val="00207595"/>
    <w:rsid w:val="002F51AA"/>
    <w:rsid w:val="00737DF2"/>
    <w:rsid w:val="007656FF"/>
    <w:rsid w:val="00983A12"/>
    <w:rsid w:val="00A95A70"/>
    <w:rsid w:val="00C1680F"/>
    <w:rsid w:val="00F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1D85"/>
  <w15:chartTrackingRefBased/>
  <w15:docId w15:val="{8A579DDA-732B-4168-8C40-67B7857E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La Bella</dc:creator>
  <cp:keywords/>
  <dc:description/>
  <cp:lastModifiedBy>Alessio La Bella</cp:lastModifiedBy>
  <cp:revision>7</cp:revision>
  <dcterms:created xsi:type="dcterms:W3CDTF">2019-08-18T09:16:00Z</dcterms:created>
  <dcterms:modified xsi:type="dcterms:W3CDTF">2019-08-19T08:54:00Z</dcterms:modified>
</cp:coreProperties>
</file>