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c10492074e4b5cbda70fe5b468b3e46bfc2454"/>
    <w:p>
      <w:pPr>
        <w:pStyle w:val="Heading1"/>
      </w:pPr>
      <w:r>
        <w:t xml:space="preserve">SEC-POL-REMOTE-001 - Remote and Vendor Access Policy (APPROVED)</w:t>
      </w:r>
    </w:p>
    <w:p>
      <w:pPr>
        <w:pStyle w:val="BlockText"/>
      </w:pPr>
      <w:r>
        <w:t xml:space="preserve">Synthetic training document. Not for operational use.</w:t>
      </w:r>
    </w:p>
    <w:p>
      <w:pPr>
        <w:pStyle w:val="FirstParagraph"/>
      </w:pPr>
      <w:r>
        <w:t xml:space="preserve">Document ID: SEC-POL-REMOTE-001 | Version 1.2 | Status: APPROVED | Effective: 2025-09-01 | Owner: Plant Cyber Security</w:t>
      </w:r>
    </w:p>
    <w:bookmarkStart w:id="20" w:name="rules"/>
    <w:p>
      <w:pPr>
        <w:pStyle w:val="Heading2"/>
      </w:pPr>
      <w:r>
        <w:t xml:space="preserve">1. Rules</w:t>
      </w:r>
    </w:p>
    <w:p>
      <w:pPr>
        <w:numPr>
          <w:ilvl w:val="0"/>
          <w:numId w:val="1001"/>
        </w:numPr>
        <w:pStyle w:val="Compact"/>
      </w:pPr>
      <w:r>
        <w:t xml:space="preserve">Every remote or vendor session to a plant asset or its gateway requires multi-factor authentication.</w:t>
      </w:r>
    </w:p>
    <w:p>
      <w:pPr>
        <w:numPr>
          <w:ilvl w:val="0"/>
          <w:numId w:val="1001"/>
        </w:numPr>
        <w:pStyle w:val="Compact"/>
      </w:pPr>
      <w:r>
        <w:t xml:space="preserve">Shared accounts are prohibited. Each person uses a named account.</w:t>
      </w:r>
    </w:p>
    <w:p>
      <w:pPr>
        <w:numPr>
          <w:ilvl w:val="0"/>
          <w:numId w:val="1001"/>
        </w:numPr>
        <w:pStyle w:val="Compact"/>
      </w:pPr>
      <w:r>
        <w:t xml:space="preserve">Vendor access is time-boxed, approved per task, and the session is recorded.</w:t>
      </w:r>
    </w:p>
    <w:p>
      <w:pPr>
        <w:numPr>
          <w:ilvl w:val="0"/>
          <w:numId w:val="1001"/>
        </w:numPr>
        <w:pStyle w:val="Compact"/>
      </w:pPr>
      <w:r>
        <w:t xml:space="preserve">Privileged accounts are reviewed at least every 90 days. Accounts unused for 90 days are disabled.</w:t>
      </w:r>
    </w:p>
    <w:p>
      <w:pPr>
        <w:numPr>
          <w:ilvl w:val="0"/>
          <w:numId w:val="1001"/>
        </w:numPr>
        <w:pStyle w:val="Compact"/>
      </w:pPr>
      <w:r>
        <w:t xml:space="preserve">Default or vendor-set credentials must be changed before an asset is connected.</w:t>
      </w:r>
    </w:p>
    <w:bookmarkEnd w:id="20"/>
    <w:bookmarkStart w:id="21" w:name="access-risk-flag"/>
    <w:p>
      <w:pPr>
        <w:pStyle w:val="Heading2"/>
      </w:pPr>
      <w:r>
        <w:t xml:space="preserve">2. Access risk flag</w:t>
      </w:r>
    </w:p>
    <w:p>
      <w:pPr>
        <w:pStyle w:val="FirstParagraph"/>
      </w:pPr>
      <w:r>
        <w:t xml:space="preserve">An asset is flagged for access risk when any of these is true: a shared account exists, a privileged account has no MFA, two or more accounts are stale, or vendor remote access exists without MFA.</w:t>
      </w:r>
    </w:p>
    <w:bookmarkEnd w:id="21"/>
    <w:bookmarkStart w:id="22" w:name="exceptions"/>
    <w:p>
      <w:pPr>
        <w:pStyle w:val="Heading2"/>
      </w:pPr>
      <w:r>
        <w:t xml:space="preserve">3. Exceptions</w:t>
      </w:r>
    </w:p>
    <w:p>
      <w:pPr>
        <w:pStyle w:val="FirstParagraph"/>
      </w:pPr>
      <w:r>
        <w:t xml:space="preserve">An exception needs written approval from the Head of Engineering and expires after 30 days.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