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be07f1b3f43bc2bea5c4781f666ada05f9887c"/>
    <w:p>
      <w:pPr>
        <w:pStyle w:val="Heading1"/>
      </w:pPr>
      <w:r>
        <w:t xml:space="preserve">SEC-PROC-INC-001 - Security Incident Triage Runbook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SEC-PROC-INC-001 | Version 1.0 | Status: APPROVED | Effective: 2025-11-15 | Owner: Plant Cyber Security</w:t>
      </w:r>
    </w:p>
    <w:bookmarkStart w:id="20" w:name="triage-questions"/>
    <w:p>
      <w:pPr>
        <w:pStyle w:val="Heading2"/>
      </w:pPr>
      <w:r>
        <w:t xml:space="preserve">1. Triage questions</w:t>
      </w:r>
    </w:p>
    <w:p>
      <w:pPr>
        <w:numPr>
          <w:ilvl w:val="0"/>
          <w:numId w:val="1001"/>
        </w:numPr>
        <w:pStyle w:val="Compact"/>
      </w:pPr>
      <w:r>
        <w:t xml:space="preserve">Which asset or gateway is affected, and how critical is it?</w:t>
      </w:r>
    </w:p>
    <w:p>
      <w:pPr>
        <w:numPr>
          <w:ilvl w:val="0"/>
          <w:numId w:val="1001"/>
        </w:numPr>
        <w:pStyle w:val="Compact"/>
      </w:pPr>
      <w:r>
        <w:t xml:space="preserve">Is the traffic pattern consistent with a known benign cause (maintenance window, vendor task, typing errors)?</w:t>
      </w:r>
    </w:p>
    <w:p>
      <w:pPr>
        <w:numPr>
          <w:ilvl w:val="0"/>
          <w:numId w:val="1001"/>
        </w:numPr>
        <w:pStyle w:val="Compact"/>
      </w:pPr>
      <w:r>
        <w:t xml:space="preserve">Is there an operational signal at the same time (abnormal sensor behaviour, control change)?</w:t>
      </w:r>
    </w:p>
    <w:bookmarkEnd w:id="20"/>
    <w:bookmarkStart w:id="21" w:name="severity-guide"/>
    <w:p>
      <w:pPr>
        <w:pStyle w:val="Heading2"/>
      </w:pPr>
      <w:r>
        <w:t xml:space="preserve">2. Severity guide</w:t>
      </w:r>
    </w:p>
    <w:p>
      <w:pPr>
        <w:numPr>
          <w:ilvl w:val="0"/>
          <w:numId w:val="1002"/>
        </w:numPr>
        <w:pStyle w:val="Compact"/>
      </w:pPr>
      <w:r>
        <w:t xml:space="preserve">Low: single indicator, no operational signal.</w:t>
      </w:r>
    </w:p>
    <w:p>
      <w:pPr>
        <w:numPr>
          <w:ilvl w:val="0"/>
          <w:numId w:val="1002"/>
        </w:numPr>
        <w:pStyle w:val="Compact"/>
      </w:pPr>
      <w:r>
        <w:t xml:space="preserve">Medium: two indicators or one indicator on a Critical or High asset.</w:t>
      </w:r>
    </w:p>
    <w:p>
      <w:pPr>
        <w:numPr>
          <w:ilvl w:val="0"/>
          <w:numId w:val="1002"/>
        </w:numPr>
        <w:pStyle w:val="Compact"/>
      </w:pPr>
      <w:r>
        <w:t xml:space="preserve">High: confirmed unauthorised access or change, or any indicator with an operational signal.</w:t>
      </w:r>
    </w:p>
    <w:bookmarkEnd w:id="21"/>
    <w:bookmarkStart w:id="22" w:name="actions-and-limits"/>
    <w:p>
      <w:pPr>
        <w:pStyle w:val="Heading2"/>
      </w:pPr>
      <w:r>
        <w:t xml:space="preserve">3. Actions and limits</w:t>
      </w:r>
    </w:p>
    <w:p>
      <w:pPr>
        <w:pStyle w:val="FirstParagraph"/>
      </w:pPr>
      <w:r>
        <w:t xml:space="preserve">Triage may recommend containment steps. Isolating an asset, blocking an address or stopping a process is decided and executed by the on-duty security lead together with the operations shift supervisor. An automated tool or model output is never the approval.</w:t>
      </w:r>
      <w:r>
        <w:t xml:space="preserve"> </w:t>
      </w:r>
      <w:r>
        <w:t xml:space="preserve">A false positive is recorded with the reason so the detection rules can be tuned.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