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8fb836f268de160966b314a3e0d1abef48b64d"/>
    <w:p>
      <w:pPr>
        <w:pStyle w:val="Heading1"/>
      </w:pPr>
      <w:r>
        <w:t xml:space="preserve">SEC-PROC-PATCH-001 V1 - Plant Patch and Vulnerability Handling (SUPERSEDED)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SEC-PROC-PATCH-001 | Version 1.0 | Status: SUPERSEDED | Effective: 2024-03-01 | Owner: Plant Cyber Security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Describes how vulnerabilities on plant assets and their monitoring gateways were handled before the 2025 revision.</w:t>
      </w:r>
    </w:p>
    <w:bookmarkEnd w:id="20"/>
    <w:bookmarkStart w:id="21" w:name="remediation-targets-historical"/>
    <w:p>
      <w:pPr>
        <w:pStyle w:val="Heading2"/>
      </w:pPr>
      <w:r>
        <w:t xml:space="preserve">2. Remediation targets (historical)</w:t>
      </w:r>
    </w:p>
    <w:p>
      <w:pPr>
        <w:pStyle w:val="FirstParagraph"/>
      </w:pPr>
      <w:r>
        <w:t xml:space="preserve">All severities were remediated</w:t>
      </w:r>
      <w:r>
        <w:t xml:space="preserve"> </w:t>
      </w:r>
      <w:r>
        <w:t xml:space="preserve">“</w:t>
      </w:r>
      <w:r>
        <w:t xml:space="preserve">at the next planned outage</w:t>
      </w:r>
      <w:r>
        <w:t xml:space="preserve">”</w:t>
      </w:r>
      <w:r>
        <w:t xml:space="preserve">. No fixed day counts were defined.</w:t>
      </w:r>
    </w:p>
    <w:bookmarkEnd w:id="21"/>
    <w:bookmarkStart w:id="22" w:name="notes"/>
    <w:p>
      <w:pPr>
        <w:pStyle w:val="Heading2"/>
      </w:pPr>
      <w:r>
        <w:t xml:space="preserve">3. Notes</w:t>
      </w:r>
    </w:p>
    <w:p>
      <w:pPr>
        <w:pStyle w:val="FirstParagraph"/>
      </w:pPr>
      <w:r>
        <w:t xml:space="preserve">This version is retained for history only. It was replaced by Version 2.0 because open-ended targets allowed High-severity issues to stay open for more than a year. Do not use for current decisions.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