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76025166644035f96ab403a0cf6eb4fc5d71c26"/>
    <w:p>
      <w:pPr>
        <w:pStyle w:val="Heading1"/>
      </w:pPr>
      <w:r>
        <w:t xml:space="preserve">SEC-PROC-PATCH-001 V2 - Plant Patch and Vulnerability Management Standard (APPROVED)</w:t>
      </w:r>
    </w:p>
    <w:p>
      <w:pPr>
        <w:pStyle w:val="BlockText"/>
      </w:pPr>
      <w:r>
        <w:t xml:space="preserve">Synthetic training document. Not for operational use.</w:t>
      </w:r>
    </w:p>
    <w:p>
      <w:pPr>
        <w:pStyle w:val="FirstParagraph"/>
      </w:pPr>
      <w:r>
        <w:t xml:space="preserve">Document ID: SEC-PROC-PATCH-001 | Version 2.0 | Status: APPROVED | Effective: 2025-06-01 | Owner: Plant Cyber Security | Approver: Head of Engineering and CISO delegate</w:t>
      </w:r>
    </w:p>
    <w:bookmarkStart w:id="2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Defines remediation targets and handling rules for vulnerabilities on plant assets, condition-monitoring gateways and engineering workstations.</w:t>
      </w:r>
    </w:p>
    <w:bookmarkEnd w:id="20"/>
    <w:bookmarkStart w:id="21" w:name="severity-and-remediation-targets"/>
    <w:p>
      <w:pPr>
        <w:pStyle w:val="Heading2"/>
      </w:pPr>
      <w:r>
        <w:t xml:space="preserve">2. Severity and remediation targets</w:t>
      </w:r>
    </w:p>
    <w:p>
      <w:pPr>
        <w:pStyle w:val="FirstParagraph"/>
      </w:pPr>
      <w:r>
        <w:t xml:space="preserve">Severity follows the CVSS-style base score recorded on the vulnerability register.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Remediate within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9.0 - 10.0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7.0 - 8.9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4.0 - 6.9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0.1 - 3.9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days</w:t>
            </w:r>
          </w:p>
        </w:tc>
      </w:tr>
    </w:tbl>
    <w:p>
      <w:pPr>
        <w:pStyle w:val="BodyText"/>
      </w:pPr>
      <w:r>
        <w:t xml:space="preserve">The clock starts on the found date. An open item past its target is OVERDUE and must be escalated.</w:t>
      </w:r>
    </w:p>
    <w:bookmarkEnd w:id="21"/>
    <w:bookmarkStart w:id="22" w:name="operational-technology-rules"/>
    <w:p>
      <w:pPr>
        <w:pStyle w:val="Heading2"/>
      </w:pPr>
      <w:r>
        <w:t xml:space="preserve">3. Operational technology rules</w:t>
      </w:r>
    </w:p>
    <w:p>
      <w:pPr>
        <w:numPr>
          <w:ilvl w:val="0"/>
          <w:numId w:val="1001"/>
        </w:numPr>
        <w:pStyle w:val="Compact"/>
      </w:pPr>
      <w:r>
        <w:t xml:space="preserve">A patch on a plant-connected asset is never applied during operation. It needs an approved maintenance window and a sign-off from the responsible engineering owner.</w:t>
      </w:r>
    </w:p>
    <w:p>
      <w:pPr>
        <w:numPr>
          <w:ilvl w:val="0"/>
          <w:numId w:val="1001"/>
        </w:numPr>
        <w:pStyle w:val="Compact"/>
      </w:pPr>
      <w:r>
        <w:t xml:space="preserve">If a patch cannot be applied inside the target, a compensating control (for example network isolation or disabling the affected service) must be recorded and the item moves to ACCEPTED RISK only with written approval from the Head of Engineering.</w:t>
      </w:r>
    </w:p>
    <w:p>
      <w:pPr>
        <w:numPr>
          <w:ilvl w:val="0"/>
          <w:numId w:val="1001"/>
        </w:numPr>
        <w:pStyle w:val="Compact"/>
      </w:pPr>
      <w:r>
        <w:t xml:space="preserve">Condition-monitoring gateways that are Restricted or External exposure are reviewed first.</w:t>
      </w:r>
    </w:p>
    <w:bookmarkEnd w:id="22"/>
    <w:bookmarkStart w:id="23" w:name="escalation"/>
    <w:p>
      <w:pPr>
        <w:pStyle w:val="Heading2"/>
      </w:pPr>
      <w:r>
        <w:t xml:space="preserve">4. Escalation</w:t>
      </w:r>
    </w:p>
    <w:p>
      <w:pPr>
        <w:pStyle w:val="FirstParagraph"/>
      </w:pPr>
      <w:r>
        <w:t xml:space="preserve">Overdue High or Critical items on an asset with Critical or High criticality are reported to the Plant Cyber Security lead within 2 working days, together with the current operational health status of the asset so engineering can plan the window.</w:t>
      </w:r>
    </w:p>
    <w:bookmarkEnd w:id="23"/>
    <w:bookmarkStart w:id="24" w:name="limits"/>
    <w:p>
      <w:pPr>
        <w:pStyle w:val="Heading2"/>
      </w:pPr>
      <w:r>
        <w:t xml:space="preserve">5. Limits</w:t>
      </w:r>
    </w:p>
    <w:p>
      <w:pPr>
        <w:pStyle w:val="FirstParagraph"/>
      </w:pPr>
      <w:r>
        <w:t xml:space="preserve">This standard does not authorise anyone to apply a patch, change a configuration or close a security item. A qualified human owner decides and records the outcome.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2026-10-08T11:12:31Z</dcterms:created>
  <dcterms:modified xsi:type="dcterms:W3CDTF">2026-10-08T11:12:31Z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