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765ab77187697b1175c542313689ec516e8417"/>
    <w:p>
      <w:pPr>
        <w:pStyle w:val="Heading1"/>
      </w:pPr>
      <w:r>
        <w:t xml:space="preserve">SEC-STD-DETECT-001 - Detection Rule Catalogue and Tuning Rules (APPROVED)</w:t>
      </w:r>
    </w:p>
    <w:p>
      <w:pPr>
        <w:pStyle w:val="BlockText"/>
      </w:pPr>
      <w:r>
        <w:t xml:space="preserve">Synthetic training document. Not for operational use.</w:t>
      </w:r>
    </w:p>
    <w:p>
      <w:pPr>
        <w:pStyle w:val="FirstParagraph"/>
      </w:pPr>
      <w:r>
        <w:t xml:space="preserve">Document ID: SEC-STD-DETECT-001 | Version 1.0 | Status: APPROVED | Effective: 2025-12-01 | Owner: Technical Security Services</w:t>
      </w:r>
    </w:p>
    <w:bookmarkStart w:id="20" w:name="rule-catalogue"/>
    <w:p>
      <w:pPr>
        <w:pStyle w:val="Heading2"/>
      </w:pPr>
      <w:r>
        <w:t xml:space="preserve">1. Rule catalogue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R-AUTH-01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failed logins from one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or more failures from one source address within 30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Medium; High at 25 or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R-AUTH-02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login without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login from the DMZ or outside without 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Medium; High if off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R-NET-01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scan from unapproved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or more distinct destination ports from one unapproved source in 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R-NET-02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flood from many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or more flows from 15 or more sources in 15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R-NET-03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outbound transfer to external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30 MB to an external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R-OT-01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change without ticket or outside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state-changing command with no ticket, or outside the approved change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20"/>
    <w:bookmarkStart w:id="21" w:name="alert-handling"/>
    <w:p>
      <w:pPr>
        <w:pStyle w:val="Heading2"/>
      </w:pPr>
      <w:r>
        <w:t xml:space="preserve">2. Alert handling</w:t>
      </w:r>
    </w:p>
    <w:p>
      <w:pPr>
        <w:numPr>
          <w:ilvl w:val="0"/>
          <w:numId w:val="1001"/>
        </w:numPr>
        <w:pStyle w:val="Compact"/>
      </w:pPr>
      <w:r>
        <w:t xml:space="preserve">Every alert is triaged by an analyst and given a status: Open, Triaged, Escalated or Closed - false positive.</w:t>
      </w:r>
    </w:p>
    <w:p>
      <w:pPr>
        <w:numPr>
          <w:ilvl w:val="0"/>
          <w:numId w:val="1001"/>
        </w:numPr>
        <w:pStyle w:val="Compact"/>
      </w:pPr>
      <w:r>
        <w:t xml:space="preserve">Closing an alert as a false positive requires a recorded reason. An alert closed without a reason is reopened at the next review.</w:t>
      </w:r>
    </w:p>
    <w:p>
      <w:pPr>
        <w:numPr>
          <w:ilvl w:val="0"/>
          <w:numId w:val="1001"/>
        </w:numPr>
        <w:pStyle w:val="Compact"/>
      </w:pPr>
      <w:r>
        <w:t xml:space="preserve">An escalated alert is linked to an incident.</w:t>
      </w:r>
    </w:p>
    <w:bookmarkEnd w:id="21"/>
    <w:bookmarkStart w:id="22" w:name="tuning"/>
    <w:p>
      <w:pPr>
        <w:pStyle w:val="Heading2"/>
      </w:pPr>
      <w:r>
        <w:t xml:space="preserve">3. Tuning</w:t>
      </w:r>
    </w:p>
    <w:p>
      <w:pPr>
        <w:numPr>
          <w:ilvl w:val="0"/>
          <w:numId w:val="1002"/>
        </w:numPr>
        <w:pStyle w:val="Compact"/>
      </w:pPr>
      <w:r>
        <w:t xml:space="preserve">A threshold change needs a recorded comparison of alerts, missed events and false alarms before and after.</w:t>
      </w:r>
    </w:p>
    <w:p>
      <w:pPr>
        <w:numPr>
          <w:ilvl w:val="0"/>
          <w:numId w:val="1002"/>
        </w:numPr>
        <w:pStyle w:val="Compact"/>
      </w:pPr>
      <w:r>
        <w:t xml:space="preserve">Approved scans and backups are excluded by named source address, not by lowering severity.</w:t>
      </w:r>
    </w:p>
    <w:p>
      <w:pPr>
        <w:numPr>
          <w:ilvl w:val="0"/>
          <w:numId w:val="1002"/>
        </w:numPr>
        <w:pStyle w:val="Compact"/>
      </w:pPr>
      <w:r>
        <w:t xml:space="preserve">Tuning is approved by the Technical Security Services Lead. A model or a script proposes; a person approves.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2026-10-08T11:12:31Z</dcterms:created>
  <dcterms:modified xsi:type="dcterms:W3CDTF">2026-10-08T11:12:31Z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