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Instructions on how to execute the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We have formatted the codes really well so it is well readable and understandable to anyone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Please provide the path to where the Project Report Folder is located to access all the dataset and models used in the experiment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Remove the line of code that is used for mounting the drive to the notebook if it is not run on Google Drive as we made use of Google Drive for our notebook</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codes to run the model as well as importing the model have been provided. You could make use of the saved model in the Models folder to save time but the code use for training the model is also provided for your reference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Netids: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Anubhav Rajauria: ar161</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Benson Thomas: bt22</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Ishita Kundaliya: ik20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