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  <Override PartName="/word/media/rId1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b3bd6df2188120a0acce0185af4f9176ce3d38"/>
    <w:p>
      <w:pPr>
        <w:pStyle w:val="Heading1"/>
      </w:pPr>
      <w:r>
        <w:t xml:space="preserve">Advanced DevOps Challenge — Submission Notes</w:t>
      </w:r>
    </w:p>
    <w:p>
      <w:pPr>
        <w:pStyle w:val="FirstParagraph"/>
      </w:pPr>
      <w:r>
        <w:t xml:space="preserve">This is my write-up for the Advanced challenge. The repo’s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have the full technical reference (architecture diagrams,</w:t>
      </w:r>
      <w:r>
        <w:t xml:space="preserve"> </w:t>
      </w:r>
      <w:r>
        <w:t xml:space="preserve">decision log, cost analysis, runbooks) — this is more of a walkthrough of</w:t>
      </w:r>
      <w:r>
        <w:t xml:space="preserve"> </w:t>
      </w:r>
      <w:r>
        <w:t xml:space="preserve">what I actually built, the calls I made along the way, and what actually</w:t>
      </w:r>
      <w:r>
        <w:t xml:space="preserve"> </w:t>
      </w:r>
      <w:r>
        <w:t xml:space="preserve">went wrong while getting it working.</w:t>
      </w:r>
    </w:p>
    <w:bookmarkStart w:id="9" w:name="what-i-built"/>
    <w:p>
      <w:pPr>
        <w:pStyle w:val="Heading2"/>
      </w:pPr>
      <w:r>
        <w:t xml:space="preserve">What I built</w:t>
      </w:r>
    </w:p>
    <w:p>
      <w:pPr>
        <w:pStyle w:val="FirstParagraph"/>
      </w:pPr>
      <w:r>
        <w:t xml:space="preserve">Three services — an API, a background worker, and Postgres — deployed</w:t>
      </w:r>
      <w:r>
        <w:t xml:space="preserve"> </w:t>
      </w:r>
      <w:r>
        <w:t xml:space="preserve">across three properly isolated Kubernetes namespaces (development,</w:t>
      </w:r>
      <w:r>
        <w:t xml:space="preserve"> </w:t>
      </w:r>
      <w:r>
        <w:t xml:space="preserve">staging, production), each with its own resource quotas, network</w:t>
      </w:r>
      <w:r>
        <w:t xml:space="preserve"> </w:t>
      </w:r>
      <w:r>
        <w:t xml:space="preserve">policies, and RBAC. On top of that: a full Prometheus/Grafana/Loki</w:t>
      </w:r>
      <w:r>
        <w:t xml:space="preserve"> </w:t>
      </w:r>
      <w:r>
        <w:t xml:space="preserve">monitoring stack, External Secrets Operator for credential management, a</w:t>
      </w:r>
      <w:r>
        <w:t xml:space="preserve"> </w:t>
      </w:r>
      <w:r>
        <w:t xml:space="preserve">CI/CD pipeline that actually deploys through all three environments with</w:t>
      </w:r>
      <w:r>
        <w:t xml:space="preserve"> </w:t>
      </w:r>
      <w:r>
        <w:t xml:space="preserve">a manual approval gate in front of production, and disaster recovery</w:t>
      </w:r>
      <w:r>
        <w:t xml:space="preserve"> </w:t>
      </w:r>
      <w:r>
        <w:t xml:space="preserve">scripts I tested for real rather than just describing.</w:t>
      </w:r>
    </w:p>
    <w:p>
      <w:pPr>
        <w:pStyle w:val="BodyText"/>
      </w:pPr>
      <w:r>
        <w:t xml:space="preserve">Everything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rather than real AWS EKS. The</w:t>
      </w:r>
      <w:r>
        <w:t xml:space="preserve"> </w:t>
      </w:r>
      <w:r>
        <w:t xml:space="preserve">task explicitly allows this, and it meant I could actually iterate and</w:t>
      </w:r>
      <w:r>
        <w:t xml:space="preserve"> </w:t>
      </w:r>
      <w:r>
        <w:t xml:space="preserve">test everything within the time limit instead of burning hours waiting on</w:t>
      </w:r>
      <w:r>
        <w:t xml:space="preserve"> </w:t>
      </w:r>
      <w:r>
        <w:t xml:space="preserve">EKS control planes to come up, and it meant zero AWS billing risk for a</w:t>
      </w:r>
      <w:r>
        <w:t xml:space="preserve"> </w:t>
      </w:r>
      <w:r>
        <w:t xml:space="preserve">task where no production traffic ever needed to touch it. Every piece —</w:t>
      </w:r>
      <w:r>
        <w:t xml:space="preserve"> </w:t>
      </w:r>
      <w:r>
        <w:t xml:space="preserve">Terraform, the Kubernetes manifests, the CI/CD pipeline — is written so</w:t>
      </w:r>
      <w:r>
        <w:t xml:space="preserve"> </w:t>
      </w:r>
      <w:r>
        <w:t xml:space="preserve">the path to real EKS is a small, specific set of changes, and I documented</w:t>
      </w:r>
      <w:r>
        <w:t xml:space="preserve"> </w:t>
      </w:r>
      <w:r>
        <w:t xml:space="preserve">exactly what those changes would be rather than pretending kind and EKS</w:t>
      </w:r>
      <w:r>
        <w:t xml:space="preserve"> </w:t>
      </w:r>
      <w:r>
        <w:t xml:space="preserve">are the same thing.</w:t>
      </w:r>
    </w:p>
    <w:bookmarkEnd w:id="9"/>
    <w:bookmarkStart w:id="10" w:name="the-three-environments-briefly"/>
    <w:p>
      <w:pPr>
        <w:pStyle w:val="Heading2"/>
      </w:pPr>
      <w:r>
        <w:t xml:space="preserve">The three environments, briefly</w:t>
      </w:r>
    </w:p>
    <w:p>
      <w:pPr>
        <w:pStyle w:val="FirstParagraph"/>
      </w:pPr>
      <w:r>
        <w:t xml:space="preserve">Development gets 1 replica of everything and default settings. Staging</w:t>
      </w:r>
      <w:r>
        <w:t xml:space="preserve"> </w:t>
      </w:r>
      <w:r>
        <w:t xml:space="preserve">gets 2 API replicas. Production gets 3-10 API replicas and 2-6 worker</w:t>
      </w:r>
      <w:r>
        <w:t xml:space="preserve"> </w:t>
      </w:r>
      <w:r>
        <w:t xml:space="preserve">replicas under a HorizontalPodAutoscaler, a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Pod Security</w:t>
      </w:r>
      <w:r>
        <w:t xml:space="preserve"> </w:t>
      </w:r>
      <w:r>
        <w:t xml:space="preserve">Standard instead of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, and its own resource quota ceiling. The</w:t>
      </w:r>
      <w:r>
        <w:t xml:space="preserve"> </w:t>
      </w:r>
      <w:r>
        <w:t xml:space="preserve">full comparison table is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the point I want to make here</w:t>
      </w:r>
      <w:r>
        <w:t xml:space="preserve"> </w:t>
      </w:r>
      <w:r>
        <w:t xml:space="preserve">is that these aren’t arbitrary numbers, they come from the actual</w:t>
      </w:r>
      <w:r>
        <w:t xml:space="preserve"> </w:t>
      </w:r>
      <w:r>
        <w:t xml:space="preserve">Terraform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definitions and Kustomize overlay patches, and I</w:t>
      </w:r>
      <w:r>
        <w:t xml:space="preserve"> </w:t>
      </w:r>
      <w:r>
        <w:t xml:space="preserve">checked real cluster resource usage (</w:t>
      </w:r>
      <w:r>
        <w:rPr>
          <w:rStyle w:val="VerbatimChar"/>
        </w:rPr>
        <w:t xml:space="preserve">kubectl top nodes</w:t>
      </w:r>
      <w:r>
        <w:t xml:space="preserve">) throughout to</w:t>
      </w:r>
      <w:r>
        <w:t xml:space="preserve"> </w:t>
      </w:r>
      <w:r>
        <w:t xml:space="preserve">make sure they were realistic rather than guessed.</w:t>
      </w:r>
    </w:p>
    <w:bookmarkEnd w:id="10"/>
    <w:bookmarkStart w:id="20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Prometheus, Grafana, and Loki, with 5 custom dashboards and 12 alert</w:t>
      </w:r>
      <w:r>
        <w:t xml:space="preserve"> </w:t>
      </w:r>
      <w:r>
        <w:t xml:space="preserve">rules (CPU/memory pressure, pod crashes, deployment failures, HPA maxed</w:t>
      </w:r>
      <w:r>
        <w:t xml:space="preserve"> </w:t>
      </w:r>
      <w:r>
        <w:t xml:space="preserve">out, Postgres down, worker stalled, resource quota exhaustion, and a few</w:t>
      </w:r>
      <w:r>
        <w:t xml:space="preserve"> </w:t>
      </w:r>
      <w:r>
        <w:t xml:space="preserve">more). I picked Loki over a full ELK stack specifically because this runs</w:t>
      </w:r>
      <w:r>
        <w:t xml:space="preserve"> </w:t>
      </w:r>
      <w:r>
        <w:t xml:space="preserve">on an 8GB laptop — Elasticsearch alone wants more memory than that leaves</w:t>
      </w:r>
      <w:r>
        <w:t xml:space="preserve"> </w:t>
      </w:r>
      <w:r>
        <w:t xml:space="preserve">for everything else combined, and Loki gives the same</w:t>
      </w:r>
      <w:r>
        <w:t xml:space="preserve"> </w:t>
      </w:r>
      <w:r>
        <w:t xml:space="preserve">“centralized logs</w:t>
      </w:r>
      <w:r>
        <w:t xml:space="preserve"> </w:t>
      </w:r>
      <w:r>
        <w:t xml:space="preserve">searchable from Grafana”</w:t>
      </w:r>
      <w:r>
        <w:t xml:space="preserve"> </w:t>
      </w:r>
      <w:r>
        <w:t xml:space="preserve">outcome without the footprint. That’s a</w:t>
      </w:r>
      <w:r>
        <w:t xml:space="preserve"> </w:t>
      </w:r>
      <w:r>
        <w:t xml:space="preserve">documented tradeoff, not an oversight.</w:t>
      </w:r>
    </w:p>
    <w:p>
      <w:pPr>
        <w:pStyle w:val="CaptionedFigure"/>
      </w:pPr>
      <w:r>
        <w:drawing>
          <wp:inline>
            <wp:extent cx="5334000" cy="2791792"/>
            <wp:effectExtent b="0" l="0" r="0" t="0"/>
            <wp:docPr descr="Prometheus targets showing real scrape jobs across all three namespaces" title="" id="12" name="Picture"/>
            <a:graphic>
              <a:graphicData uri="http://schemas.openxmlformats.org/drawingml/2006/picture">
                <pic:pic>
                  <pic:nvPicPr>
                    <pic:cNvPr descr="docs/images/prometheus-targe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showing real scrape jobs across all three namespaces</w:t>
      </w:r>
    </w:p>
    <w:p>
      <w:pPr>
        <w:pStyle w:val="CaptionedFigure"/>
      </w:pPr>
      <w:r>
        <w:drawing>
          <wp:inline>
            <wp:extent cx="5334000" cy="2791792"/>
            <wp:effectExtent b="0" l="0" r="0" t="0"/>
            <wp:docPr descr="All 12 custom alert rules loaded and evaluating cleanly" title="" id="15" name="Picture"/>
            <a:graphic>
              <a:graphicData uri="http://schemas.openxmlformats.org/drawingml/2006/picture">
                <pic:pic>
                  <pic:nvPicPr>
                    <pic:cNvPr descr="docs/images/prometheus-aler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12 custom alert rules loaded and evaluating cleanly</w:t>
      </w:r>
    </w:p>
    <w:p>
      <w:pPr>
        <w:pStyle w:val="CaptionedFigure"/>
      </w:pPr>
      <w:r>
        <w:drawing>
          <wp:inline>
            <wp:extent cx="5334000" cy="2855441"/>
            <wp:effectExtent b="0" l="0" r="0" t="0"/>
            <wp:docPr descr="One of the 5 custom Grafana dashboards, showing real per-namespace worker data" title="" id="18" name="Picture"/>
            <a:graphic>
              <a:graphicData uri="http://schemas.openxmlformats.org/drawingml/2006/picture">
                <pic:pic>
                  <pic:nvPicPr>
                    <pic:cNvPr descr="docs/images/worker-service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of the 5 custom Grafana dashboards, showing real per-namespace worker data</w:t>
      </w:r>
    </w:p>
    <w:bookmarkEnd w:id="20"/>
    <w:bookmarkStart w:id="21" w:name="Xbf08b46a34480604d66e88ba0d309679578e175"/>
    <w:p>
      <w:pPr>
        <w:pStyle w:val="Heading2"/>
      </w:pPr>
      <w:r>
        <w:t xml:space="preserve">Secrets, and a rotation I actually had to fix</w:t>
      </w:r>
    </w:p>
    <w:p>
      <w:pPr>
        <w:pStyle w:val="FirstParagraph"/>
      </w:pPr>
      <w:r>
        <w:t xml:space="preserve">I stood up External Secrets Operator with a separate namespace standing in</w:t>
      </w:r>
      <w:r>
        <w:t xml:space="preserve"> </w:t>
      </w:r>
      <w:r>
        <w:t xml:space="preserve">for what would be AWS Secrets Manager in production — real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 </w:t>
      </w:r>
      <w:r>
        <w:t xml:space="preserve">objects syncing on a 1-minute refresh interval, not just a design doc.</w:t>
      </w:r>
    </w:p>
    <w:p>
      <w:pPr>
        <w:pStyle w:val="BodyText"/>
      </w:pPr>
      <w:r>
        <w:t xml:space="preserve">The part worth calling out: I set this up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Postgres was already</w:t>
      </w:r>
      <w:r>
        <w:t xml:space="preserve"> </w:t>
      </w:r>
      <w:r>
        <w:t xml:space="preserve">running with a different, statically-set password. Rotating the secret</w:t>
      </w:r>
      <w:r>
        <w:t xml:space="preserve"> </w:t>
      </w:r>
      <w:r>
        <w:t xml:space="preserve">didn’t actually fix authentication — Postgres only applies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at first database initialization, so the live database</w:t>
      </w:r>
      <w:r>
        <w:t xml:space="preserve"> </w:t>
      </w:r>
      <w:r>
        <w:t xml:space="preserve">kept expecting the old password no matter what the newly-synced Secret</w:t>
      </w:r>
      <w:r>
        <w:t xml:space="preserve"> </w:t>
      </w:r>
      <w:r>
        <w:t xml:space="preserve">said. I had to run an explicit</w:t>
      </w:r>
      <w:r>
        <w:t xml:space="preserve"> </w:t>
      </w:r>
      <w:r>
        <w:rPr>
          <w:rStyle w:val="VerbatimChar"/>
        </w:rPr>
        <w:t xml:space="preserve">ALTER USER</w:t>
      </w:r>
      <w:r>
        <w:t xml:space="preserve"> </w:t>
      </w:r>
      <w:r>
        <w:t xml:space="preserve">against each environment’s</w:t>
      </w:r>
      <w:r>
        <w:t xml:space="preserve"> </w:t>
      </w:r>
      <w:r>
        <w:t xml:space="preserve">running Postgres to bring it in line, then restart the pods that read the</w:t>
      </w:r>
      <w:r>
        <w:t xml:space="preserve"> </w:t>
      </w:r>
      <w:r>
        <w:t xml:space="preserve">secret as environment variables (which also don’t live-reload). I wrote</w:t>
      </w:r>
      <w:r>
        <w:t xml:space="preserve"> </w:t>
      </w:r>
      <w:r>
        <w:t xml:space="preserve">the exact sequence into</w:t>
      </w:r>
      <w:r>
        <w:t xml:space="preserve"> </w:t>
      </w:r>
      <w:r>
        <w:rPr>
          <w:rStyle w:val="VerbatimChar"/>
        </w:rPr>
        <w:t xml:space="preserve">docs/runbooks/secret-management.md</w:t>
      </w:r>
      <w:r>
        <w:t xml:space="preserve"> </w:t>
      </w:r>
      <w:r>
        <w:t xml:space="preserve">because it’s</w:t>
      </w:r>
      <w:r>
        <w:t xml:space="preserve"> </w:t>
      </w:r>
      <w:r>
        <w:t xml:space="preserve">exactly the kind of thing that looks fine in a demo and then quietly</w:t>
      </w:r>
      <w:r>
        <w:t xml:space="preserve"> </w:t>
      </w:r>
      <w:r>
        <w:t xml:space="preserve">breaks the first time someone rotates a credential for real.</w:t>
      </w:r>
    </w:p>
    <w:bookmarkEnd w:id="21"/>
    <w:bookmarkStart w:id="25" w:name="cicd-and-where-it-actually-broke"/>
    <w:p>
      <w:pPr>
        <w:pStyle w:val="Heading2"/>
      </w:pPr>
      <w:r>
        <w:t xml:space="preserve">CI/CD — and where it actually broke</w:t>
      </w:r>
    </w:p>
    <w:p>
      <w:pPr>
        <w:pStyle w:val="FirstParagraph"/>
      </w:pPr>
      <w:r>
        <w:t xml:space="preserve">The pipeline runs on a self-hosted GitHub Actions runner registered on the</w:t>
      </w:r>
      <w:r>
        <w:t xml:space="preserve"> </w:t>
      </w:r>
      <w:r>
        <w:t xml:space="preserve">same machine as the kind cluster, because a GitHub-hosted runner has no</w:t>
      </w:r>
      <w:r>
        <w:t xml:space="preserve"> </w:t>
      </w:r>
      <w:r>
        <w:t xml:space="preserve">network path to a cluster that only exists inside this machine’s Docker</w:t>
      </w:r>
      <w:r>
        <w:t xml:space="preserve"> </w:t>
      </w:r>
      <w:r>
        <w:t xml:space="preserve">daemon. That part worked on the first try. Getting the actual build job</w:t>
      </w:r>
      <w:r>
        <w:t xml:space="preserve"> </w:t>
      </w:r>
      <w:r>
        <w:t xml:space="preserve">green took three more attempts, and I think the failures are worth being</w:t>
      </w:r>
      <w:r>
        <w:t xml:space="preserve"> </w:t>
      </w:r>
      <w:r>
        <w:t xml:space="preserve">honest about since they’re genuinely instructive: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aquasecurity/trivy-action@0.28.0</w:t>
      </w:r>
      <w:r>
        <w:t xml:space="preserve"> </w:t>
      </w:r>
      <w:r>
        <w:t xml:space="preserve">— I’d written the version</w:t>
      </w:r>
      <w:r>
        <w:t xml:space="preserve"> </w:t>
      </w:r>
      <w:r>
        <w:t xml:space="preserve">without the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prefix the project’s git tags actually use. Simple typo,</w:t>
      </w:r>
      <w:r>
        <w:t xml:space="preserve"> </w:t>
      </w:r>
      <w:r>
        <w:t xml:space="preserve">immediate failure at job setup.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aquasecurity/trivy-action@v0.29.0</w:t>
      </w:r>
      <w:r>
        <w:t xml:space="preserve"> </w:t>
      </w:r>
      <w:r>
        <w:t xml:space="preserve">— fixed the prefix, but that</w:t>
      </w:r>
      <w:r>
        <w:t xml:space="preserve"> </w:t>
      </w:r>
      <w:r>
        <w:t xml:space="preserve">specific release pins an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dependency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aquasecurity/setup-trivy@v0.2.2</w:t>
      </w:r>
      <w:r>
        <w:t xml:space="preserve">) that no longer exists upstream —</w:t>
      </w:r>
      <w:r>
        <w:t xml:space="preserve"> </w:t>
      </w:r>
      <w:r>
        <w:t xml:space="preserve">the tag had been deleted or renamed since that release was cut. Not</w:t>
      </w:r>
      <w:r>
        <w:t xml:space="preserve"> </w:t>
      </w:r>
      <w:r>
        <w:t xml:space="preserve">something I could have caught by reading my own YAML more carefully;</w:t>
      </w:r>
      <w:r>
        <w:t xml:space="preserve"> </w:t>
      </w:r>
      <w:r>
        <w:t xml:space="preserve">I had to check the newer release’s</w:t>
      </w:r>
      <w:r>
        <w:t xml:space="preserve"> </w:t>
      </w:r>
      <w:r>
        <w:rPr>
          <w:rStyle w:val="VerbatimChar"/>
        </w:rPr>
        <w:t xml:space="preserve">action.yaml</w:t>
      </w:r>
      <w:r>
        <w:t xml:space="preserve"> </w:t>
      </w:r>
      <w:r>
        <w:t xml:space="preserve">and confirm it pins its</w:t>
      </w:r>
      <w:r>
        <w:t xml:space="preserve"> </w:t>
      </w:r>
      <w:r>
        <w:t xml:space="preserve">internal dependency by commit SHA instead of a floating tag before</w:t>
      </w:r>
      <w:r>
        <w:t xml:space="preserve"> </w:t>
      </w:r>
      <w:r>
        <w:t xml:space="preserve">trusting it wouldn’t rot the same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real 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build -t ghcr.io/${{ github.repository }}/...</w:t>
      </w:r>
      <w:r>
        <w:t xml:space="preserve"> </w:t>
      </w:r>
      <w:r>
        <w:t xml:space="preserve">failed outright once it got past the action-resolution problems, because</w:t>
      </w:r>
      <w:r>
        <w:t xml:space="preserve"> </w:t>
      </w:r>
      <w:r>
        <w:rPr>
          <w:rStyle w:val="VerbatimChar"/>
        </w:rPr>
        <w:t xml:space="preserve">github.repository</w:t>
      </w:r>
      <w:r>
        <w:t xml:space="preserve"> </w:t>
      </w:r>
      <w:r>
        <w:t xml:space="preserve">preserves this repo’s actual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Dedeepya-10/Devops-task</w:t>
      </w:r>
      <w:r>
        <w:t xml:space="preserve">), and Docker/GHCR image references have to be</w:t>
      </w:r>
      <w:r>
        <w:t xml:space="preserve"> </w:t>
      </w:r>
      <w:r>
        <w:t xml:space="preserve">all lowercase. GitHub Actions’ expression language has no built-in</w:t>
      </w:r>
      <w:r>
        <w:t xml:space="preserve"> </w:t>
      </w:r>
      <w:r>
        <w:t xml:space="preserve">lowercase function, so I added a step that computes it once via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and</w:t>
      </w:r>
      <w:r>
        <w:t xml:space="preserve"> </w:t>
      </w:r>
      <w:r>
        <w:t xml:space="preserve">stores it in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, and made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do the same</w:t>
      </w:r>
      <w:r>
        <w:t xml:space="preserve"> </w:t>
      </w:r>
      <w:r>
        <w:t xml:space="preserve">lowercasing independently so it behaves identically whether it’s invoked</w:t>
      </w:r>
      <w:r>
        <w:t xml:space="preserve"> </w:t>
      </w:r>
      <w:r>
        <w:t xml:space="preserve">by CI or run by hand.</w:t>
      </w:r>
    </w:p>
    <w:p>
      <w:pPr>
        <w:pStyle w:val="FirstParagraph"/>
      </w:pPr>
      <w:r>
        <w:t xml:space="preserve">After that fix, the full pipeline ran clean end to end: lint/test both</w:t>
      </w:r>
      <w:r>
        <w:t xml:space="preserve"> </w:t>
      </w:r>
      <w:r>
        <w:t xml:space="preserve">services, build, Trivy scan, push to GHCR, deploy to development, deploy</w:t>
      </w:r>
      <w:r>
        <w:t xml:space="preserve"> </w:t>
      </w:r>
      <w:r>
        <w:t xml:space="preserve">to staging, pause for my manual approval on production, then deploy to</w:t>
      </w:r>
      <w:r>
        <w:t xml:space="preserve"> </w:t>
      </w:r>
      <w:r>
        <w:t xml:space="preserve">production. I checked afterward that the production pods were actually</w:t>
      </w:r>
      <w:r>
        <w:t xml:space="preserve"> </w:t>
      </w:r>
      <w:r>
        <w:t xml:space="preserve">running the image tagged with that exact commit SHA — not just that the</w:t>
      </w:r>
      <w:r>
        <w:t xml:space="preserve"> </w:t>
      </w:r>
      <w:r>
        <w:t xml:space="preserve">job said</w:t>
      </w:r>
      <w:r>
        <w:t xml:space="preserve"> </w:t>
      </w:r>
      <w:r>
        <w:t xml:space="preserve">“success.”</w:t>
      </w:r>
    </w:p>
    <w:p>
      <w:pPr>
        <w:pStyle w:val="CaptionedFigure"/>
      </w:pPr>
      <w:r>
        <w:drawing>
          <wp:inline>
            <wp:extent cx="5334000" cy="3448513"/>
            <wp:effectExtent b="0" l="0" r="0" t="0"/>
            <wp:docPr descr="Production environment protection rule requiring manual approval" title="" id="23" name="Picture"/>
            <a:graphic>
              <a:graphicData uri="http://schemas.openxmlformats.org/drawingml/2006/picture">
                <pic:pic>
                  <pic:nvPicPr>
                    <pic:cNvPr descr="docs/images/github-production-approv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environment protection rule requiring manual approval</w:t>
      </w:r>
    </w:p>
    <w:bookmarkEnd w:id="25"/>
    <w:bookmarkStart w:id="26" w:name="Xecfc0e1cde233c8d4f0fc6a160ee2a68ca0decc"/>
    <w:p>
      <w:pPr>
        <w:pStyle w:val="Heading2"/>
      </w:pPr>
      <w:r>
        <w:t xml:space="preserve">Disaster recovery — actually tested, not just described</w:t>
      </w:r>
    </w:p>
    <w:p>
      <w:pPr>
        <w:pStyle w:val="FirstParagraph"/>
      </w:pPr>
      <w:r>
        <w:t xml:space="preserve">I didn’t want to just write a runbook that claims backup/restore works —</w:t>
      </w:r>
      <w:r>
        <w:t xml:space="preserve"> </w:t>
      </w:r>
      <w:r>
        <w:t xml:space="preserve">I ran it. Created two real items through the API in the staging</w:t>
      </w:r>
      <w:r>
        <w:t xml:space="preserve"> </w:t>
      </w:r>
      <w:r>
        <w:t xml:space="preserve">environment, backed up the database, deliberately truncated the tables to</w:t>
      </w:r>
      <w:r>
        <w:t xml:space="preserve"> </w:t>
      </w:r>
      <w:r>
        <w:t xml:space="preserve">simulate real data loss, confirmed the data was actually gone, restored</w:t>
      </w:r>
      <w:r>
        <w:t xml:space="preserve"> </w:t>
      </w:r>
      <w:r>
        <w:t xml:space="preserve">from the backup, and confirmed the exact same rows came back (same IDs,</w:t>
      </w:r>
      <w:r>
        <w:t xml:space="preserve"> </w:t>
      </w:r>
      <w:r>
        <w:t xml:space="preserve">same timestamps). That whole cycle took under two minutes. The full</w:t>
      </w:r>
      <w:r>
        <w:t xml:space="preserve"> </w:t>
      </w:r>
      <w:r>
        <w:t xml:space="preserve">transcript is in</w:t>
      </w:r>
      <w:r>
        <w:t xml:space="preserve"> </w:t>
      </w:r>
      <w:r>
        <w:rPr>
          <w:rStyle w:val="VerbatimChar"/>
        </w:rPr>
        <w:t xml:space="preserve">docs/runbooks/disaster-recovery.md</w:t>
      </w:r>
      <w:r>
        <w:t xml:space="preserve">, including the RTO/RPO</w:t>
      </w:r>
      <w:r>
        <w:t xml:space="preserve"> </w:t>
      </w:r>
      <w:r>
        <w:t xml:space="preserve">targets and the honest limitation that a single-node local cluster can’t</w:t>
      </w:r>
      <w:r>
        <w:t xml:space="preserve"> </w:t>
      </w:r>
      <w:r>
        <w:t xml:space="preserve">test real multi-AZ cluster failover — that part is a documented design</w:t>
      </w:r>
      <w:r>
        <w:t xml:space="preserve"> </w:t>
      </w:r>
      <w:r>
        <w:t xml:space="preserve">for real EKS + RDS Multi-AZ, not something I could actually exercise here.</w:t>
      </w:r>
    </w:p>
    <w:bookmarkEnd w:id="26"/>
    <w:bookmarkStart w:id="27" w:name="cost-analysis"/>
    <w:p>
      <w:pPr>
        <w:pStyle w:val="Heading2"/>
      </w:pPr>
      <w:r>
        <w:t xml:space="preserve">Cost analysis</w:t>
      </w:r>
    </w:p>
    <w:p>
      <w:pPr>
        <w:pStyle w:val="FirstParagraph"/>
      </w:pPr>
      <w:r>
        <w:t xml:space="preserve">Actual cost right now is $0, since this runs locally.</w:t>
      </w:r>
      <w:r>
        <w:t xml:space="preserve"> </w:t>
      </w:r>
      <w:r>
        <w:rPr>
          <w:rStyle w:val="VerbatimChar"/>
        </w:rPr>
        <w:t xml:space="preserve">docs/cost-analysis.md</w:t>
      </w:r>
      <w:r>
        <w:t xml:space="preserve"> </w:t>
      </w:r>
      <w:r>
        <w:t xml:space="preserve">has a full projected AWS cost breakdown (~$313/month) if this exact</w:t>
      </w:r>
      <w:r>
        <w:t xml:space="preserve"> </w:t>
      </w:r>
      <w:r>
        <w:t xml:space="preserve">architecture were deployed to real EKS, split by environment, plus five</w:t>
      </w:r>
      <w:r>
        <w:t xml:space="preserve"> </w:t>
      </w:r>
      <w:r>
        <w:t xml:space="preserve">concrete cost optimization strategies — the biggest one being that this</w:t>
      </w:r>
      <w:r>
        <w:t xml:space="preserve"> </w:t>
      </w:r>
      <w:r>
        <w:t xml:space="preserve">uses one shared cluster with three namespaces instead of three separate</w:t>
      </w:r>
      <w:r>
        <w:t xml:space="preserve"> </w:t>
      </w:r>
      <w:r>
        <w:t xml:space="preserve">clusters, which alone avoids roughly $146/month in duplicate EKS control</w:t>
      </w:r>
      <w:r>
        <w:t xml:space="preserve"> </w:t>
      </w:r>
      <w:r>
        <w:t xml:space="preserve">plane costs.</w:t>
      </w:r>
    </w:p>
    <w:bookmarkEnd w:id="27"/>
    <w:bookmarkStart w:id="28" w:name="what-id-add-given-more-time"/>
    <w:p>
      <w:pPr>
        <w:pStyle w:val="Heading2"/>
      </w:pPr>
      <w:r>
        <w:t xml:space="preserve">What I’d add given more time</w:t>
      </w:r>
    </w:p>
    <w:p>
      <w:pPr>
        <w:pStyle w:val="Compact"/>
        <w:numPr>
          <w:ilvl w:val="0"/>
          <w:numId w:val="1002"/>
        </w:numPr>
      </w:pPr>
      <w:r>
        <w:t xml:space="preserve">Real Alertmanager routing to Slack/PagerDuty instead of just the</w:t>
      </w:r>
      <w:r>
        <w:t xml:space="preserve"> </w:t>
      </w:r>
      <w:r>
        <w:t xml:space="preserve">Prometheus/Alertmanager UI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postgres_exporter</w:t>
      </w:r>
      <w:r>
        <w:t xml:space="preserve"> </w:t>
      </w:r>
      <w:r>
        <w:t xml:space="preserve">for actual query-level database metrics</w:t>
      </w:r>
    </w:p>
    <w:p>
      <w:pPr>
        <w:pStyle w:val="Compact"/>
        <w:numPr>
          <w:ilvl w:val="0"/>
          <w:numId w:val="1002"/>
        </w:numPr>
      </w:pPr>
      <w:r>
        <w:t xml:space="preserve">Scheduled backups instead of manually-triggered ones</w:t>
      </w:r>
    </w:p>
    <w:p>
      <w:pPr>
        <w:pStyle w:val="Compact"/>
        <w:numPr>
          <w:ilvl w:val="0"/>
          <w:numId w:val="1002"/>
        </w:numPr>
      </w:pPr>
      <w:r>
        <w:t xml:space="preserve">The two-Deployment blue-green pattern (separate blue/green Deployments</w:t>
      </w:r>
      <w:r>
        <w:t xml:space="preserve"> </w:t>
      </w:r>
      <w:r>
        <w:t xml:space="preserve">with a Service selector flip) instead of the rolling-update-based</w:t>
      </w:r>
      <w:r>
        <w:t xml:space="preserve"> </w:t>
      </w:r>
      <w:r>
        <w:t xml:space="preserve">cutover I used, if true zero-rollout-time rollback or gradual traffic</w:t>
      </w:r>
      <w:r>
        <w:t xml:space="preserve"> </w:t>
      </w:r>
      <w:r>
        <w:t xml:space="preserve">splitting becomes an actual requirement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1" Target="media/rId11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2026-07-29T19:09:21Z</dcterms:created>
  <dcterms:modified xsi:type="dcterms:W3CDTF">2026-07-29T19:09:21Z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