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15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round-2-task-submission-notes"/>
    <w:p>
      <w:pPr>
        <w:pStyle w:val="Heading1"/>
      </w:pPr>
      <w:r>
        <w:t xml:space="preserve">Round 2 Task Submission — Notes</w:t>
      </w:r>
    </w:p>
    <w:p>
      <w:pPr>
        <w:pStyle w:val="FirstParagraph"/>
      </w:pPr>
      <w:r>
        <w:t xml:space="preserve">This is my write-up for the Round 2 task (CI/CD Pipeline &amp; Automation). Same</w:t>
      </w:r>
      <w:r>
        <w:t xml:space="preserve"> </w:t>
      </w:r>
      <w:r>
        <w:t xml:space="preserve">as last time, the README.md has the full technical reference — this is the</w:t>
      </w:r>
      <w:r>
        <w:t xml:space="preserve"> </w:t>
      </w:r>
      <w:r>
        <w:t xml:space="preserve">walkthrough of what I actually did and why, plus the screenshots.</w:t>
      </w:r>
    </w:p>
    <w:bookmarkStart w:id="9" w:name="what-this-round-adds"/>
    <w:p>
      <w:pPr>
        <w:pStyle w:val="Heading2"/>
      </w:pPr>
      <w:r>
        <w:t xml:space="preserve">What this round adds</w:t>
      </w:r>
    </w:p>
    <w:p>
      <w:pPr>
        <w:pStyle w:val="FirstParagraph"/>
      </w:pPr>
      <w:r>
        <w:t xml:space="preserve">Round 1 was all manual: I built the image myself, pushed it to ECR myself,</w:t>
      </w:r>
      <w:r>
        <w:t xml:space="preserve"> </w:t>
      </w:r>
      <w:r>
        <w:t xml:space="preserve">ran Terraform myself. The point of Round 2 was to take all of that and put</w:t>
      </w:r>
      <w:r>
        <w:t xml:space="preserve"> </w:t>
      </w:r>
      <w:r>
        <w:t xml:space="preserve">it behind a GitHub Actions workflow, so a normal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is the</w:t>
      </w:r>
      <w:r>
        <w:t xml:space="preserve"> </w:t>
      </w:r>
      <w:r>
        <w:t xml:space="preserve">only thing anyone has to do — the pipeline handles testing, building,</w:t>
      </w:r>
      <w:r>
        <w:t xml:space="preserve"> </w:t>
      </w:r>
      <w:r>
        <w:t xml:space="preserve">pushing, and redeploying to EC2 on its own.</w:t>
      </w:r>
    </w:p>
    <w:bookmarkEnd w:id="9"/>
    <w:bookmarkStart w:id="10" w:name="testing-strategy"/>
    <w:p>
      <w:pPr>
        <w:pStyle w:val="Heading2"/>
      </w:pPr>
      <w:r>
        <w:t xml:space="preserve">Testing strategy</w:t>
      </w:r>
    </w:p>
    <w:p>
      <w:pPr>
        <w:pStyle w:val="FirstParagraph"/>
      </w:pPr>
      <w:r>
        <w:t xml:space="preserve">The task asked for at least one of unit tests, linting, or security</w:t>
      </w:r>
      <w:r>
        <w:t xml:space="preserve"> </w:t>
      </w:r>
      <w:r>
        <w:t xml:space="preserve">scanning. I added two — ESLint and a couple of Jest/Supertest tests — since</w:t>
      </w:r>
      <w:r>
        <w:t xml:space="preserve"> </w:t>
      </w:r>
      <w:r>
        <w:t xml:space="preserve">neither takes much effort on an app this small, and they catch different</w:t>
      </w:r>
      <w:r>
        <w:t xml:space="preserve"> </w:t>
      </w:r>
      <w:r>
        <w:t xml:space="preserve">kinds of mistakes. ESLint catches syntax and style problems before the app</w:t>
      </w:r>
      <w:r>
        <w:t xml:space="preserve"> </w:t>
      </w:r>
      <w:r>
        <w:t xml:space="preserve">even runs. The Jest tests actually hit the two routes (</w:t>
      </w:r>
      <w:r>
        <w:rPr>
          <w:rStyle w:val="VerbatimChar"/>
        </w:rPr>
        <w:t xml:space="preserve">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)</w:t>
      </w:r>
      <w:r>
        <w:t xml:space="preserve"> </w:t>
      </w:r>
      <w:r>
        <w:t xml:space="preserve">through Supertest and check the response shape, which matters because the</w:t>
      </w:r>
      <w:r>
        <w:t xml:space="preserve"> </w:t>
      </w:r>
      <w:r>
        <w:t xml:space="preserve">Docker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 </w:t>
      </w:r>
      <w:r>
        <w:t xml:space="preserve">and the deploy job’s own health check both depend on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actually returning what it’s supposed to.</w:t>
      </w:r>
    </w:p>
    <w:p>
      <w:pPr>
        <w:pStyle w:val="BodyText"/>
      </w:pPr>
      <w:r>
        <w:t xml:space="preserve">To make the app testable without spinning up a real server, I split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into two files —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exports the Express app itself, and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just imports it and calls</w:t>
      </w:r>
      <w:r>
        <w:t xml:space="preserve"> </w:t>
      </w:r>
      <w:r>
        <w:rPr>
          <w:rStyle w:val="VerbatimChar"/>
        </w:rPr>
        <w:t xml:space="preserve">.listen()</w:t>
      </w:r>
      <w:r>
        <w:t xml:space="preserve">. Supertest can then hit</w:t>
      </w:r>
      <w:r>
        <w:t xml:space="preserve"> </w:t>
      </w:r>
      <w:r>
        <w:t xml:space="preserve">the app directly in-process without binding a port.</w:t>
      </w:r>
    </w:p>
    <w:p>
      <w:pPr>
        <w:pStyle w:val="BodyText"/>
      </w:pPr>
      <w:r>
        <w:t xml:space="preserve">Both run as a required step before anything gets built:</w:t>
      </w:r>
    </w:p>
    <w:p>
      <w:pPr>
        <w:pStyle w:val="SourceCode"/>
      </w:pPr>
      <w:r>
        <w:rPr>
          <w:rStyle w:val="VerbatimChar"/>
        </w:rPr>
        <w:t xml:space="preserve">npm run lint</w:t>
      </w:r>
      <w:r>
        <w:br/>
      </w:r>
      <w:r>
        <w:rPr>
          <w:rStyle w:val="VerbatimChar"/>
        </w:rPr>
        <w:t xml:space="preserve">npm test</w:t>
      </w:r>
    </w:p>
    <w:p>
      <w:pPr>
        <w:pStyle w:val="FirstParagraph"/>
      </w:pPr>
      <w:r>
        <w:t xml:space="preserve">If either one fails, the workflow stops there — it never reaches the build</w:t>
      </w:r>
      <w:r>
        <w:t xml:space="preserve"> </w:t>
      </w:r>
      <w:r>
        <w:t xml:space="preserve">or deploy jobs, so a broken commit can’t end up running in production.</w:t>
      </w:r>
    </w:p>
    <w:bookmarkEnd w:id="10"/>
    <w:bookmarkStart w:id="14" w:name="the-pipeline-itself"/>
    <w:p>
      <w:pPr>
        <w:pStyle w:val="Heading2"/>
      </w:pPr>
      <w:r>
        <w:t xml:space="preserve">The pipeline itself</w:t>
      </w:r>
    </w:p>
    <w:p>
      <w:pPr>
        <w:pStyle w:val="FirstParagraph"/>
      </w:pPr>
      <w:r>
        <w:t xml:space="preserve">Three jobs, each depending on the last one succeeding: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Lint &amp; test</w:t>
      </w:r>
      <w:r>
        <w:t xml:space="preserve"> </w:t>
      </w:r>
      <w:r>
        <w:t xml:space="preserve">— runs on every push and every pull request.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 &amp; push to ECR</w:t>
      </w:r>
      <w:r>
        <w:t xml:space="preserve"> </w:t>
      </w:r>
      <w:r>
        <w:t xml:space="preserve">— only runs on an actual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(not on</w:t>
      </w:r>
      <w:r>
        <w:t xml:space="preserve"> </w:t>
      </w:r>
      <w:r>
        <w:t xml:space="preserve">PRs). Builds the image with</w:t>
      </w:r>
      <w:r>
        <w:t xml:space="preserve"> </w:t>
      </w:r>
      <w:r>
        <w:rPr>
          <w:rStyle w:val="VerbatimChar"/>
        </w:rPr>
        <w:t xml:space="preserve">docker buildx build --platform linux/amd64</w:t>
      </w:r>
      <w:r>
        <w:t xml:space="preserve"> </w:t>
      </w:r>
      <w:r>
        <w:t xml:space="preserve">and pushes it to ECR under two tags: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and the commit SHA. Tagging</w:t>
      </w:r>
      <w:r>
        <w:t xml:space="preserve"> </w:t>
      </w:r>
      <w:r>
        <w:t xml:space="preserve">with the SHA means I can always tell exactly which commit is running on</w:t>
      </w:r>
      <w:r>
        <w:t xml:space="preserve"> </w:t>
      </w:r>
      <w:r>
        <w:t xml:space="preserve">the server, instead of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just silently pointing at whatever was</w:t>
      </w:r>
      <w:r>
        <w:t xml:space="preserve"> </w:t>
      </w:r>
      <w:r>
        <w:t xml:space="preserve">pushed most recently.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Deploy to EC2</w:t>
      </w:r>
      <w:r>
        <w:t xml:space="preserve"> </w:t>
      </w:r>
      <w:r>
        <w:t xml:space="preserve">— SSHes into the instance, pulls the SHA-tagged image,</w:t>
      </w:r>
      <w:r>
        <w:t xml:space="preserve"> </w:t>
      </w:r>
      <w:r>
        <w:t xml:space="preserve">removes the old container, starts the new one, and checks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before finishing.</w:t>
      </w:r>
    </w:p>
    <w:p>
      <w:pPr>
        <w:pStyle w:val="FirstParagraph"/>
      </w:pPr>
      <w:r>
        <w:t xml:space="preserve">Here’s a run where all three passed:</w:t>
      </w:r>
    </w:p>
    <w:p>
      <w:pPr>
        <w:pStyle w:val="CaptionedFigure"/>
      </w:pPr>
      <w:r>
        <w:drawing>
          <wp:inline>
            <wp:extent cx="5334000" cy="1587034"/>
            <wp:effectExtent b="0" l="0" r="0" t="0"/>
            <wp:docPr descr="Workflow run showing all three jobs green" title="" id="12" name="Picture"/>
            <a:graphic>
              <a:graphicData uri="http://schemas.openxmlformats.org/drawingml/2006/picture">
                <pic:pic>
                  <pic:nvPicPr>
                    <pic:cNvPr descr="docs/images/workflow_task2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7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Workflow run showing all three jobs green</w:t>
      </w:r>
    </w:p>
    <w:bookmarkEnd w:id="14"/>
    <w:bookmarkStart w:id="21" w:name="Xe9b04f91cfb490bb74cb9b021ce8b20793a6294"/>
    <w:p>
      <w:pPr>
        <w:pStyle w:val="Heading2"/>
      </w:pPr>
      <w:r>
        <w:t xml:space="preserve">Monitoring / how I checked it actually worked</w:t>
      </w:r>
    </w:p>
    <w:p>
      <w:pPr>
        <w:pStyle w:val="FirstParagraph"/>
      </w:pPr>
      <w:r>
        <w:t xml:space="preserve">A few different signals, not just</w:t>
      </w:r>
      <w:r>
        <w:t xml:space="preserve"> </w:t>
      </w:r>
      <w:r>
        <w:t xml:space="preserve">“the workflow went green”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docker inspect</w:t>
      </w:r>
      <w:r>
        <w:t xml:space="preserve">’s health status on the instance reports</w:t>
      </w:r>
      <w:r>
        <w:t xml:space="preserve"> </w:t>
      </w:r>
      <w:r>
        <w:rPr>
          <w:rStyle w:val="VerbatimChar"/>
        </w:rPr>
        <w:t xml:space="preserve">healthy</w:t>
      </w:r>
    </w:p>
    <w:p>
      <w:pPr>
        <w:pStyle w:val="Compact"/>
        <w:numPr>
          <w:ilvl w:val="0"/>
          <w:numId w:val="1002"/>
        </w:numPr>
      </w:pPr>
      <w:r>
        <w:t xml:space="preserve">The container’s own logs show a clean startup (</w:t>
      </w:r>
      <w:r>
        <w:rPr>
          <w:rStyle w:val="VerbatimChar"/>
        </w:rPr>
        <w:t xml:space="preserve">App listening on port 3000</w:t>
      </w:r>
      <w:r>
        <w:t xml:space="preserve">, no crash loop)</w:t>
      </w:r>
    </w:p>
    <w:p>
      <w:pPr>
        <w:pStyle w:val="Compact"/>
        <w:numPr>
          <w:ilvl w:val="0"/>
          <w:numId w:val="1002"/>
        </w:numPr>
      </w:pPr>
      <w:r>
        <w:t xml:space="preserve">The container ID changes after each deploy, which is a simple way to</w:t>
      </w:r>
      <w:r>
        <w:t xml:space="preserve"> </w:t>
      </w:r>
      <w:r>
        <w:t xml:space="preserve">confirm the box is actually running a freshly-deployed container and not</w:t>
      </w:r>
      <w:r>
        <w:t xml:space="preserve"> </w:t>
      </w:r>
      <w:r>
        <w:t xml:space="preserve">something left over from before</w:t>
      </w:r>
    </w:p>
    <w:p>
      <w:pPr>
        <w:pStyle w:val="Compact"/>
        <w:numPr>
          <w:ilvl w:val="0"/>
          <w:numId w:val="1002"/>
        </w:numPr>
      </w:pPr>
      <w:r>
        <w:t xml:space="preserve">Hitting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from outside the box, after deployment, to confirm it’s</w:t>
      </w:r>
      <w:r>
        <w:t xml:space="preserve"> </w:t>
      </w:r>
      <w:r>
        <w:t xml:space="preserve">reachable over the network and not just responding to localhost on the</w:t>
      </w:r>
      <w:r>
        <w:t xml:space="preserve"> </w:t>
      </w:r>
      <w:r>
        <w:t xml:space="preserve">instance itself</w:t>
      </w:r>
    </w:p>
    <w:p>
      <w:pPr>
        <w:pStyle w:val="CaptionedFigure"/>
      </w:pPr>
      <w:r>
        <w:drawing>
          <wp:inline>
            <wp:extent cx="5334000" cy="704557"/>
            <wp:effectExtent b="0" l="0" r="0" t="0"/>
            <wp:docPr descr="Health endpoint responding after the automated deploy" title="" id="16" name="Picture"/>
            <a:graphic>
              <a:graphicData uri="http://schemas.openxmlformats.org/drawingml/2006/picture">
                <pic:pic>
                  <pic:nvPicPr>
                    <pic:cNvPr descr="docs/images/health_task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4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Health endpoint responding after the automated deploy</w:t>
      </w:r>
    </w:p>
    <w:p>
      <w:pPr>
        <w:pStyle w:val="BodyText"/>
      </w:pPr>
      <w:r>
        <w:t xml:space="preserve">And the image in ECR with the new commit-SHA tag next to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:</w:t>
      </w:r>
    </w:p>
    <w:p>
      <w:pPr>
        <w:pStyle w:val="CaptionedFigure"/>
      </w:pPr>
      <w:r>
        <w:drawing>
          <wp:inline>
            <wp:extent cx="5334000" cy="1154115"/>
            <wp:effectExtent b="0" l="0" r="0" t="0"/>
            <wp:docPr descr="ECR showing the image tagged with the commit SHA and latest" title="" id="19" name="Picture"/>
            <a:graphic>
              <a:graphicData uri="http://schemas.openxmlformats.org/drawingml/2006/picture">
                <pic:pic>
                  <pic:nvPicPr>
                    <pic:cNvPr descr="docs/images/ecr_task2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ECR showing the image tagged with the commit SHA and latest</w:t>
      </w:r>
    </w:p>
    <w:bookmarkEnd w:id="21"/>
    <w:bookmarkStart w:id="22" w:name="Xe532a4159ae7e06d9a47bb3fc5034136082a32b"/>
    <w:p>
      <w:pPr>
        <w:pStyle w:val="Heading2"/>
      </w:pPr>
      <w:r>
        <w:t xml:space="preserve">The SSH access problem, and how I solved it</w:t>
      </w:r>
    </w:p>
    <w:p>
      <w:pPr>
        <w:pStyle w:val="FirstParagraph"/>
      </w:pPr>
      <w:r>
        <w:t xml:space="preserve">This was the part I spent the most time thinking about. GitHub-hosted</w:t>
      </w:r>
      <w:r>
        <w:t xml:space="preserve"> </w:t>
      </w:r>
      <w:r>
        <w:t xml:space="preserve">runners don’t come from a small, predictable IP range — there’s no single</w:t>
      </w:r>
      <w:r>
        <w:t xml:space="preserve"> </w:t>
      </w:r>
      <w:r>
        <w:t xml:space="preserve">CIDR block I could add to the security group once and be done with it. The</w:t>
      </w:r>
      <w:r>
        <w:t xml:space="preserve"> </w:t>
      </w:r>
      <w:r>
        <w:t xml:space="preserve">easy way out would’ve been to just open port 22 to the whole internet, but</w:t>
      </w:r>
      <w:r>
        <w:t xml:space="preserve"> </w:t>
      </w:r>
      <w:r>
        <w:t xml:space="preserve">that felt wrong to hand in as</w:t>
      </w:r>
      <w:r>
        <w:t xml:space="preserve"> </w:t>
      </w:r>
      <w:r>
        <w:t xml:space="preserve">“the answer.”</w:t>
      </w:r>
    </w:p>
    <w:p>
      <w:pPr>
        <w:pStyle w:val="BodyText"/>
      </w:pPr>
      <w:r>
        <w:t xml:space="preserve">What I did instead: the deploy job looks up its own public IP right at the</w:t>
      </w:r>
      <w:r>
        <w:t xml:space="preserve"> </w:t>
      </w:r>
      <w:r>
        <w:t xml:space="preserve">start of the run, adds a security-group rule scoped to just that one IP for</w:t>
      </w:r>
      <w:r>
        <w:t xml:space="preserve"> </w:t>
      </w:r>
      <w:r>
        <w:t xml:space="preserve">just port 22, does the SSH deploy, and then removes that rule again in a</w:t>
      </w:r>
      <w:r>
        <w:t xml:space="preserve"> </w:t>
      </w:r>
      <w:r>
        <w:t xml:space="preserve">cleanup step. That cleanup step is marked</w:t>
      </w:r>
      <w:r>
        <w:t xml:space="preserve"> </w:t>
      </w:r>
      <w:r>
        <w:rPr>
          <w:rStyle w:val="VerbatimChar"/>
        </w:rPr>
        <w:t xml:space="preserve">if: always()</w:t>
      </w:r>
      <w:r>
        <w:t xml:space="preserve">, so it still runs</w:t>
      </w:r>
      <w:r>
        <w:t xml:space="preserve"> </w:t>
      </w:r>
      <w:r>
        <w:t xml:space="preserve">and closes the door even if the deploy itself fails partway through — the</w:t>
      </w:r>
      <w:r>
        <w:t xml:space="preserve"> </w:t>
      </w:r>
      <w:r>
        <w:t xml:space="preserve">instance isn’t left with an open port because something crashed mid-run.</w:t>
      </w:r>
    </w:p>
    <w:bookmarkEnd w:id="22"/>
    <w:bookmarkStart w:id="23" w:name="terraform-changes"/>
    <w:p>
      <w:pPr>
        <w:pStyle w:val="Heading2"/>
      </w:pPr>
      <w:r>
        <w:t xml:space="preserve">Terraform changes</w:t>
      </w:r>
    </w:p>
    <w:p>
      <w:pPr>
        <w:pStyle w:val="FirstParagraph"/>
      </w:pPr>
      <w:r>
        <w:t xml:space="preserve">The task specifically asked for Terraform to manage the SSH key pair</w:t>
      </w:r>
      <w:r>
        <w:t xml:space="preserve"> </w:t>
      </w:r>
      <w:r>
        <w:t xml:space="preserve">instead of one created by hand. In Round 1 I’d created the key pair directly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aws ec2 create-key-pair</w:t>
      </w:r>
      <w:r>
        <w:t xml:space="preserve"> </w:t>
      </w:r>
      <w:r>
        <w:t xml:space="preserve">on the CLI. For Round 2 I replaced that with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tls_private_key</w:t>
      </w:r>
      <w:r>
        <w:t xml:space="preserve"> </w:t>
      </w:r>
      <w:r>
        <w:t xml:space="preserve">resource feeding into an</w:t>
      </w:r>
      <w:r>
        <w:t xml:space="preserve"> </w:t>
      </w:r>
      <w:r>
        <w:rPr>
          <w:rStyle w:val="VerbatimChar"/>
        </w:rPr>
        <w:t xml:space="preserve">aws_key_pair</w:t>
      </w:r>
      <w:r>
        <w:t xml:space="preserve">, and exposed the</w:t>
      </w:r>
      <w:r>
        <w:t xml:space="preserve"> </w:t>
      </w:r>
      <w:r>
        <w:t xml:space="preserve">private key as a (sensitive) Terraform output. That output is what gets</w:t>
      </w:r>
      <w:r>
        <w:t xml:space="preserve"> </w:t>
      </w:r>
      <w:r>
        <w:t xml:space="preserve">copied into the</w:t>
      </w:r>
      <w:r>
        <w:t xml:space="preserve"> </w:t>
      </w:r>
      <w:r>
        <w:rPr>
          <w:rStyle w:val="VerbatimChar"/>
        </w:rPr>
        <w:t xml:space="preserve">EC2_SSH_KEY</w:t>
      </w:r>
      <w:r>
        <w:t xml:space="preserve"> </w:t>
      </w:r>
      <w:r>
        <w:t xml:space="preserve">GitHub Secret.</w:t>
      </w:r>
    </w:p>
    <w:p>
      <w:pPr>
        <w:pStyle w:val="BodyText"/>
      </w:pPr>
      <w:r>
        <w:t xml:space="preserve">This turned out to matter more than I expected — with the manual approach,</w:t>
      </w:r>
      <w:r>
        <w:t xml:space="preserve"> </w:t>
      </w:r>
      <w:r>
        <w:t xml:space="preserve">if the instance ever got recreated, there was no built-in way to know</w:t>
      </w:r>
      <w:r>
        <w:t xml:space="preserve"> </w:t>
      </w:r>
      <w:r>
        <w:t xml:space="preserve">whether the</w:t>
      </w:r>
      <w:r>
        <w:t xml:space="preserve"> </w:t>
      </w:r>
      <w:r>
        <w:rPr>
          <w:rStyle w:val="VerbatimChar"/>
        </w:rPr>
        <w:t xml:space="preserve">.pem</w:t>
      </w:r>
      <w:r>
        <w:t xml:space="preserve"> </w:t>
      </w:r>
      <w:r>
        <w:t xml:space="preserve">file sitting on my laptop still matched the key the new</w:t>
      </w:r>
      <w:r>
        <w:t xml:space="preserve"> </w:t>
      </w:r>
      <w:r>
        <w:t xml:space="preserve">instance actually trusted. With Terraform generating it, the secret and the</w:t>
      </w:r>
      <w:r>
        <w:t xml:space="preserve"> </w:t>
      </w:r>
      <w:r>
        <w:t xml:space="preserve">instance can’t silently drift apart, since they both come from the same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.</w:t>
      </w:r>
    </w:p>
    <w:bookmarkEnd w:id="23"/>
    <w:bookmarkStart w:id="24" w:name="challenges-i-ran-into"/>
    <w:p>
      <w:pPr>
        <w:pStyle w:val="Heading2"/>
      </w:pPr>
      <w:r>
        <w:t xml:space="preserve">Challenges I ran into</w:t>
      </w:r>
    </w:p>
    <w:p>
      <w:pPr>
        <w:pStyle w:val="FirstParagraph"/>
      </w:pPr>
      <w:r>
        <w:t xml:space="preserve">The security group one above was the main design challenge. A couple of</w:t>
      </w:r>
      <w:r>
        <w:t xml:space="preserve"> </w:t>
      </w:r>
      <w:r>
        <w:t xml:space="preserve">smaller ones came up while actually getting this working:</w:t>
      </w:r>
    </w:p>
    <w:p>
      <w:pPr>
        <w:pStyle w:val="Compact"/>
        <w:numPr>
          <w:ilvl w:val="0"/>
          <w:numId w:val="1003"/>
        </w:numPr>
      </w:pPr>
      <w:r>
        <w:t xml:space="preserve">The first access token I used to push didn’t have the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scope,</w:t>
      </w:r>
      <w:r>
        <w:t xml:space="preserve"> </w:t>
      </w:r>
      <w:r>
        <w:t xml:space="preserve">and GitHub specifically blocks pushes that touch</w:t>
      </w:r>
      <w:r>
        <w:t xml:space="preserve"> </w:t>
      </w:r>
      <w:r>
        <w:rPr>
          <w:rStyle w:val="VerbatimChar"/>
        </w:rPr>
        <w:t xml:space="preserve">.github/workflows/*</w:t>
      </w:r>
      <w:r>
        <w:t xml:space="preserve"> </w:t>
      </w:r>
      <w:r>
        <w:t xml:space="preserve">without it — a plain</w:t>
      </w:r>
      <w:r>
        <w:t xml:space="preserve"> </w:t>
      </w:r>
      <w:r>
        <w:rPr>
          <w:rStyle w:val="VerbatimChar"/>
        </w:rPr>
        <w:t xml:space="preserve">repo</w:t>
      </w:r>
      <w:r>
        <w:t xml:space="preserve"> </w:t>
      </w:r>
      <w:r>
        <w:t xml:space="preserve">scope isn’t enough for that one path. Had to</w:t>
      </w:r>
      <w:r>
        <w:t xml:space="preserve"> </w:t>
      </w:r>
      <w:r>
        <w:t xml:space="preserve">regenerate the token with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added.</w:t>
      </w:r>
    </w:p>
    <w:p>
      <w:pPr>
        <w:pStyle w:val="Compact"/>
        <w:numPr>
          <w:ilvl w:val="0"/>
          <w:numId w:val="1003"/>
        </w:numPr>
      </w:pPr>
      <w:r>
        <w:t xml:space="preserve">The AWS access key used for</w:t>
      </w:r>
      <w:r>
        <w:t xml:space="preserve"> </w:t>
      </w:r>
      <w:r>
        <w:rPr>
          <w:rStyle w:val="VerbatimChar"/>
        </w:rPr>
        <w:t xml:space="preserve">AWS_ACCESS_KEY_ID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AWS_SECRET_ACCESS_KEY</w:t>
      </w:r>
      <w:r>
        <w:t xml:space="preserve"> </w:t>
      </w:r>
      <w:r>
        <w:t xml:space="preserve">needed to come from an account with MFA enabled, which meant there was a</w:t>
      </w:r>
      <w:r>
        <w:t xml:space="preserve"> </w:t>
      </w:r>
      <w:r>
        <w:t xml:space="preserve">bit of a wait between having everything else ready and actually getting a</w:t>
      </w:r>
      <w:r>
        <w:t xml:space="preserve"> </w:t>
      </w:r>
      <w:r>
        <w:t xml:space="preserve">full green run — the</w:t>
      </w:r>
      <w:r>
        <w:t xml:space="preserve"> </w:t>
      </w:r>
      <w:r>
        <w:rPr>
          <w:rStyle w:val="VerbatimChar"/>
        </w:rPr>
        <w:t xml:space="preserve">build-and-push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jobs both failed with</w:t>
      </w:r>
      <w:r>
        <w:t xml:space="preserve"> </w:t>
      </w:r>
      <w:r>
        <w:t xml:space="preserve">“Credentials could not be loaded”</w:t>
      </w:r>
      <w:r>
        <w:t xml:space="preserve"> </w:t>
      </w:r>
      <w:r>
        <w:t xml:space="preserve">until those two secrets existed. Not a</w:t>
      </w:r>
      <w:r>
        <w:t xml:space="preserve"> </w:t>
      </w:r>
      <w:r>
        <w:t xml:space="preserve">bug, just a sequencing thing.</w:t>
      </w:r>
    </w:p>
    <w:p>
      <w:pPr>
        <w:pStyle w:val="Compact"/>
        <w:numPr>
          <w:ilvl w:val="0"/>
          <w:numId w:val="1003"/>
        </w:numPr>
      </w:pPr>
      <w:r>
        <w:t xml:space="preserve">Reused the Round 1 lesson about</w:t>
      </w:r>
      <w:r>
        <w:t xml:space="preserve"> </w:t>
      </w:r>
      <w:r>
        <w:rPr>
          <w:rStyle w:val="VerbatimChar"/>
        </w:rPr>
        <w:t xml:space="preserve">arm64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amd64</w:t>
      </w:r>
      <w:r>
        <w:t xml:space="preserve"> </w:t>
      </w:r>
      <w:r>
        <w:t xml:space="preserve">here too — the build</w:t>
      </w:r>
      <w:r>
        <w:t xml:space="preserve"> </w:t>
      </w:r>
      <w:r>
        <w:t xml:space="preserve">step in the workflow always passes</w:t>
      </w:r>
      <w:r>
        <w:t xml:space="preserve"> </w:t>
      </w:r>
      <w:r>
        <w:rPr>
          <w:rStyle w:val="VerbatimChar"/>
        </w:rPr>
        <w:t xml:space="preserve">--platform linux/amd64</w:t>
      </w:r>
      <w:r>
        <w:t xml:space="preserve"> </w:t>
      </w:r>
      <w:r>
        <w:t xml:space="preserve">explicitly,</w:t>
      </w:r>
      <w:r>
        <w:t xml:space="preserve"> </w:t>
      </w:r>
      <w:r>
        <w:t xml:space="preserve">same reason as before: the EC2 instance is a standard x86_64 box, and</w:t>
      </w:r>
      <w:r>
        <w:t xml:space="preserve"> </w:t>
      </w:r>
      <w:r>
        <w:t xml:space="preserve">Docker images aren’t portable across CPU architectures by default.</w:t>
      </w:r>
    </w:p>
    <w:bookmarkEnd w:id="24"/>
    <w:bookmarkStart w:id="25" w:name="what-id-improve-given-more-time"/>
    <w:p>
      <w:pPr>
        <w:pStyle w:val="Heading2"/>
      </w:pPr>
      <w:r>
        <w:t xml:space="preserve">What I’d improve given more time</w:t>
      </w:r>
    </w:p>
    <w:p>
      <w:pPr>
        <w:pStyle w:val="Compact"/>
        <w:numPr>
          <w:ilvl w:val="0"/>
          <w:numId w:val="1004"/>
        </w:numPr>
      </w:pPr>
      <w:r>
        <w:t xml:space="preserve">Right now a failed deploy doesn’t automatically roll back to the previous</w:t>
      </w:r>
      <w:r>
        <w:t xml:space="preserve"> </w:t>
      </w:r>
      <w:r>
        <w:t xml:space="preserve">image — you’d have to notice and redeploy the last-known-good SHA by hand.</w:t>
      </w:r>
      <w:r>
        <w:t xml:space="preserve"> </w:t>
      </w:r>
      <w:r>
        <w:t xml:space="preserve">A rollback step (or blue/green deployment, which the task called out as</w:t>
      </w:r>
      <w:r>
        <w:t xml:space="preserve"> </w:t>
      </w:r>
      <w:r>
        <w:t xml:space="preserve">optional) would be the natural next thing to add.</w:t>
      </w:r>
    </w:p>
    <w:p>
      <w:pPr>
        <w:pStyle w:val="Compact"/>
        <w:numPr>
          <w:ilvl w:val="0"/>
          <w:numId w:val="1004"/>
        </w:numPr>
      </w:pPr>
      <w:r>
        <w:t xml:space="preserve">Logs currently live on the instance itself and in the GitHub Actions run</w:t>
      </w:r>
      <w:r>
        <w:t xml:space="preserve"> </w:t>
      </w:r>
      <w:r>
        <w:t xml:space="preserve">history. Shipping them to CloudWatch would make them easier to search</w:t>
      </w:r>
      <w:r>
        <w:t xml:space="preserve"> </w:t>
      </w:r>
      <w:r>
        <w:t xml:space="preserve">after the fact instead of having to SSH in.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15" Target="media/rId15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2026-07-24T21:33:30Z</dcterms:created>
  <dcterms:modified xsi:type="dcterms:W3CDTF">2026-07-24T21:33:30Z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