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rFonts w:hint="eastAsia"/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B38E8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0402374"/>
      <w:bookmarkStart w:id="11" w:name="_Toc250450168"/>
      <w:bookmarkStart w:id="12" w:name="_Toc225579644"/>
      <w:bookmarkStart w:id="13" w:name="_Toc67224660"/>
      <w:r>
        <w:t xml:space="preserve">1.2.1 </w:t>
      </w:r>
      <w:r>
        <w:t>硬件环境</w:t>
      </w:r>
      <w:bookmarkEnd w:id="11"/>
      <w:bookmarkEnd w:id="12"/>
      <w:bookmarkEnd w:id="13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0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  <w:bookmarkStart w:id="24" w:name="_GoBack"/>
      <w:bookmarkEnd w:id="24"/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Pr="00C90797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Pr="00C90797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Pr="00C90797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Pr="00C90797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3E4F8E" w:rsidRPr="00C90797" w:rsidRDefault="00D3750E" w:rsidP="003E4F8E">
      <w:pPr>
        <w:jc w:val="center"/>
      </w:pPr>
      <w:bookmarkStart w:id="25" w:name="_Toc225579651"/>
      <w:bookmarkStart w:id="26" w:name="_Toc250450175"/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7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5"/>
      <w:bookmarkEnd w:id="26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7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8" w:name="_Toc225579652"/>
      <w:bookmarkStart w:id="29" w:name="_Toc250450176"/>
      <w:bookmarkStart w:id="30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8"/>
      <w:bookmarkEnd w:id="29"/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F034C3" w:rsidRPr="00C90797" w:rsidRDefault="00586335" w:rsidP="00137FF5">
      <w:pPr>
        <w:adjustRightInd w:val="0"/>
        <w:snapToGrid w:val="0"/>
        <w:spacing w:line="300" w:lineRule="auto"/>
        <w:ind w:firstLineChars="200" w:firstLine="482"/>
        <w:rPr>
          <w:b/>
          <w:bCs/>
          <w:color w:val="0033CC"/>
        </w:rPr>
      </w:pPr>
      <w:r w:rsidRPr="00C90797">
        <w:rPr>
          <w:b/>
          <w:bCs/>
          <w:color w:val="0033CC"/>
        </w:rPr>
        <w:t>3.1</w:t>
      </w:r>
      <w:r w:rsidRPr="00C90797">
        <w:rPr>
          <w:b/>
          <w:bCs/>
          <w:color w:val="0033CC"/>
        </w:rPr>
        <w:t>提示：在</w:t>
      </w:r>
      <w:proofErr w:type="spellStart"/>
      <w:r w:rsidRPr="00C90797">
        <w:rPr>
          <w:b/>
          <w:bCs/>
          <w:color w:val="0033CC"/>
        </w:rPr>
        <w:t>linux</w:t>
      </w:r>
      <w:proofErr w:type="spellEnd"/>
      <w:r w:rsidRPr="00C90797">
        <w:rPr>
          <w:b/>
          <w:bCs/>
          <w:color w:val="0033CC"/>
        </w:rPr>
        <w:t>和</w:t>
      </w:r>
      <w:r w:rsidRPr="00C90797">
        <w:rPr>
          <w:b/>
          <w:bCs/>
          <w:color w:val="0033CC"/>
        </w:rPr>
        <w:t>windows</w:t>
      </w:r>
      <w:r w:rsidRPr="00C90797">
        <w:rPr>
          <w:b/>
          <w:bCs/>
          <w:color w:val="0033CC"/>
        </w:rPr>
        <w:t>两种平台下，用两种编译器观察。不限定非得是</w:t>
      </w:r>
      <w:proofErr w:type="spellStart"/>
      <w:r w:rsidRPr="00C90797">
        <w:rPr>
          <w:b/>
          <w:bCs/>
          <w:color w:val="0033CC"/>
        </w:rPr>
        <w:t>Codeblock</w:t>
      </w:r>
      <w:proofErr w:type="spellEnd"/>
    </w:p>
    <w:p w:rsidR="00D5102C" w:rsidRPr="00C90797" w:rsidRDefault="006C3168" w:rsidP="00137FF5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</w:p>
    <w:p w:rsidR="00425377" w:rsidRPr="00C90797" w:rsidRDefault="00425377" w:rsidP="00137FF5">
      <w:pPr>
        <w:adjustRightInd w:val="0"/>
        <w:snapToGrid w:val="0"/>
        <w:spacing w:line="300" w:lineRule="auto"/>
        <w:ind w:firstLineChars="200" w:firstLine="480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Pr="00C90797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输出的值：截图</w:t>
      </w:r>
      <w:r w:rsidRPr="00C90797">
        <w:t>1</w:t>
      </w:r>
    </w:p>
    <w:p w:rsidR="006C3168" w:rsidRPr="00C90797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：截图</w:t>
      </w:r>
      <w:r w:rsidR="00201C6F" w:rsidRPr="00C90797">
        <w:t>2</w:t>
      </w:r>
      <w:r w:rsidR="00201C6F" w:rsidRPr="00C90797">
        <w:t>，标注说明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lastRenderedPageBreak/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0"/>
      <w:headerReference w:type="default" r:id="rId11"/>
      <w:footerReference w:type="default" r:id="rId1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8E8" w:rsidRDefault="004B38E8">
      <w:r>
        <w:separator/>
      </w:r>
    </w:p>
  </w:endnote>
  <w:endnote w:type="continuationSeparator" w:id="0">
    <w:p w:rsidR="004B38E8" w:rsidRDefault="004B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8E8" w:rsidRDefault="004B38E8">
      <w:r>
        <w:separator/>
      </w:r>
    </w:p>
  </w:footnote>
  <w:footnote w:type="continuationSeparator" w:id="0">
    <w:p w:rsidR="004B38E8" w:rsidRDefault="004B3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5D2"/>
    <w:rsid w:val="00220B02"/>
    <w:rsid w:val="00220EB9"/>
    <w:rsid w:val="00220FD7"/>
    <w:rsid w:val="00220FEA"/>
    <w:rsid w:val="00221EA8"/>
    <w:rsid w:val="0022476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377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8E6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542CAF7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316C8-3B3C-4E03-8DD1-E8596DAF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1107</Words>
  <Characters>6312</Characters>
  <Application>Microsoft Office Word</Application>
  <DocSecurity>0</DocSecurity>
  <Lines>52</Lines>
  <Paragraphs>14</Paragraphs>
  <ScaleCrop>false</ScaleCrop>
  <Company>sparkle</Company>
  <LinksUpToDate>false</LinksUpToDate>
  <CharactersWithSpaces>7405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12</cp:revision>
  <cp:lastPrinted>2010-02-27T00:38:00Z</cp:lastPrinted>
  <dcterms:created xsi:type="dcterms:W3CDTF">2021-03-31T12:07:00Z</dcterms:created>
  <dcterms:modified xsi:type="dcterms:W3CDTF">2021-04-01T16:09:00Z</dcterms:modified>
</cp:coreProperties>
</file>