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i w:val="0"/>
          <w:color w:val="1A202C"/>
          <w:sz w:val="32"/>
        </w:rPr>
        <w:t>Evaluating Income-Related Performance Gaps in Vision-Language Models</w:t>
      </w:r>
    </w:p>
    <w:p>
      <w:pPr>
        <w:spacing w:before="0" w:after="80"/>
        <w:jc w:val="center"/>
        <w:pBdr>
          <w:bottom w:val="single" w:sz="5" w:space="3" w:color="B8C2CC"/>
        </w:pBdr>
      </w:pPr>
      <w:r>
        <w:rPr>
          <w:rFonts w:ascii="Arial" w:hAnsi="Arial"/>
          <w:b/>
          <w:i w:val="0"/>
          <w:color w:val="586069"/>
          <w:sz w:val="17"/>
        </w:rPr>
        <w:t>Computer Vision Course Project | Research Proposal | Domain: Multimodal AI Systems</w:t>
      </w:r>
    </w:p>
    <w:p>
      <w:pPr>
        <w:sectPr>
          <w:pgSz w:w="11906" w:h="16838"/>
          <w:pgMar w:top="749" w:right="835" w:bottom="691" w:left="835" w:header="288" w:footer="288" w:gutter="0"/>
          <w:cols w:space="360" w:num="1" w:equalWidth="1"/>
          <w:docGrid w:linePitch="360"/>
        </w:sectPr>
      </w:pPr>
    </w:p>
    <w:p>
      <w:pPr>
        <w:pStyle w:val="Heading2"/>
        <w:keepNext/>
      </w:pPr>
      <w:r>
        <w:t>Chosen Domain</w:t>
      </w:r>
    </w:p>
    <w:p>
      <w:pPr/>
      <w:r>
        <w:rPr>
          <w:rFonts w:ascii="Arial" w:hAnsi="Arial"/>
          <w:b w:val="0"/>
          <w:i w:val="0"/>
          <w:color w:val="1A202C"/>
          <w:sz w:val="18"/>
        </w:rPr>
        <w:t>Multimodal AI Systems, focusing on pretrained vision-language models for zero-shot household-object classification and image captioning.</w:t>
      </w:r>
    </w:p>
    <w:p>
      <w:pPr>
        <w:pStyle w:val="Heading2"/>
        <w:keepNext/>
      </w:pPr>
      <w:r>
        <w:t>Problem Statement</w:t>
      </w:r>
    </w:p>
    <w:p>
      <w:pPr/>
      <w:r>
        <w:rPr>
          <w:rFonts w:ascii="Arial" w:hAnsi="Arial"/>
          <w:b w:val="0"/>
          <w:i w:val="0"/>
          <w:color w:val="1A202C"/>
          <w:sz w:val="18"/>
        </w:rPr>
        <w:t>Everyday objects can look very different across homes because of materials, design, and living conditions. A model familiar with one visual form of a stove, roof, or light source may fail on another. This project tests that robustness problem under a controlled design: CLIP performs six-way zero-shot classification and BLIP generates captions for the same balanced set of household images. Performance will be compared across income quartiles without assuming in advance that a gap exists.</w:t>
      </w:r>
    </w:p>
    <w:p>
      <w:pPr>
        <w:pStyle w:val="Heading2"/>
        <w:keepNext/>
      </w:pPr>
      <w:r>
        <w:t>Motivation</w:t>
      </w:r>
    </w:p>
    <w:p>
      <w:pPr>
        <w:pStyle w:val="ProposalBullet"/>
        <w:numPr>
          <w:ilvl w:val="0"/>
          <w:numId w:val="10"/>
        </w:numPr>
      </w:pPr>
      <w:r>
        <w:rPr>
          <w:rFonts w:ascii="Arial" w:hAnsi="Arial"/>
          <w:b w:val="0"/>
          <w:i w:val="0"/>
          <w:color w:val="1A202C"/>
          <w:sz w:val="17"/>
        </w:rPr>
        <w:t>Uneven recognition can affect image search, accessibility tools, and other applications that rely on general-purpose visual models.</w:t>
      </w:r>
    </w:p>
    <w:p>
      <w:pPr>
        <w:pStyle w:val="ProposalBullet"/>
        <w:numPr>
          <w:ilvl w:val="0"/>
          <w:numId w:val="10"/>
        </w:numPr>
      </w:pPr>
      <w:r>
        <w:rPr>
          <w:rFonts w:ascii="Arial" w:hAnsi="Arial"/>
          <w:b w:val="0"/>
          <w:i w:val="0"/>
          <w:color w:val="1A202C"/>
          <w:sz w:val="17"/>
        </w:rPr>
        <w:t>Balancing every object category across income groups separates the main comparison from simple class-frequency differences.</w:t>
      </w:r>
    </w:p>
    <w:p>
      <w:pPr>
        <w:pStyle w:val="ProposalBullet"/>
        <w:numPr>
          <w:ilvl w:val="0"/>
          <w:numId w:val="10"/>
        </w:numPr>
      </w:pPr>
      <w:r>
        <w:rPr>
          <w:rFonts w:ascii="Arial" w:hAnsi="Arial"/>
          <w:b w:val="0"/>
          <w:i w:val="0"/>
          <w:color w:val="1A202C"/>
          <w:sz w:val="17"/>
        </w:rPr>
        <w:t>Pretrained models and a fixed small subset make the study feasible while still supporting quantitative and qualitative analysis.</w:t>
      </w:r>
    </w:p>
    <w:p>
      <w:pPr>
        <w:pStyle w:val="Heading2"/>
        <w:keepNext/>
      </w:pPr>
      <w:r>
        <w:t>Research Question</w:t>
      </w:r>
    </w:p>
    <w:p>
      <w:pPr/>
      <w:r>
        <w:rPr>
          <w:rFonts w:ascii="Arial" w:hAnsi="Arial"/>
          <w:b/>
          <w:i w:val="0"/>
          <w:color w:val="1A202C"/>
          <w:sz w:val="18"/>
        </w:rPr>
        <w:t xml:space="preserve">Primary: </w:t>
      </w:r>
      <w:r>
        <w:rPr>
          <w:rFonts w:ascii="Arial" w:hAnsi="Arial"/>
          <w:b w:val="0"/>
          <w:i w:val="0"/>
          <w:color w:val="1A202C"/>
          <w:sz w:val="18"/>
        </w:rPr>
        <w:t xml:space="preserve">For six category-balanced household-object concepts, how do CLIP top-1 accuracy and BLIP object-caption correctness vary from the lowest (Q1) to highest (Q4) income quartile? </w:t>
      </w:r>
      <w:r>
        <w:rPr>
          <w:rFonts w:ascii="Arial" w:hAnsi="Arial"/>
          <w:b/>
          <w:i w:val="0"/>
          <w:color w:val="1A202C"/>
          <w:sz w:val="18"/>
        </w:rPr>
        <w:t xml:space="preserve">Secondary: </w:t>
      </w:r>
      <w:r>
        <w:rPr>
          <w:rFonts w:ascii="Arial" w:hAnsi="Arial"/>
          <w:b w:val="0"/>
          <w:i w:val="0"/>
          <w:color w:val="1A202C"/>
          <w:sz w:val="18"/>
        </w:rPr>
        <w:t>Does the label-free prefix "the main household object in this image is" change BLIP's overall and Q1 correctness without increasing hallucination?</w:t>
      </w:r>
    </w:p>
    <w:p>
      <w:pPr>
        <w:pStyle w:val="Heading2"/>
        <w:keepNext/>
      </w:pPr>
      <w:r>
        <w:t>Dataset or Data Source</w:t>
      </w:r>
    </w:p>
    <w:p>
      <w:pPr/>
      <w:r>
        <w:rPr>
          <w:rFonts w:ascii="Arial" w:hAnsi="Arial"/>
          <w:b w:val="0"/>
          <w:i w:val="0"/>
          <w:color w:val="1A202C"/>
          <w:sz w:val="18"/>
        </w:rPr>
        <w:t xml:space="preserve">The study uses the 1,600-row </w:t>
      </w:r>
      <w:r>
        <w:rPr>
          <w:rFonts w:ascii="Arial" w:hAnsi="Arial"/>
          <w:b/>
          <w:i w:val="0"/>
          <w:color w:val="1A202C"/>
          <w:sz w:val="18"/>
        </w:rPr>
        <w:t>nlphuji/dollar_street_test</w:t>
      </w:r>
      <w:r>
        <w:rPr>
          <w:rFonts w:ascii="Arial" w:hAnsi="Arial"/>
          <w:b w:val="0"/>
          <w:i w:val="0"/>
          <w:color w:val="1A202C"/>
          <w:sz w:val="18"/>
        </w:rPr>
        <w:t xml:space="preserve"> split derived from Dollar Street [3], which provides image, country, region, object, and monthly household-income metadata. The fixed subset contains 168 unique images from 44 countries: roof, light source, stove, trash container, switch, and footwear, with seven images in each category x quartile cell (6 x 4 x 7). Ambiguous multi-class rows are excluded. Broader study labels and predeclared synonyms avoid penalizing culturally valid forms such as lanterns or sandals.</w:t>
      </w:r>
    </w:p>
    <w:p>
      <w:pPr>
        <w:spacing w:before="0" w:after="0"/>
      </w:pPr>
      <w:r>
        <w:br w:type="column"/>
      </w:r>
    </w:p>
    <w:p>
      <w:pPr>
        <w:pStyle w:val="Heading2"/>
        <w:keepNext/>
      </w:pPr>
      <w:r>
        <w:t>Planned Method</w:t>
      </w:r>
    </w:p>
    <w:p>
      <w:pPr>
        <w:pStyle w:val="ProposalBullet"/>
        <w:numPr>
          <w:ilvl w:val="0"/>
          <w:numId w:val="10"/>
        </w:numPr>
      </w:pPr>
      <w:r>
        <w:rPr>
          <w:rFonts w:ascii="Arial" w:hAnsi="Arial"/>
          <w:b/>
          <w:i w:val="0"/>
          <w:color w:val="1A202C"/>
          <w:sz w:val="17"/>
        </w:rPr>
        <w:t xml:space="preserve">Data control: </w:t>
      </w:r>
      <w:r>
        <w:rPr>
          <w:rFonts w:ascii="Arial" w:hAnsi="Arial"/>
          <w:b w:val="0"/>
          <w:i w:val="0"/>
          <w:color w:val="1A202C"/>
          <w:sz w:val="17"/>
        </w:rPr>
        <w:t>validate IDs, files, labels, and numeric income; compute quartiles once; retain the fixed balanced manifest for every run.</w:t>
      </w:r>
    </w:p>
    <w:p>
      <w:pPr>
        <w:pStyle w:val="ProposalBullet"/>
        <w:numPr>
          <w:ilvl w:val="0"/>
          <w:numId w:val="10"/>
        </w:numPr>
      </w:pPr>
      <w:r>
        <w:rPr>
          <w:rFonts w:ascii="Arial" w:hAnsi="Arial"/>
          <w:b/>
          <w:i w:val="0"/>
          <w:color w:val="1A202C"/>
          <w:sz w:val="17"/>
        </w:rPr>
        <w:t xml:space="preserve">CLIP baseline [1]: </w:t>
      </w:r>
      <w:r>
        <w:rPr>
          <w:rFonts w:ascii="Arial" w:hAnsi="Arial"/>
          <w:b w:val="0"/>
          <w:i w:val="0"/>
          <w:color w:val="1A202C"/>
          <w:sz w:val="17"/>
        </w:rPr>
        <w:t>use openai/clip-vit-base-patch32 with six prompts of the form "a photo of a {label}"; no training or prompt tuning.</w:t>
      </w:r>
    </w:p>
    <w:p>
      <w:pPr>
        <w:pStyle w:val="ProposalBullet"/>
        <w:numPr>
          <w:ilvl w:val="0"/>
          <w:numId w:val="10"/>
        </w:numPr>
      </w:pPr>
      <w:r>
        <w:rPr>
          <w:rFonts w:ascii="Arial" w:hAnsi="Arial"/>
          <w:b/>
          <w:i w:val="0"/>
          <w:color w:val="1A202C"/>
          <w:sz w:val="17"/>
        </w:rPr>
        <w:t xml:space="preserve">BLIP comparison [2]: </w:t>
      </w:r>
      <w:r>
        <w:rPr>
          <w:rFonts w:ascii="Arial" w:hAnsi="Arial"/>
          <w:b w:val="0"/>
          <w:i w:val="0"/>
          <w:color w:val="1A202C"/>
          <w:sz w:val="17"/>
        </w:rPr>
        <w:t>use Salesforce/blip-image-captioning-base with identical deterministic decoding for an unprompted caption and the single label-free prefix.</w:t>
      </w:r>
    </w:p>
    <w:p>
      <w:pPr>
        <w:pStyle w:val="ProposalBullet"/>
        <w:numPr>
          <w:ilvl w:val="0"/>
          <w:numId w:val="10"/>
        </w:numPr>
      </w:pPr>
      <w:r>
        <w:rPr>
          <w:rFonts w:ascii="Arial" w:hAnsi="Arial"/>
          <w:b/>
          <w:i w:val="0"/>
          <w:color w:val="1A202C"/>
          <w:sz w:val="17"/>
        </w:rPr>
        <w:t xml:space="preserve">Metrics: </w:t>
      </w:r>
      <w:r>
        <w:rPr>
          <w:rFonts w:ascii="Arial" w:hAnsi="Arial"/>
          <w:b w:val="0"/>
          <w:i w:val="0"/>
          <w:color w:val="1A202C"/>
          <w:sz w:val="17"/>
        </w:rPr>
        <w:t>report category-macro top-1 accuracy and correct-label rank for CLIP; for BLIP, report accepted-term recall plus human correctness and hallucination rates.</w:t>
      </w:r>
    </w:p>
    <w:p>
      <w:pPr>
        <w:pStyle w:val="ProposalBullet"/>
        <w:numPr>
          <w:ilvl w:val="0"/>
          <w:numId w:val="10"/>
        </w:numPr>
      </w:pPr>
      <w:r>
        <w:rPr>
          <w:rFonts w:ascii="Arial" w:hAnsi="Arial"/>
          <w:b/>
          <w:i w:val="0"/>
          <w:color w:val="1A202C"/>
          <w:sz w:val="17"/>
        </w:rPr>
        <w:t xml:space="preserve">Human review: </w:t>
      </w:r>
      <w:r>
        <w:rPr>
          <w:rFonts w:ascii="Arial" w:hAnsi="Arial"/>
          <w:b w:val="0"/>
          <w:i w:val="0"/>
          <w:color w:val="1A202C"/>
          <w:sz w:val="17"/>
        </w:rPr>
        <w:t>both team members will independently rate all 336 captions while blinded to income quartile and prompt condition. Cohen's kappa and adjudicated disagreements will be reported.</w:t>
      </w:r>
    </w:p>
    <w:p>
      <w:pPr>
        <w:pStyle w:val="ProposalBullet"/>
        <w:numPr>
          <w:ilvl w:val="0"/>
          <w:numId w:val="10"/>
        </w:numPr>
      </w:pPr>
      <w:r>
        <w:rPr>
          <w:rFonts w:ascii="Arial" w:hAnsi="Arial"/>
          <w:b/>
          <w:i w:val="0"/>
          <w:color w:val="1A202C"/>
          <w:sz w:val="17"/>
        </w:rPr>
        <w:t xml:space="preserve">Analysis: </w:t>
      </w:r>
      <w:r>
        <w:rPr>
          <w:rFonts w:ascii="Arial" w:hAnsi="Arial"/>
          <w:b w:val="0"/>
          <w:i w:val="0"/>
          <w:color w:val="1A202C"/>
          <w:sz w:val="17"/>
        </w:rPr>
        <w:t>compare Q4-Q1 and maximum-minimum gaps with 95% stratified bootstrap confidence intervals. Prompt effects use paired bootstrap intervals. Regional results are descriptive only and always include sample counts.</w:t>
      </w:r>
    </w:p>
    <w:p>
      <w:pPr>
        <w:pStyle w:val="Heading2"/>
        <w:keepNext/>
      </w:pPr>
      <w:r>
        <w:t>Expected Outcome</w:t>
      </w:r>
    </w:p>
    <w:p>
      <w:pPr/>
      <w:r>
        <w:rPr>
          <w:rFonts w:ascii="Arial" w:hAnsi="Arial"/>
          <w:b w:val="0"/>
          <w:i w:val="0"/>
          <w:color w:val="1A202C"/>
          <w:sz w:val="18"/>
        </w:rPr>
        <w:t>The project will produce a reproducible, category-controlled account of where CLIP and BLIP succeed or fail across income groups. The result may show a gap, no stable gap, or category-specific variation; the prompt may improve, leave unchanged, or worsen captions. The contribution is the measured comparison, uncertainty, prompt-effect estimate, and failure taxonomy - not a predetermined fairness claim.</w:t>
      </w:r>
    </w:p>
    <w:p>
      <w:pPr>
        <w:pStyle w:val="Heading2"/>
        <w:keepNext/>
      </w:pPr>
      <w:r>
        <w:t>Planned Interactive Demo Idea</w:t>
      </w:r>
    </w:p>
    <w:p>
      <w:pPr/>
      <w:r>
        <w:rPr>
          <w:rFonts w:ascii="Arial" w:hAnsi="Arial"/>
          <w:b w:val="0"/>
          <w:i w:val="0"/>
          <w:color w:val="1A202C"/>
          <w:sz w:val="18"/>
        </w:rPr>
        <w:t>A hosted Gradio webpage (usable without local installation) will let users select a curated image or upload one, inspect CLIP label scores, and compare unprompted and prompted BLIP captions side by side. Aggregate charts will filter by category, income quartile, and region and will show sample counts, confidence intervals, and representative failures. User uploads without verified income metadata will be shown as examples but excluded from subgroup statistics.</w:t>
      </w:r>
    </w:p>
    <w:p>
      <w:pPr>
        <w:pStyle w:val="Heading2"/>
        <w:keepNext/>
      </w:pPr>
      <w:r>
        <w:t>Feasibility and Scope</w:t>
      </w:r>
    </w:p>
    <w:p>
      <w:pPr/>
      <w:r>
        <w:rPr>
          <w:rFonts w:ascii="Arial" w:hAnsi="Arial"/>
          <w:b w:val="0"/>
          <w:i w:val="0"/>
          <w:color w:val="1A202C"/>
          <w:sz w:val="18"/>
        </w:rPr>
        <w:t>No model training is required. The 168 images, manifest, evaluation code, and a four-image end-to-end smoke test are already complete. The full run, double review, hosted demo, and analysis are achievable by 14 September. Conclusions will be limited to the selected models, categories, and test split; income associations will not be presented as causal effects.</w:t>
      </w:r>
    </w:p>
    <w:p>
      <w:pPr>
        <w:spacing w:before="70" w:after="0" w:line="240" w:lineRule="auto"/>
      </w:pPr>
      <w:r>
        <w:rPr>
          <w:rFonts w:ascii="Arial" w:hAnsi="Arial"/>
          <w:b w:val="0"/>
          <w:i w:val="0"/>
          <w:color w:val="586069"/>
          <w:sz w:val="15"/>
        </w:rPr>
        <w:t>References: [1] Radford et al., ICML 2021 (CLIP). [2] Li et al., ICML 2022 (BLIP). [3] Gaviria Rojas et al., NeurIPS 2022 (Dollar Street).</w:t>
      </w:r>
    </w:p>
    <w:sectPr w:rsidR="00FC693F" w:rsidRPr="0006063C" w:rsidSect="00034616">
      <w:type w:val="continuous"/>
      <w:pgSz w:w="11906" w:h="16838"/>
      <w:pgMar w:top="749" w:right="835" w:bottom="691" w:left="835" w:header="288" w:footer="288"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540"/>
        </w:tabs>
        <w:ind w:left="540" w:hanging="28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252" w:lineRule="auto"/>
      <w:jc w:val="left"/>
    </w:pPr>
    <w:rPr>
      <w:rFonts w:ascii="Arial" w:hAnsi="Arial"/>
      <w:color w:val="1A20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4" w:after="40" w:line="240" w:lineRule="auto"/>
      <w:outlineLvl w:val="1"/>
    </w:pPr>
    <w:rPr>
      <w:rFonts w:asciiTheme="majorHAnsi" w:eastAsiaTheme="majorEastAsia" w:hAnsiTheme="majorHAnsi" w:cstheme="majorBidi" w:ascii="Arial" w:hAnsi="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Bullet">
    <w:name w:val="Proposal Bullet"/>
    <w:pPr>
      <w:widowControl/>
      <w:spacing w:before="0" w:after="36" w:line="247" w:lineRule="auto"/>
      <w:ind w:left="540" w:hanging="279"/>
    </w:pPr>
    <w:rPr>
      <w:rFonts w:ascii="Arial" w:hAnsi="Arial"/>
      <w:color w:val="1A202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Income-Related Performance Gaps in Vision-Language Models</dc:title>
  <dc:subject>Computer Vision Course Project Research Proposal</dc:subject>
  <dc:creator>python-docx</dc:creator>
  <cp:keywords>computer vision, vision-language models, CLIP, BLIP, Dollar Street</cp:keywords>
  <dc:description>Submission-ready one-page proposal</dc:description>
  <cp:lastModifiedBy/>
  <cp:revision>1</cp:revision>
  <dcterms:created xsi:type="dcterms:W3CDTF">2013-12-23T23:15:00Z</dcterms:created>
  <dcterms:modified xsi:type="dcterms:W3CDTF">2013-12-23T23:15:00Z</dcterms:modified>
  <cp:category/>
</cp:coreProperties>
</file>