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>Research Proposal: Socioeconomic and Regional Performance Gaps in Vision-Language Models</w:t>
      </w:r>
    </w:p>
    <w:p>
      <w:pPr>
        <w:spacing w:after="100"/>
        <w:jc w:val="center"/>
      </w:pPr>
      <w:r>
        <w:rPr>
          <w:i/>
          <w:iCs/>
          <w:color w:val="555555"/>
          <w:sz w:val="19"/>
          <w:szCs w:val="19"/>
        </w:rPr>
        <w:t>Computer Vision Course Project - Domain: Multimodal AI Systems</w:t>
      </w:r>
    </w:p>
    <w:p>
      <w:pPr>
        <w:pStyle w:val="Heading2"/>
        <w:spacing w:after="40" w:before="100"/>
      </w:pPr>
      <w:r>
        <w:rPr>
          <w:b/>
          <w:bCs/>
          <w:color w:val="1F3864"/>
          <w:sz w:val="21"/>
          <w:szCs w:val="21"/>
        </w:rPr>
        <w:t xml:space="preserve">Chosen Domain</w:t>
      </w:r>
    </w:p>
    <w:p>
      <w:pPr>
        <w:spacing w:after="60"/>
      </w:pPr>
      <w:r>
        <w:rPr>
          <w:sz w:val="19"/>
          <w:szCs w:val="19"/>
        </w:rPr>
        <w:t>Multimodal AI Systems - specifically, pretrained vision-language models (VLMs) for zero-shot household-object classification and image captioning.</w:t>
      </w:r>
    </w:p>
    <w:p>
      <w:pPr>
        <w:pStyle w:val="Heading2"/>
        <w:spacing w:after="40" w:before="100"/>
      </w:pPr>
      <w:r>
        <w:rPr>
          <w:b/>
          <w:bCs/>
          <w:color w:val="1F3864"/>
          <w:sz w:val="21"/>
          <w:szCs w:val="21"/>
        </w:rPr>
        <w:t xml:space="preserve">Problem Statement</w:t>
      </w:r>
    </w:p>
    <w:p>
      <w:pPr>
        <w:spacing w:after="60"/>
      </w:pPr>
      <w:r>
        <w:rPr>
          <w:sz w:val="19"/>
          <w:szCs w:val="19"/>
        </w:rPr>
        <w:t>Everyday household objects do not look the same everywhere. For example, a stove or light source in a lower-income household may look quite different from the examples commonly found online. Previous studies using Dollar Street have shown that CLIP's performance can vary across income groups. In this project, I want to investigate whether a similar pattern appears in two tasks: CLIP zero-shot classification and BLIP image captioning. I will also test whether a simple object-focused prompt can improve BLIP's captions without giving the model the correct object label.</w:t>
      </w:r>
    </w:p>
    <w:p>
      <w:pPr>
        <w:pStyle w:val="Heading2"/>
        <w:spacing w:after="40" w:before="100"/>
      </w:pPr>
      <w:r>
        <w:rPr>
          <w:b/>
          <w:bCs/>
          <w:color w:val="1F3864"/>
          <w:sz w:val="21"/>
          <w:szCs w:val="21"/>
        </w:rPr>
        <w:t xml:space="preserve">Motivation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>A model may recognize an object that looks familiar from online images but miss another version of the same object. This matters for image search and accessibility tools.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>Dollar Street is useful for this question because its household images include country, region, and monthly-income information.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>Using the same object categories in every income group makes the comparison fairer and easier to interpret.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>The experiment uses public data and pretrained models without additional training, so it is realistic within the course timeline.</w:t>
      </w:r>
    </w:p>
    <w:p>
      <w:pPr>
        <w:pStyle w:val="Heading2"/>
        <w:spacing w:after="40" w:before="100"/>
      </w:pPr>
      <w:r>
        <w:rPr>
          <w:b/>
          <w:bCs/>
          <w:color w:val="1F3864"/>
          <w:sz w:val="21"/>
          <w:szCs w:val="21"/>
        </w:rPr>
        <w:t xml:space="preserve">Research Question</w:t>
      </w:r>
    </w:p>
    <w:p>
      <w:pPr>
        <w:spacing w:after="60"/>
      </w:pPr>
      <w:r>
        <w:rPr>
          <w:sz w:val="19"/>
          <w:szCs w:val="19"/>
        </w:rPr>
        <w:t>For the same six household-object categories, how do CLIP classification accuracy and BLIP caption correctness change across income quartiles? Does a simple object-focused prompt reduce the difference between the best- and worst-performing income groups?</w:t>
      </w:r>
    </w:p>
    <w:p>
      <w:pPr>
        <w:pStyle w:val="Heading2"/>
        <w:spacing w:after="40" w:before="100"/>
      </w:pPr>
      <w:r>
        <w:rPr>
          <w:b/>
          <w:bCs/>
          <w:color w:val="1F3864"/>
          <w:sz w:val="21"/>
          <w:szCs w:val="21"/>
        </w:rPr>
        <w:t xml:space="preserve">Dataset / Data Source</w:t>
      </w:r>
    </w:p>
    <w:p>
      <w:pPr>
        <w:spacing w:after="60"/>
      </w:pPr>
      <w:r>
        <w:rPr>
          <w:sz w:val="19"/>
          <w:szCs w:val="19"/>
        </w:rPr>
        <w:t>I will use the 1,600-image Hugging Face Dollar Street test split. From it, I selected 168 unique images covering six concepts: roof, light source, stove, trash container, switch, and footwear. Each category has seven images in each of four income quartiles. Country and region metadata will be kept for a secondary regional analysis where the sample size is sufficient.</w:t>
      </w:r>
    </w:p>
    <w:p>
      <w:pPr>
        <w:pStyle w:val="Heading2"/>
        <w:spacing w:after="40" w:before="100"/>
      </w:pPr>
      <w:r>
        <w:rPr>
          <w:b/>
          <w:bCs/>
          <w:color w:val="1F3864"/>
          <w:sz w:val="21"/>
          <w:szCs w:val="21"/>
        </w:rPr>
        <w:t xml:space="preserve">Planned Method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>Data preparation: check the metadata, convert income to numeric values, create four quartiles, remove ambiguous multi-class rows, and use the fixed balanced subset of 168 images.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>CLIP: classify each image using the six category labels and report top-1 accuracy, correct-label rank, category-level accuracy, and the gap between income quartiles.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>BLIP experiment: compare unprompted captions with captions generated from one generic object-focused prefix ("the main household object in this image is") that contains no category, function, region, or income answer.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>Caption evaluation: check whether a valid category synonym appears, then manually review a small balanced sample for correctness and hallucination. I will report group counts, confidence intervals, and clear failure examples.</w:t>
      </w:r>
    </w:p>
    <w:p>
      <w:pPr>
        <w:pStyle w:val="Heading2"/>
        <w:spacing w:after="40" w:before="100"/>
      </w:pPr>
      <w:r>
        <w:rPr>
          <w:b/>
          <w:bCs/>
          <w:color w:val="1F3864"/>
          <w:sz w:val="21"/>
          <w:szCs w:val="21"/>
        </w:rPr>
        <w:t xml:space="preserve">Expected Outcome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>A clear comparison of CLIP and BLIP performance across the four income quartiles, without assuming beforehand that a gap must exist.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>Evidence showing whether the label-free prompt improves, worsens, or does not change BLIP's overall and worst-group caption performance.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>Clear qualitative examples explaining which visual variations and object categories produce failures.</w:t>
      </w:r>
    </w:p>
    <w:p>
      <w:pPr>
        <w:pStyle w:val="Heading2"/>
        <w:spacing w:after="40" w:before="100"/>
      </w:pPr>
      <w:r>
        <w:rPr>
          <w:b/>
          <w:bCs/>
          <w:color w:val="1F3864"/>
          <w:sz w:val="21"/>
          <w:szCs w:val="21"/>
        </w:rPr>
        <w:t xml:space="preserve">Planned Interactive Demo Idea</w:t>
      </w:r>
    </w:p>
    <w:p>
      <w:pPr>
        <w:spacing w:after="60"/>
      </w:pPr>
      <w:r>
        <w:rPr>
          <w:sz w:val="19"/>
          <w:szCs w:val="19"/>
        </w:rPr>
        <w:t>A hosted Gradio or Streamlit webpage where users can: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>Select a curated Dollar Street image or upload a household-object image.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>Compare CLIP predictions and unprompted versus prompted BLIP captions side by side.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>Filter aggregate charts by category, income quartile, and region, with sample counts and performance gaps displayed.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>Explore representative successes, failures, and prompt-induced changes.</w:t>
      </w:r>
    </w:p>
    <w:sectPr>
      <w:pgSz w:w="11906" w:h="16838" w:orient="portrait"/>
      <w:pgMar w:top="6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2026-07-29T13:07:18.652Z</dcterms:created>
  <dcterms:modified xsi:type="dcterms:W3CDTF">2026-07-29T13:07:18.653Z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