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2A83B">
      <w:pPr>
        <w:spacing w:after="0"/>
        <w:jc w:val="both"/>
        <w:rPr>
          <w:rFonts w:hint="default"/>
          <w:b/>
          <w:bCs/>
          <w:u w:val="single"/>
          <w:lang w:val="en-GB"/>
        </w:rPr>
      </w:pPr>
      <w:bookmarkStart w:id="0" w:name="_GoBack"/>
      <w:bookmarkEnd w:id="0"/>
    </w:p>
    <w:p w14:paraId="1C4BD610">
      <w:pPr>
        <w:spacing w:after="0"/>
        <w:jc w:val="center"/>
        <w:rPr>
          <w:b/>
          <w:bCs/>
          <w:u w:val="single"/>
        </w:rPr>
      </w:pPr>
    </w:p>
    <w:p w14:paraId="101D1228">
      <w:pPr>
        <w:spacing w:after="0"/>
        <w:jc w:val="center"/>
        <w:rPr>
          <w:b/>
          <w:bCs/>
          <w:u w:val="single"/>
        </w:rPr>
      </w:pPr>
    </w:p>
    <w:p w14:paraId="421BED81">
      <w:pPr>
        <w:spacing w:after="0"/>
        <w:jc w:val="center"/>
        <w:rPr>
          <w:b/>
          <w:bCs/>
          <w:u w:val="single"/>
        </w:rPr>
      </w:pPr>
    </w:p>
    <w:p w14:paraId="131472C7">
      <w:pPr>
        <w:spacing w:after="0"/>
        <w:rPr>
          <w:b/>
          <w:bCs/>
          <w:u w:val="single"/>
        </w:rPr>
      </w:pPr>
    </w:p>
    <w:p w14:paraId="69A0B519">
      <w:pPr>
        <w:spacing w:after="0"/>
        <w:rPr>
          <w:b/>
          <w:bCs/>
          <w:u w:val="single"/>
        </w:rPr>
      </w:pPr>
    </w:p>
    <w:p w14:paraId="0C67816B">
      <w:pPr>
        <w:spacing w:after="0"/>
        <w:rPr>
          <w:b/>
          <w:bCs/>
          <w:u w:val="single"/>
        </w:rPr>
      </w:pPr>
    </w:p>
    <w:p w14:paraId="14AA7B98">
      <w:pPr>
        <w:spacing w:after="0"/>
        <w:rPr>
          <w:b/>
          <w:bCs/>
          <w:u w:val="single"/>
        </w:rPr>
      </w:pPr>
      <w:r>
        <w:rPr>
          <w:b/>
          <w:bCs/>
          <w:u w:val="single"/>
        </w:rPr>
        <mc:AlternateContent>
          <mc:Choice Requires="wps">
            <w:drawing>
              <wp:anchor distT="45720" distB="45720" distL="114300" distR="114300" simplePos="0" relativeHeight="251660288" behindDoc="0" locked="0" layoutInCell="1" allowOverlap="1">
                <wp:simplePos x="0" y="0"/>
                <wp:positionH relativeFrom="column">
                  <wp:posOffset>3352800</wp:posOffset>
                </wp:positionH>
                <wp:positionV relativeFrom="paragraph">
                  <wp:posOffset>178435</wp:posOffset>
                </wp:positionV>
                <wp:extent cx="3302000"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02000" cy="1404620"/>
                        </a:xfrm>
                        <a:prstGeom prst="rect">
                          <a:avLst/>
                        </a:prstGeom>
                        <a:solidFill>
                          <a:srgbClr val="FFFFFF"/>
                        </a:solidFill>
                        <a:ln w="9525">
                          <a:noFill/>
                          <a:miter lim="800000"/>
                        </a:ln>
                      </wps:spPr>
                      <wps:txbx>
                        <w:txbxContent>
                          <w:p w14:paraId="17B081AC">
                            <w:pPr>
                              <w:spacing w:after="0"/>
                              <w:jc w:val="center"/>
                              <w:rPr>
                                <w:sz w:val="32"/>
                                <w:szCs w:val="32"/>
                              </w:rPr>
                            </w:pPr>
                            <w:r>
                              <w:rPr>
                                <w:sz w:val="32"/>
                                <w:szCs w:val="32"/>
                              </w:rPr>
                              <w:t>School Of Engineering &amp; Technology</w:t>
                            </w:r>
                          </w:p>
                          <w:p w14:paraId="21A8ABFD">
                            <w:pPr>
                              <w:spacing w:after="0"/>
                              <w:jc w:val="center"/>
                              <w:rPr>
                                <w:sz w:val="32"/>
                                <w:szCs w:val="32"/>
                              </w:rPr>
                            </w:pPr>
                            <w:r>
                              <w:rPr>
                                <w:sz w:val="32"/>
                                <w:szCs w:val="32"/>
                              </w:rPr>
                              <w:t>Department of Computer Science &amp;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4pt;margin-top:14.05pt;height:110.6pt;width:260pt;mso-wrap-distance-bottom:3.6pt;mso-wrap-distance-left:9pt;mso-wrap-distance-right:9pt;mso-wrap-distance-top:3.6pt;z-index:251660288;mso-width-relative:page;mso-height-relative:margin;mso-height-percent:200;" fillcolor="#FFFFFF" filled="t" stroked="f" coordsize="21600,21600" o:gfxdata="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gu3TtgAAAALAQAADwAAAAAAAAABACAAAAAiAAAAZHJzL2Rvd25yZXYueG1sUEsBAhQA&#10;FAAAAAgAh07iQEdUICMrAgAAVAQAAA4AAAAAAAAAAQAgAAAAJwEAAGRycy9lMm9Eb2MueG1sUEsF&#10;BgAAAAAGAAYAWQEAAMQFAAAAAA==&#10;">
                <v:fill on="t" focussize="0,0"/>
                <v:stroke on="f" miterlimit="8" joinstyle="miter"/>
                <v:imagedata o:title=""/>
                <o:lock v:ext="edit" aspectratio="f"/>
                <v:textbox style="mso-fit-shape-to-text:t;">
                  <w:txbxContent>
                    <w:p w14:paraId="17B081AC">
                      <w:pPr>
                        <w:spacing w:after="0"/>
                        <w:jc w:val="center"/>
                        <w:rPr>
                          <w:sz w:val="32"/>
                          <w:szCs w:val="32"/>
                        </w:rPr>
                      </w:pPr>
                      <w:r>
                        <w:rPr>
                          <w:sz w:val="32"/>
                          <w:szCs w:val="32"/>
                        </w:rPr>
                        <w:t>School Of Engineering &amp; Technology</w:t>
                      </w:r>
                    </w:p>
                    <w:p w14:paraId="21A8ABFD">
                      <w:pPr>
                        <w:spacing w:after="0"/>
                        <w:jc w:val="center"/>
                        <w:rPr>
                          <w:sz w:val="32"/>
                          <w:szCs w:val="32"/>
                        </w:rPr>
                      </w:pPr>
                      <w:r>
                        <w:rPr>
                          <w:sz w:val="32"/>
                          <w:szCs w:val="32"/>
                        </w:rPr>
                        <w:t>Department of Computer Science &amp; Information technology</w:t>
                      </w: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3124200</wp:posOffset>
                </wp:positionH>
                <wp:positionV relativeFrom="paragraph">
                  <wp:posOffset>127635</wp:posOffset>
                </wp:positionV>
                <wp:extent cx="0" cy="1079500"/>
                <wp:effectExtent l="0" t="0" r="38100" b="25400"/>
                <wp:wrapNone/>
                <wp:docPr id="1423115865" name="Straight Connector 2"/>
                <wp:cNvGraphicFramePr/>
                <a:graphic xmlns:a="http://schemas.openxmlformats.org/drawingml/2006/main">
                  <a:graphicData uri="http://schemas.microsoft.com/office/word/2010/wordprocessingShape">
                    <wps:wsp>
                      <wps:cNvCnPr/>
                      <wps:spPr>
                        <a:xfrm>
                          <a:off x="0" y="0"/>
                          <a:ext cx="0" cy="1079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o:spt="20" style="position:absolute;left:0pt;margin-left:246pt;margin-top:10.05pt;height:85pt;width:0pt;z-index:251659264;mso-width-relative:page;mso-height-relative:page;" filled="f" stroked="t" coordsize="21600,21600" o:gfxdata="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iW321wAAAAoBAAAPAAAAAAAA&#10;AAEAIAAAACIAAABkcnMvZG93bnJldi54bWxQSwECFAAUAAAACACHTuJAth4e89oBAAC+AwAADgAA&#10;AAAAAAABACAAAAAmAQAAZHJzL2Uyb0RvYy54bWxQSwUGAAAAAAYABgBZAQAAcgUAAAAA&#10;">
                <v:fill on="f" focussize="0,0"/>
                <v:stroke weight="1.5pt" color="#000000 [3200]" miterlimit="8" joinstyle="miter"/>
                <v:imagedata o:title=""/>
                <o:lock v:ext="edit" aspectratio="f"/>
              </v:line>
            </w:pict>
          </mc:Fallback>
        </mc:AlternateContent>
      </w:r>
      <w:r>
        <w:drawing>
          <wp:inline distT="0" distB="0" distL="0" distR="0">
            <wp:extent cx="2933700" cy="1136650"/>
            <wp:effectExtent l="0" t="0" r="0" b="6350"/>
            <wp:docPr id="77340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1616" name="Picture 1"/>
                    <pic:cNvPicPr>
                      <a:picLocks noChangeAspect="1"/>
                    </pic:cNvPicPr>
                  </pic:nvPicPr>
                  <pic:blipFill>
                    <a:blip r:embed="rId6" cstate="print">
                      <a:extLst>
                        <a:ext uri="{28A0092B-C50C-407E-A947-70E740481C1C}">
                          <a14:useLocalDpi xmlns:a14="http://schemas.microsoft.com/office/drawing/2010/main" val="0"/>
                        </a:ext>
                      </a:extLst>
                    </a:blip>
                    <a:srcRect r="2547" b="8826"/>
                    <a:stretch>
                      <a:fillRect/>
                    </a:stretch>
                  </pic:blipFill>
                  <pic:spPr>
                    <a:xfrm>
                      <a:off x="0" y="0"/>
                      <a:ext cx="2948259" cy="1142154"/>
                    </a:xfrm>
                    <a:prstGeom prst="rect">
                      <a:avLst/>
                    </a:prstGeom>
                    <a:ln>
                      <a:noFill/>
                    </a:ln>
                  </pic:spPr>
                </pic:pic>
              </a:graphicData>
            </a:graphic>
          </wp:inline>
        </w:drawing>
      </w:r>
    </w:p>
    <w:p w14:paraId="6C87C249">
      <w:pPr>
        <w:spacing w:after="0"/>
        <w:rPr>
          <w:b/>
          <w:bCs/>
          <w:u w:val="single"/>
        </w:rPr>
      </w:pPr>
    </w:p>
    <w:p w14:paraId="4DBEE595">
      <w:pPr>
        <w:rPr>
          <w:b/>
          <w:bCs/>
          <w:u w:val="single"/>
        </w:rPr>
      </w:pPr>
    </w:p>
    <w:p w14:paraId="2564CDD4">
      <w:pPr>
        <w:rPr>
          <w:b/>
          <w:bCs/>
          <w:u w:val="single"/>
        </w:rPr>
      </w:pPr>
    </w:p>
    <w:p w14:paraId="07B65DF2">
      <w:pPr>
        <w:jc w:val="center"/>
        <w:rPr>
          <w:sz w:val="32"/>
          <w:szCs w:val="32"/>
        </w:rPr>
      </w:pPr>
      <w:r>
        <w:rPr>
          <w:b/>
          <w:bCs/>
          <w:sz w:val="32"/>
          <w:szCs w:val="32"/>
        </w:rPr>
        <w:t>Name:</w:t>
      </w:r>
      <w:r>
        <w:rPr>
          <w:sz w:val="32"/>
          <w:szCs w:val="32"/>
        </w:rPr>
        <w:t xml:space="preserve"> Nsiah Joshua</w:t>
      </w:r>
    </w:p>
    <w:p w14:paraId="5BFF152C">
      <w:pPr>
        <w:jc w:val="center"/>
        <w:rPr>
          <w:sz w:val="32"/>
          <w:szCs w:val="32"/>
        </w:rPr>
      </w:pPr>
      <w:r>
        <w:rPr>
          <w:b/>
          <w:bCs/>
          <w:sz w:val="32"/>
          <w:szCs w:val="32"/>
        </w:rPr>
        <w:t>Index number:</w:t>
      </w:r>
      <w:r>
        <w:rPr>
          <w:sz w:val="32"/>
          <w:szCs w:val="32"/>
        </w:rPr>
        <w:t xml:space="preserve"> CSC/21/01/1022</w:t>
      </w:r>
    </w:p>
    <w:p w14:paraId="1E304BA1">
      <w:pPr>
        <w:jc w:val="center"/>
        <w:rPr>
          <w:sz w:val="32"/>
          <w:szCs w:val="32"/>
        </w:rPr>
      </w:pPr>
      <w:r>
        <w:rPr>
          <w:b/>
          <w:bCs/>
          <w:sz w:val="32"/>
          <w:szCs w:val="32"/>
        </w:rPr>
        <w:t xml:space="preserve">Course: </w:t>
      </w:r>
      <w:r>
        <w:rPr>
          <w:sz w:val="32"/>
          <w:szCs w:val="32"/>
        </w:rPr>
        <w:t xml:space="preserve">COMP 404 – COMPUTER SYSTEM SECURITY </w:t>
      </w:r>
    </w:p>
    <w:p w14:paraId="136A897D">
      <w:pPr>
        <w:jc w:val="center"/>
        <w:rPr>
          <w:b/>
          <w:bCs/>
          <w:sz w:val="32"/>
          <w:szCs w:val="32"/>
        </w:rPr>
      </w:pPr>
    </w:p>
    <w:p w14:paraId="5F91EB5A">
      <w:pPr>
        <w:jc w:val="center"/>
        <w:rPr>
          <w:b/>
          <w:bCs/>
          <w:sz w:val="32"/>
          <w:szCs w:val="32"/>
        </w:rPr>
      </w:pPr>
      <w:r>
        <w:rPr>
          <w:b/>
          <w:bCs/>
          <w:sz w:val="32"/>
          <w:szCs w:val="32"/>
        </w:rPr>
        <w:t>Assignment 1</w:t>
      </w:r>
    </w:p>
    <w:p w14:paraId="77FC9E1E">
      <w:pPr>
        <w:jc w:val="center"/>
        <w:rPr>
          <w:sz w:val="32"/>
          <w:szCs w:val="32"/>
        </w:rPr>
      </w:pPr>
    </w:p>
    <w:p w14:paraId="1AAEB120">
      <w:pPr>
        <w:jc w:val="center"/>
        <w:rPr>
          <w:sz w:val="32"/>
          <w:szCs w:val="32"/>
        </w:rPr>
      </w:pPr>
    </w:p>
    <w:p w14:paraId="06F03E08">
      <w:pPr>
        <w:jc w:val="center"/>
        <w:rPr>
          <w:sz w:val="32"/>
          <w:szCs w:val="32"/>
        </w:rPr>
      </w:pPr>
    </w:p>
    <w:p w14:paraId="1A234A72">
      <w:pPr>
        <w:jc w:val="center"/>
        <w:rPr>
          <w:sz w:val="32"/>
          <w:szCs w:val="32"/>
        </w:rPr>
      </w:pPr>
      <w:r>
        <w:rPr>
          <w:b/>
          <w:bCs/>
          <w:sz w:val="32"/>
          <w:szCs w:val="32"/>
        </w:rPr>
        <w:t>Date:</w:t>
      </w:r>
      <w:r>
        <w:rPr>
          <w:sz w:val="32"/>
          <w:szCs w:val="32"/>
        </w:rPr>
        <w:t xml:space="preserve"> 15</w:t>
      </w:r>
      <w:r>
        <w:rPr>
          <w:sz w:val="32"/>
          <w:szCs w:val="32"/>
          <w:vertAlign w:val="superscript"/>
        </w:rPr>
        <w:t>th</w:t>
      </w:r>
      <w:r>
        <w:rPr>
          <w:sz w:val="32"/>
          <w:szCs w:val="32"/>
        </w:rPr>
        <w:t xml:space="preserve"> May, 2025</w:t>
      </w:r>
    </w:p>
    <w:p w14:paraId="55BD9E9C">
      <w:pPr>
        <w:rPr>
          <w:b/>
          <w:bCs/>
          <w:u w:val="single"/>
        </w:rPr>
      </w:pPr>
      <w:r>
        <w:rPr>
          <w:b/>
          <w:bCs/>
          <w:u w:val="single"/>
        </w:rPr>
        <w:t xml:space="preserve">   </w:t>
      </w:r>
    </w:p>
    <w:p w14:paraId="0A9D458F">
      <w:pPr>
        <w:rPr>
          <w:b/>
          <w:bCs/>
          <w:u w:val="single"/>
        </w:rPr>
      </w:pPr>
    </w:p>
    <w:p w14:paraId="718AEBA6">
      <w:pPr>
        <w:rPr>
          <w:b/>
          <w:bCs/>
          <w:u w:val="single"/>
        </w:rPr>
      </w:pPr>
    </w:p>
    <w:p w14:paraId="21247671">
      <w:pPr>
        <w:rPr>
          <w:b/>
          <w:bCs/>
          <w:u w:val="single"/>
        </w:rPr>
      </w:pPr>
    </w:p>
    <w:p w14:paraId="58CEA8C3">
      <w:pPr>
        <w:rPr>
          <w:b/>
          <w:bCs/>
          <w:u w:val="single"/>
        </w:rPr>
      </w:pPr>
    </w:p>
    <w:p w14:paraId="5D1D4E9B">
      <w:pPr>
        <w:rPr>
          <w:b/>
          <w:bCs/>
          <w:u w:val="single"/>
        </w:rPr>
      </w:pPr>
    </w:p>
    <w:p w14:paraId="03FB10EF">
      <w:pPr>
        <w:rPr>
          <w:b/>
          <w:bCs/>
          <w:u w:val="single"/>
        </w:rPr>
      </w:pPr>
    </w:p>
    <w:p w14:paraId="18D5AFF1">
      <w:pPr>
        <w:rPr>
          <w:b/>
          <w:bCs/>
          <w:u w:val="single"/>
        </w:rPr>
      </w:pPr>
    </w:p>
    <w:p w14:paraId="10CB8F8F">
      <w:pPr>
        <w:rPr>
          <w:b/>
          <w:bCs/>
          <w:u w:val="single"/>
        </w:rPr>
      </w:pPr>
    </w:p>
    <w:p w14:paraId="0AE0D824">
      <w:pPr>
        <w:jc w:val="center"/>
        <w:rPr>
          <w:b/>
          <w:bCs/>
          <w:color w:val="221F20"/>
          <w:sz w:val="24"/>
          <w:szCs w:val="24"/>
        </w:rPr>
      </w:pPr>
      <w:r>
        <w:rPr>
          <w:b/>
          <w:bCs/>
          <w:sz w:val="24"/>
          <w:szCs w:val="24"/>
        </w:rPr>
        <w:t xml:space="preserve">COMP 404 – </w:t>
      </w:r>
      <w:r>
        <w:rPr>
          <w:b/>
          <w:bCs/>
          <w:color w:val="221F20"/>
          <w:sz w:val="24"/>
          <w:szCs w:val="24"/>
        </w:rPr>
        <w:t xml:space="preserve">COMPUTER SECURITY </w:t>
      </w:r>
    </w:p>
    <w:p w14:paraId="2E2CCF25">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Identify and rate a risk and use the risk determination matrix. </w:t>
      </w:r>
    </w:p>
    <w:p w14:paraId="64357753">
      <w:pPr>
        <w:pStyle w:val="5"/>
        <w:rPr>
          <w:rFonts w:ascii="Times New Roman" w:hAnsi="Times New Roman" w:cs="Times New Roman"/>
          <w:b/>
          <w:bCs/>
          <w:sz w:val="24"/>
          <w:szCs w:val="24"/>
        </w:rPr>
      </w:pPr>
      <w:r>
        <w:rPr>
          <w:rFonts w:ascii="Times New Roman" w:hAnsi="Times New Roman" w:cs="Times New Roman"/>
          <w:b/>
          <w:bCs/>
          <w:sz w:val="24"/>
          <w:szCs w:val="24"/>
        </w:rPr>
        <w:t xml:space="preserve">Ans: </w:t>
      </w:r>
    </w:p>
    <w:p w14:paraId="3B52FBE8">
      <w:pPr>
        <w:pStyle w:val="5"/>
        <w:jc w:val="both"/>
        <w:rPr>
          <w:rFonts w:ascii="Times New Roman" w:hAnsi="Times New Roman" w:cs="Times New Roman"/>
          <w:sz w:val="24"/>
          <w:szCs w:val="24"/>
        </w:rPr>
      </w:pPr>
      <w:r>
        <w:rPr>
          <w:rFonts w:ascii="Times New Roman" w:hAnsi="Times New Roman" w:cs="Times New Roman"/>
          <w:sz w:val="24"/>
          <w:szCs w:val="24"/>
        </w:rPr>
        <w:t>Risk management is the process of identifying, assessing, and prioritizing risks to information systems and data, and then implementing measures to minimize, monitor, and control the probability or impact of those risks. Risk determination (risk assessment or risk analysis) is the step within the broader risk management process where you evaluate and quantify the potential risks to an organization's information systems and data. It involves analyzing threats, vulnerabilities, and their potential impacts to determine the level of risk</w:t>
      </w:r>
    </w:p>
    <w:p w14:paraId="1FD2B721">
      <w:pPr>
        <w:rPr>
          <w:b/>
          <w:bCs/>
          <w:sz w:val="24"/>
          <w:szCs w:val="24"/>
        </w:rPr>
      </w:pPr>
    </w:p>
    <w:tbl>
      <w:tblPr>
        <w:tblStyle w:val="3"/>
        <w:tblW w:w="8374" w:type="dxa"/>
        <w:jc w:val="center"/>
        <w:shd w:val="clear" w:color="auto" w:fill="FFFFFF"/>
        <w:tblLayout w:type="autofit"/>
        <w:tblCellMar>
          <w:top w:w="15" w:type="dxa"/>
          <w:left w:w="15" w:type="dxa"/>
          <w:bottom w:w="15" w:type="dxa"/>
          <w:right w:w="15" w:type="dxa"/>
        </w:tblCellMar>
      </w:tblPr>
      <w:tblGrid>
        <w:gridCol w:w="1531"/>
        <w:gridCol w:w="1414"/>
        <w:gridCol w:w="957"/>
        <w:gridCol w:w="1431"/>
        <w:gridCol w:w="1520"/>
        <w:gridCol w:w="1521"/>
      </w:tblGrid>
      <w:tr w14:paraId="52112A80">
        <w:tblPrEx>
          <w:tblCellMar>
            <w:top w:w="15" w:type="dxa"/>
            <w:left w:w="15" w:type="dxa"/>
            <w:bottom w:w="15" w:type="dxa"/>
            <w:right w:w="15" w:type="dxa"/>
          </w:tblCellMar>
        </w:tblPrEx>
        <w:trPr>
          <w:trHeight w:val="531" w:hRule="atLeast"/>
          <w:tblHeader/>
          <w:jc w:val="center"/>
        </w:trPr>
        <w:tc>
          <w:tcPr>
            <w:tcW w:w="0" w:type="auto"/>
            <w:tcBorders>
              <w:top w:val="nil"/>
              <w:left w:val="nil"/>
              <w:bottom w:val="single" w:color="BBBBBB" w:sz="6" w:space="0"/>
              <w:right w:val="nil"/>
            </w:tcBorders>
            <w:shd w:val="clear" w:color="auto" w:fill="FFFFFF"/>
            <w:tcMar>
              <w:top w:w="150" w:type="dxa"/>
              <w:left w:w="0" w:type="dxa"/>
              <w:bottom w:w="150" w:type="dxa"/>
              <w:right w:w="150" w:type="dxa"/>
            </w:tcMar>
            <w:vAlign w:val="center"/>
          </w:tcPr>
          <w:p w14:paraId="77FB1FD4">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Impact →</w:t>
            </w:r>
          </w:p>
        </w:tc>
        <w:tc>
          <w:tcPr>
            <w:tcW w:w="0" w:type="auto"/>
            <w:tcBorders>
              <w:top w:val="nil"/>
              <w:left w:val="nil"/>
              <w:bottom w:val="single" w:color="BBBBBB" w:sz="6" w:space="0"/>
              <w:right w:val="nil"/>
            </w:tcBorders>
            <w:shd w:val="clear" w:color="auto" w:fill="FFFFFF"/>
            <w:tcMar>
              <w:top w:w="150" w:type="dxa"/>
              <w:left w:w="150" w:type="dxa"/>
              <w:bottom w:w="150" w:type="dxa"/>
              <w:right w:w="150" w:type="dxa"/>
            </w:tcMar>
            <w:vAlign w:val="center"/>
          </w:tcPr>
          <w:p w14:paraId="7800F688">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1 (Low)</w:t>
            </w:r>
          </w:p>
        </w:tc>
        <w:tc>
          <w:tcPr>
            <w:tcW w:w="0" w:type="auto"/>
            <w:tcBorders>
              <w:top w:val="nil"/>
              <w:left w:val="nil"/>
              <w:bottom w:val="single" w:color="BBBBBB" w:sz="6" w:space="0"/>
              <w:right w:val="nil"/>
            </w:tcBorders>
            <w:shd w:val="clear" w:color="auto" w:fill="FFFFFF"/>
            <w:tcMar>
              <w:top w:w="150" w:type="dxa"/>
              <w:left w:w="150" w:type="dxa"/>
              <w:bottom w:w="150" w:type="dxa"/>
              <w:right w:w="150" w:type="dxa"/>
            </w:tcMar>
            <w:vAlign w:val="center"/>
          </w:tcPr>
          <w:p w14:paraId="57FEBC9C">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0" w:type="auto"/>
            <w:tcBorders>
              <w:top w:val="nil"/>
              <w:left w:val="nil"/>
              <w:bottom w:val="single" w:color="BBBBBB" w:sz="6" w:space="0"/>
              <w:right w:val="nil"/>
            </w:tcBorders>
            <w:shd w:val="clear" w:color="auto" w:fill="FFFFFF"/>
            <w:tcMar>
              <w:top w:w="150" w:type="dxa"/>
              <w:left w:w="150" w:type="dxa"/>
              <w:bottom w:w="150" w:type="dxa"/>
              <w:right w:w="150" w:type="dxa"/>
            </w:tcMar>
            <w:vAlign w:val="center"/>
          </w:tcPr>
          <w:p w14:paraId="62969A97">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3 (Med)</w:t>
            </w:r>
          </w:p>
        </w:tc>
        <w:tc>
          <w:tcPr>
            <w:tcW w:w="0" w:type="auto"/>
            <w:tcBorders>
              <w:top w:val="nil"/>
              <w:left w:val="nil"/>
              <w:bottom w:val="single" w:color="BBBBBB" w:sz="6" w:space="0"/>
              <w:right w:val="nil"/>
            </w:tcBorders>
            <w:shd w:val="clear" w:color="auto" w:fill="FFFFFF"/>
            <w:tcMar>
              <w:top w:w="150" w:type="dxa"/>
              <w:left w:w="150" w:type="dxa"/>
              <w:bottom w:w="150" w:type="dxa"/>
              <w:right w:w="150" w:type="dxa"/>
            </w:tcMar>
            <w:vAlign w:val="center"/>
          </w:tcPr>
          <w:p w14:paraId="46B57E9A">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4 (High)</w:t>
            </w:r>
          </w:p>
        </w:tc>
        <w:tc>
          <w:tcPr>
            <w:tcW w:w="0" w:type="auto"/>
            <w:tcBorders>
              <w:top w:val="nil"/>
              <w:left w:val="nil"/>
              <w:bottom w:val="single" w:color="BBBBBB" w:sz="6" w:space="0"/>
              <w:right w:val="nil"/>
            </w:tcBorders>
            <w:shd w:val="clear" w:color="auto" w:fill="FFFFFF"/>
            <w:tcMar>
              <w:top w:w="150" w:type="dxa"/>
              <w:left w:w="150" w:type="dxa"/>
              <w:bottom w:w="150" w:type="dxa"/>
              <w:right w:w="150" w:type="dxa"/>
            </w:tcMar>
            <w:vAlign w:val="center"/>
          </w:tcPr>
          <w:p w14:paraId="3BC6BB6D">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5 (Crit)</w:t>
            </w:r>
          </w:p>
        </w:tc>
      </w:tr>
      <w:tr w14:paraId="47D9ABF3">
        <w:tblPrEx>
          <w:tblCellMar>
            <w:top w:w="15" w:type="dxa"/>
            <w:left w:w="15" w:type="dxa"/>
            <w:bottom w:w="15" w:type="dxa"/>
            <w:right w:w="15" w:type="dxa"/>
          </w:tblCellMar>
        </w:tblPrEx>
        <w:trPr>
          <w:trHeight w:val="531" w:hRule="atLeast"/>
          <w:jc w:val="center"/>
        </w:trPr>
        <w:tc>
          <w:tcPr>
            <w:tcW w:w="0" w:type="auto"/>
            <w:tcBorders>
              <w:top w:val="nil"/>
              <w:left w:val="nil"/>
              <w:bottom w:val="single" w:color="E5E5E5" w:sz="6" w:space="0"/>
              <w:right w:val="nil"/>
            </w:tcBorders>
            <w:shd w:val="clear" w:color="auto" w:fill="FFFFFF"/>
            <w:tcMar>
              <w:top w:w="150" w:type="dxa"/>
              <w:left w:w="0" w:type="dxa"/>
              <w:bottom w:w="150" w:type="dxa"/>
              <w:right w:w="150" w:type="dxa"/>
            </w:tcMar>
            <w:vAlign w:val="center"/>
          </w:tcPr>
          <w:p w14:paraId="77984B8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5 (High)</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2896BB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3998C49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34BA6A4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6E8C4A6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Extreme</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170F7A76">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Extreme</w:t>
            </w:r>
          </w:p>
        </w:tc>
      </w:tr>
      <w:tr w14:paraId="79D16763">
        <w:tblPrEx>
          <w:tblCellMar>
            <w:top w:w="15" w:type="dxa"/>
            <w:left w:w="15" w:type="dxa"/>
            <w:bottom w:w="15" w:type="dxa"/>
            <w:right w:w="15" w:type="dxa"/>
          </w:tblCellMar>
        </w:tblPrEx>
        <w:trPr>
          <w:trHeight w:val="531" w:hRule="atLeast"/>
          <w:jc w:val="center"/>
        </w:trPr>
        <w:tc>
          <w:tcPr>
            <w:tcW w:w="0" w:type="auto"/>
            <w:tcBorders>
              <w:top w:val="nil"/>
              <w:left w:val="nil"/>
              <w:bottom w:val="single" w:color="E5E5E5" w:sz="6" w:space="0"/>
              <w:right w:val="nil"/>
            </w:tcBorders>
            <w:shd w:val="clear" w:color="auto" w:fill="FFFFFF"/>
            <w:tcMar>
              <w:top w:w="150" w:type="dxa"/>
              <w:left w:w="0" w:type="dxa"/>
              <w:bottom w:w="150" w:type="dxa"/>
              <w:right w:w="150" w:type="dxa"/>
            </w:tcMar>
            <w:vAlign w:val="center"/>
          </w:tcPr>
          <w:p w14:paraId="04A6742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4</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00C1CA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25776A9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7141B93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016B507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0CFA4FBB">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Extreme</w:t>
            </w:r>
          </w:p>
        </w:tc>
      </w:tr>
      <w:tr w14:paraId="1923AA9D">
        <w:tblPrEx>
          <w:tblCellMar>
            <w:top w:w="15" w:type="dxa"/>
            <w:left w:w="15" w:type="dxa"/>
            <w:bottom w:w="15" w:type="dxa"/>
            <w:right w:w="15" w:type="dxa"/>
          </w:tblCellMar>
        </w:tblPrEx>
        <w:trPr>
          <w:trHeight w:val="557" w:hRule="atLeast"/>
          <w:jc w:val="center"/>
        </w:trPr>
        <w:tc>
          <w:tcPr>
            <w:tcW w:w="0" w:type="auto"/>
            <w:tcBorders>
              <w:top w:val="nil"/>
              <w:left w:val="nil"/>
              <w:bottom w:val="single" w:color="E5E5E5" w:sz="6" w:space="0"/>
              <w:right w:val="nil"/>
            </w:tcBorders>
            <w:shd w:val="clear" w:color="auto" w:fill="FFFFFF"/>
            <w:tcMar>
              <w:top w:w="150" w:type="dxa"/>
              <w:left w:w="0" w:type="dxa"/>
              <w:bottom w:w="150" w:type="dxa"/>
              <w:right w:w="150" w:type="dxa"/>
            </w:tcMar>
            <w:vAlign w:val="center"/>
          </w:tcPr>
          <w:p w14:paraId="71783DFB">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3 (Med)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2CEEB5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5CC532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142247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021EF0D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7809558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r>
      <w:tr w14:paraId="2845A8C3">
        <w:tblPrEx>
          <w:shd w:val="clear" w:color="auto" w:fill="FFFFFF"/>
          <w:tblCellMar>
            <w:top w:w="15" w:type="dxa"/>
            <w:left w:w="15" w:type="dxa"/>
            <w:bottom w:w="15" w:type="dxa"/>
            <w:right w:w="15" w:type="dxa"/>
          </w:tblCellMar>
        </w:tblPrEx>
        <w:trPr>
          <w:trHeight w:val="531" w:hRule="atLeast"/>
          <w:jc w:val="center"/>
        </w:trPr>
        <w:tc>
          <w:tcPr>
            <w:tcW w:w="0" w:type="auto"/>
            <w:tcBorders>
              <w:top w:val="nil"/>
              <w:left w:val="nil"/>
              <w:bottom w:val="single" w:color="E5E5E5" w:sz="6" w:space="0"/>
              <w:right w:val="nil"/>
            </w:tcBorders>
            <w:shd w:val="clear" w:color="auto" w:fill="FFFFFF"/>
            <w:tcMar>
              <w:top w:w="150" w:type="dxa"/>
              <w:left w:w="0" w:type="dxa"/>
              <w:bottom w:w="150" w:type="dxa"/>
              <w:right w:w="150" w:type="dxa"/>
            </w:tcMar>
            <w:vAlign w:val="center"/>
          </w:tcPr>
          <w:p w14:paraId="08550FD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2</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424D9DE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36AF3E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7BFE567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674837D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58935C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High</w:t>
            </w:r>
          </w:p>
        </w:tc>
      </w:tr>
      <w:tr w14:paraId="3381CEB9">
        <w:tblPrEx>
          <w:tblCellMar>
            <w:top w:w="15" w:type="dxa"/>
            <w:left w:w="15" w:type="dxa"/>
            <w:bottom w:w="15" w:type="dxa"/>
            <w:right w:w="15" w:type="dxa"/>
          </w:tblCellMar>
        </w:tblPrEx>
        <w:trPr>
          <w:trHeight w:val="531" w:hRule="atLeast"/>
          <w:jc w:val="center"/>
        </w:trPr>
        <w:tc>
          <w:tcPr>
            <w:tcW w:w="0" w:type="auto"/>
            <w:tcBorders>
              <w:top w:val="nil"/>
              <w:left w:val="nil"/>
              <w:bottom w:val="single" w:color="E5E5E5" w:sz="6" w:space="0"/>
              <w:right w:val="nil"/>
            </w:tcBorders>
            <w:shd w:val="clear" w:color="auto" w:fill="FFFFFF"/>
            <w:tcMar>
              <w:top w:w="150" w:type="dxa"/>
              <w:left w:w="0" w:type="dxa"/>
              <w:bottom w:w="150" w:type="dxa"/>
              <w:right w:w="150" w:type="dxa"/>
            </w:tcMar>
            <w:vAlign w:val="center"/>
          </w:tcPr>
          <w:p w14:paraId="1368013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1 (Low)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180302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469152A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501D2C0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0A300F4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c>
          <w:tcPr>
            <w:tcW w:w="0" w:type="auto"/>
            <w:tcBorders>
              <w:top w:val="nil"/>
              <w:left w:val="nil"/>
              <w:bottom w:val="single" w:color="E5E5E5" w:sz="6" w:space="0"/>
              <w:right w:val="nil"/>
            </w:tcBorders>
            <w:shd w:val="clear" w:color="auto" w:fill="FFFFFF"/>
            <w:tcMar>
              <w:top w:w="150" w:type="dxa"/>
              <w:left w:w="150" w:type="dxa"/>
              <w:bottom w:w="150" w:type="dxa"/>
              <w:right w:w="150" w:type="dxa"/>
            </w:tcMar>
            <w:vAlign w:val="center"/>
          </w:tcPr>
          <w:p w14:paraId="70C793E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Med</w:t>
            </w:r>
          </w:p>
        </w:tc>
      </w:tr>
    </w:tbl>
    <w:p w14:paraId="5022C2AF">
      <w:pPr>
        <w:spacing w:after="0" w:line="276" w:lineRule="auto"/>
        <w:jc w:val="both"/>
        <w:rPr>
          <w:rFonts w:ascii="Times New Roman" w:hAnsi="Times New Roman" w:cs="Times New Roman"/>
          <w:sz w:val="24"/>
          <w:szCs w:val="24"/>
        </w:rPr>
      </w:pPr>
    </w:p>
    <w:p w14:paraId="1823AA54">
      <w:pPr>
        <w:spacing w:after="0" w:line="276" w:lineRule="auto"/>
        <w:jc w:val="both"/>
        <w:rPr>
          <w:rFonts w:ascii="Times New Roman" w:hAnsi="Times New Roman" w:cs="Times New Roman"/>
          <w:sz w:val="24"/>
          <w:szCs w:val="24"/>
        </w:rPr>
      </w:pPr>
    </w:p>
    <w:p w14:paraId="7F0D6D0D">
      <w:pPr>
        <w:spacing w:after="0" w:line="276" w:lineRule="auto"/>
        <w:jc w:val="both"/>
        <w:rPr>
          <w:rFonts w:ascii="Times New Roman" w:hAnsi="Times New Roman" w:cs="Times New Roman"/>
          <w:sz w:val="24"/>
          <w:szCs w:val="24"/>
        </w:rPr>
      </w:pPr>
    </w:p>
    <w:p w14:paraId="27B5BC0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analysis highlights the importance of proactive risk management in IT infrastructure. By quantifying risks using structured frameworks like NIST SP 800-30, organizations can allocate resources effectively, ensuring resilience against critical failures. Regular audits, continuous monitoring, and periodic reassessments further strengthen an organization’s ability to mitigate evolving threats.</w:t>
      </w:r>
    </w:p>
    <w:sectPr>
      <w:pgSz w:w="12240" w:h="15840"/>
      <w:pgMar w:top="720" w:right="720" w:bottom="720" w:left="720" w:header="720" w:footer="720" w:gutter="0"/>
      <w:pgBorders w:display="firstPage" w:offsetFrom="page">
        <w:top w:val="single" w:color="auto" w:sz="48" w:space="24"/>
        <w:left w:val="single" w:color="auto" w:sz="48" w:space="24"/>
        <w:bottom w:val="single" w:color="auto" w:sz="48" w:space="24"/>
        <w:right w:val="single" w:color="auto" w:sz="4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F371EB"/>
    <w:multiLevelType w:val="multilevel"/>
    <w:tmpl w:val="61F371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3B"/>
    <w:rsid w:val="00061EF2"/>
    <w:rsid w:val="0008296D"/>
    <w:rsid w:val="000A3B8D"/>
    <w:rsid w:val="000F2644"/>
    <w:rsid w:val="00144F28"/>
    <w:rsid w:val="001C130E"/>
    <w:rsid w:val="001D1E27"/>
    <w:rsid w:val="002832E8"/>
    <w:rsid w:val="00310809"/>
    <w:rsid w:val="003472B7"/>
    <w:rsid w:val="00396D61"/>
    <w:rsid w:val="003D0893"/>
    <w:rsid w:val="003D2FF3"/>
    <w:rsid w:val="003E0AC7"/>
    <w:rsid w:val="00445282"/>
    <w:rsid w:val="00465BDB"/>
    <w:rsid w:val="00472331"/>
    <w:rsid w:val="005304CC"/>
    <w:rsid w:val="005456AB"/>
    <w:rsid w:val="00572E16"/>
    <w:rsid w:val="005C29A8"/>
    <w:rsid w:val="005D543B"/>
    <w:rsid w:val="005F01BB"/>
    <w:rsid w:val="00641810"/>
    <w:rsid w:val="00656671"/>
    <w:rsid w:val="00677A65"/>
    <w:rsid w:val="00680858"/>
    <w:rsid w:val="00690AF4"/>
    <w:rsid w:val="00690FC2"/>
    <w:rsid w:val="006E6FF6"/>
    <w:rsid w:val="00750E62"/>
    <w:rsid w:val="00765067"/>
    <w:rsid w:val="007E1257"/>
    <w:rsid w:val="00872106"/>
    <w:rsid w:val="008808F3"/>
    <w:rsid w:val="00903A70"/>
    <w:rsid w:val="009416EE"/>
    <w:rsid w:val="00981F39"/>
    <w:rsid w:val="009B1B40"/>
    <w:rsid w:val="009B707B"/>
    <w:rsid w:val="00A810DE"/>
    <w:rsid w:val="00AF0B90"/>
    <w:rsid w:val="00BD60AA"/>
    <w:rsid w:val="00BF50E0"/>
    <w:rsid w:val="00C359CC"/>
    <w:rsid w:val="00D2183B"/>
    <w:rsid w:val="00D33C35"/>
    <w:rsid w:val="00D458B9"/>
    <w:rsid w:val="00D7579C"/>
    <w:rsid w:val="00DF20BB"/>
    <w:rsid w:val="00E438FE"/>
    <w:rsid w:val="00E61670"/>
    <w:rsid w:val="00E84874"/>
    <w:rsid w:val="00EA712D"/>
    <w:rsid w:val="00EE5519"/>
    <w:rsid w:val="00EF4376"/>
    <w:rsid w:val="00F462A3"/>
    <w:rsid w:val="00FC395B"/>
    <w:rsid w:val="3A350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rPr>
      <w:rFonts w:ascii="Times New Roman" w:hAnsi="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229</Words>
  <Characters>1170</Characters>
  <Lines>117</Lines>
  <Paragraphs>77</Paragraphs>
  <TotalTime>5177</TotalTime>
  <ScaleCrop>false</ScaleCrop>
  <LinksUpToDate>false</LinksUpToDate>
  <CharactersWithSpaces>1322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2025-05-15T00:57:00Z</dcterms:created>
  <dc:creator>Nsiah Joshua</dc:creator>
  <cp:lastModifiedBy>dela Ashiadey</cp:lastModifiedBy>
  <cp:lastPrinted>2024-11-15T12:04:00Z</cp:lastPrinted>
  <dcterms:modified xsi:type="dcterms:W3CDTF">2025-07-04T19:02:23Z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15cf60c229818d59e7dc94ee3c30f26e408b0ed3544f7c782496b717aeb20d64</vt:lpwstr>
  </property>
  <property fmtid="{D5CDD505-2E9C-101B-9397-08002B2CF9AE}" pid="3" name="KSOProductBuildVer">
    <vt:lpwstr>2057-12.2.0.21546</vt:lpwstr>
  </property>
  <property fmtid="{D5CDD505-2E9C-101B-9397-08002B2CF9AE}" pid="4" name="ICV">
    <vt:lpwstr>6CF234A56B79458B9CF72B53580BC6FD_12</vt:lpwstr>
  </property>
</Properties>
</file>