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0D549">
      <w:pPr>
        <w:pStyle w:val="2"/>
        <w:rPr>
          <w:rFonts w:hint="eastAsia" w:eastAsiaTheme="minorEastAsia"/>
        </w:rPr>
      </w:pPr>
    </w:p>
    <w:p w14:paraId="35C31721">
      <w:pPr>
        <w:pStyle w:val="3"/>
      </w:pPr>
      <w:r>
        <w:t>Slide 1：什么是插入与缺失（Indel）</w:t>
      </w:r>
    </w:p>
    <w:p w14:paraId="6F345DA6">
      <w:pPr>
        <w:pStyle w:val="3"/>
      </w:pPr>
      <w:r>
        <w:t>Slide 2：Indel 如何产生</w:t>
      </w:r>
    </w:p>
    <w:p w14:paraId="5045A933">
      <w:pPr>
        <w:pStyle w:val="3"/>
      </w:pPr>
      <w:r>
        <w:t>Slide 3：为什么热点在 NTD</w:t>
      </w:r>
    </w:p>
    <w:p w14:paraId="1CDF1265">
      <w:pPr>
        <w:spacing w:after="160" w:line="360" w:lineRule="auto"/>
        <w:rPr>
          <w:rFonts w:hint="eastAsia"/>
          <w:b/>
          <w:bCs/>
        </w:rPr>
      </w:pPr>
      <w:r>
        <w:rPr>
          <w:b/>
          <w:bCs/>
        </w:rPr>
        <w:t>Aldas-Bulos VD, et al. Adaptive advantage of deletion repair in the N-terminal domain of the SARS-CoV-2 spike protein in variants of concern. bioRxiv, 2024, 2024.01.23.575696</w:t>
      </w:r>
    </w:p>
    <w:p w14:paraId="171451BC">
      <w:pPr>
        <w:pStyle w:val="3"/>
      </w:pPr>
      <w:r>
        <w:t>Slide 4：典型缺失案例</w:t>
      </w:r>
    </w:p>
    <w:p w14:paraId="019049C8">
      <w:pPr>
        <w:pStyle w:val="17"/>
        <w:numPr>
          <w:ilvl w:val="0"/>
          <w:numId w:val="1"/>
        </w:numPr>
        <w:spacing w:after="100" w:line="340" w:lineRule="auto"/>
        <w:rPr>
          <w:b/>
          <w:bCs/>
        </w:rPr>
      </w:pPr>
      <w:r>
        <w:rPr>
          <w:b/>
          <w:bCs/>
        </w:rPr>
        <w:t>Meng B, Abdullahi A, Ferreira IATM, et al. Recurrent emergence of SARS-CoV-2 spike deletion H69/V70 and its role in the Alpha variant B.1.1.7. Cell Reports, 2021, 35(13): 109292.</w:t>
      </w:r>
    </w:p>
    <w:p w14:paraId="69495C38">
      <w:pPr>
        <w:pStyle w:val="17"/>
        <w:numPr>
          <w:ilvl w:val="0"/>
          <w:numId w:val="1"/>
        </w:numPr>
        <w:spacing w:after="100" w:line="340" w:lineRule="auto"/>
        <w:rPr>
          <w:b/>
          <w:bCs/>
        </w:rPr>
      </w:pPr>
      <w:r>
        <w:rPr>
          <w:rFonts w:hint="eastAsia"/>
          <w:b/>
          <w:bCs/>
        </w:rPr>
        <w:t>Recurrent emergence of SARS-CoV-2 spike deletion H69/V70 and its role in the Alpha variant B.1.1.7</w:t>
      </w:r>
    </w:p>
    <w:p w14:paraId="253EEEDC">
      <w:pPr>
        <w:pStyle w:val="3"/>
      </w:pPr>
      <w:r>
        <w:t>Slide 5：典型插入案例</w:t>
      </w:r>
    </w:p>
    <w:p w14:paraId="3D0330E6">
      <w:pPr>
        <w:pStyle w:val="17"/>
        <w:numPr>
          <w:ilvl w:val="0"/>
          <w:numId w:val="1"/>
        </w:numPr>
        <w:spacing w:after="100" w:line="340" w:lineRule="auto"/>
        <w:rPr>
          <w:b/>
          <w:bCs/>
        </w:rPr>
      </w:pPr>
      <w:r>
        <w:rPr>
          <w:b/>
          <w:bCs/>
        </w:rPr>
        <w:t>Venkatakrishnan AJ, Anand P, Lenehan PJ, et al. On the Origins of Omicron's Unique Spike Gene Insertion. Vaccines, 2022, 10(9): 1509.</w:t>
      </w:r>
    </w:p>
    <w:p w14:paraId="17C00818">
      <w:pPr>
        <w:spacing w:after="160" w:line="360" w:lineRule="auto"/>
        <w:rPr>
          <w:rFonts w:hint="eastAsia"/>
        </w:rPr>
      </w:pPr>
    </w:p>
    <w:p w14:paraId="3B2D7891">
      <w:pPr>
        <w:pStyle w:val="3"/>
      </w:pPr>
      <w:r>
        <w:t>Slide 6：慢性感染中的 Indel</w:t>
      </w:r>
    </w:p>
    <w:p w14:paraId="5A7721CC">
      <w:pPr>
        <w:spacing w:after="160" w:line="360" w:lineRule="auto"/>
      </w:pPr>
      <w:r>
        <w:t>慢性感染是 indel 进化意义最清晰的舞台。</w:t>
      </w:r>
    </w:p>
    <w:p w14:paraId="5D15FD31">
      <w:pPr>
        <w:pStyle w:val="17"/>
        <w:numPr>
          <w:ilvl w:val="0"/>
          <w:numId w:val="1"/>
        </w:numPr>
        <w:spacing w:after="100" w:line="340" w:lineRule="auto"/>
        <w:rPr>
          <w:b/>
          <w:bCs/>
        </w:rPr>
      </w:pPr>
      <w:r>
        <w:rPr>
          <w:b/>
          <w:bCs/>
        </w:rPr>
        <w:t>Álvarez-Herrera M, Sevilla J, Ruiz-Rodriguez P, et al. VIPERA: Viral Intra-Patient Evolution Reporting and Analysis. Virus Evolution, 2024, 10(1): veae018.</w:t>
      </w:r>
    </w:p>
    <w:p w14:paraId="133A1B2D">
      <w:pPr>
        <w:pStyle w:val="17"/>
        <w:numPr>
          <w:ilvl w:val="0"/>
          <w:numId w:val="1"/>
        </w:numPr>
        <w:spacing w:after="100" w:line="340" w:lineRule="auto"/>
        <w:rPr>
          <w:b/>
          <w:bCs/>
        </w:rPr>
      </w:pPr>
      <w:r>
        <w:rPr>
          <w:b/>
          <w:bCs/>
        </w:rPr>
        <w:t>Schmidt H, Schick L, Podlech J, et al. Adaptive evolution of SARS-CoV-2 during a persistent infection for 521 days in an immunocompromised patient. npj Genomic Medicine, 2025, 10(1): 4.</w:t>
      </w:r>
    </w:p>
    <w:p w14:paraId="0FB7868A">
      <w:pPr>
        <w:pStyle w:val="3"/>
      </w:pPr>
      <w:r>
        <w:t>Slide 7：Indel 对病毒进化的重要性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3849FC"/>
    <w:multiLevelType w:val="multilevel"/>
    <w:tmpl w:val="4C3849FC"/>
    <w:lvl w:ilvl="0" w:tentative="0">
      <w:start w:val="1"/>
      <w:numFmt w:val="bullet"/>
      <w:lvlText w:val="•"/>
      <w:lvlJc w:val="left"/>
      <w:pPr>
        <w:ind w:left="600" w:hanging="30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2DC"/>
    <w:rsid w:val="003728D9"/>
    <w:rsid w:val="00E26831"/>
    <w:rsid w:val="00E732DC"/>
    <w:rsid w:val="4F11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cs="Arial" w:eastAsiaTheme="minorEastAsia"/>
      <w:sz w:val="24"/>
      <w:szCs w:val="24"/>
      <w:lang w:val="en-US" w:eastAsia="zh-CN" w:bidi="ar-SA"/>
    </w:rPr>
  </w:style>
  <w:style w:type="paragraph" w:styleId="2">
    <w:name w:val="heading 1"/>
    <w:qFormat/>
    <w:uiPriority w:val="9"/>
    <w:pPr>
      <w:pBdr>
        <w:bottom w:val="single" w:color="1F3864" w:sz="6" w:space="4"/>
      </w:pBdr>
      <w:spacing w:before="320" w:after="200"/>
      <w:outlineLvl w:val="0"/>
    </w:pPr>
    <w:rPr>
      <w:rFonts w:ascii="Arial" w:hAnsi="Arial" w:eastAsia="Arial" w:cs="Arial"/>
      <w:b/>
      <w:bCs/>
      <w:color w:val="1F3864"/>
      <w:sz w:val="30"/>
      <w:szCs w:val="30"/>
      <w:lang w:val="en-US" w:eastAsia="zh-CN" w:bidi="ar-SA"/>
    </w:rPr>
  </w:style>
  <w:style w:type="paragraph" w:styleId="3">
    <w:name w:val="heading 2"/>
    <w:unhideWhenUsed/>
    <w:qFormat/>
    <w:uiPriority w:val="9"/>
    <w:pPr>
      <w:spacing w:before="220" w:after="120"/>
      <w:outlineLvl w:val="1"/>
    </w:pPr>
    <w:rPr>
      <w:rFonts w:ascii="Arial" w:hAnsi="Arial" w:eastAsia="Arial" w:cs="Arial"/>
      <w:b/>
      <w:bCs/>
      <w:color w:val="2E5496"/>
      <w:sz w:val="26"/>
      <w:szCs w:val="26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cs="Arial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cs="Arial" w:eastAsiaTheme="minorEastAsia"/>
      <w:i/>
      <w:iCs/>
      <w:color w:val="2E74B5"/>
      <w:sz w:val="24"/>
      <w:szCs w:val="24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cs="Arial" w:eastAsiaTheme="minorEastAsia"/>
      <w:color w:val="2E74B5"/>
      <w:sz w:val="24"/>
      <w:szCs w:val="24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cs="Arial" w:eastAsiaTheme="minorEastAsia"/>
      <w:color w:val="1F4D78"/>
      <w:sz w:val="24"/>
      <w:szCs w:val="24"/>
      <w:lang w:val="en-US" w:eastAsia="zh-CN" w:bidi="ar-SA"/>
    </w:rPr>
  </w:style>
  <w:style w:type="character" w:default="1" w:styleId="12">
    <w:name w:val="Default Paragraph Font"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rPr>
      <w:rFonts w:ascii="Arial" w:hAnsi="Arial" w:cs="Arial" w:eastAsiaTheme="minorEastAsia"/>
      <w:sz w:val="20"/>
      <w:szCs w:val="20"/>
      <w:lang w:val="en-US" w:eastAsia="zh-CN" w:bidi="ar-SA"/>
    </w:rPr>
  </w:style>
  <w:style w:type="paragraph" w:styleId="9">
    <w:name w:val="footnote text"/>
    <w:link w:val="18"/>
    <w:semiHidden/>
    <w:unhideWhenUsed/>
    <w:qFormat/>
    <w:uiPriority w:val="99"/>
    <w:rPr>
      <w:rFonts w:ascii="Arial" w:hAnsi="Arial" w:cs="Arial" w:eastAsiaTheme="minorEastAsia"/>
      <w:sz w:val="20"/>
      <w:szCs w:val="20"/>
      <w:lang w:val="en-US" w:eastAsia="zh-CN" w:bidi="ar-SA"/>
    </w:rPr>
  </w:style>
  <w:style w:type="paragraph" w:styleId="10">
    <w:name w:val="Title"/>
    <w:qFormat/>
    <w:uiPriority w:val="10"/>
    <w:rPr>
      <w:rFonts w:ascii="Arial" w:hAnsi="Arial" w:cs="Arial" w:eastAsiaTheme="minorEastAsia"/>
      <w:sz w:val="56"/>
      <w:szCs w:val="56"/>
      <w:lang w:val="en-US" w:eastAsia="zh-CN" w:bidi="ar-SA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customStyle="1" w:styleId="16">
    <w:name w:val="要点1"/>
    <w:qFormat/>
    <w:uiPriority w:val="0"/>
    <w:rPr>
      <w:rFonts w:ascii="Arial" w:hAnsi="Arial" w:cs="Arial" w:eastAsiaTheme="minorEastAsia"/>
      <w:b/>
      <w:bCs/>
      <w:sz w:val="24"/>
      <w:szCs w:val="24"/>
      <w:lang w:val="en-US" w:eastAsia="zh-CN" w:bidi="ar-SA"/>
    </w:rPr>
  </w:style>
  <w:style w:type="paragraph" w:styleId="17">
    <w:name w:val="List Paragraph"/>
    <w:qFormat/>
    <w:uiPriority w:val="0"/>
    <w:rPr>
      <w:rFonts w:ascii="Arial" w:hAnsi="Arial" w:cs="Arial" w:eastAsiaTheme="minorEastAsia"/>
      <w:sz w:val="24"/>
      <w:szCs w:val="24"/>
      <w:lang w:val="en-US" w:eastAsia="zh-CN" w:bidi="ar-SA"/>
    </w:rPr>
  </w:style>
  <w:style w:type="character" w:customStyle="1" w:styleId="18">
    <w:name w:val="脚注文本 字符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尾注文本 字符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1106</Words>
  <Characters>1923</Characters>
  <Lines>37</Lines>
  <Paragraphs>28</Paragraphs>
  <TotalTime>9</TotalTime>
  <ScaleCrop>false</ScaleCrop>
  <LinksUpToDate>false</LinksUpToDate>
  <CharactersWithSpaces>2114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2026-06-01T03:12:00Z</dcterms:created>
  <dc:creator>Un-named</dc:creator>
  <cp:lastModifiedBy>蒋贤迪</cp:lastModifiedBy>
  <dcterms:modified xsi:type="dcterms:W3CDTF">2026-06-16T13:43:54Z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eyJoZGlkIjoiZWRlYjNmNTQ1MzZkMTYyOWVmOTkwZmFjYjg5ZTRlZDgiLCJ1c2VySWQiOiIxNjM5MDA3MzM3In0=</vt:lpwstr>
  </property>
  <property fmtid="{D5CDD505-2E9C-101B-9397-08002B2CF9AE}" pid="3" name="KSOProductBuildVer">
    <vt:lpwstr>2052-12.1.0.23542</vt:lpwstr>
  </property>
  <property fmtid="{D5CDD505-2E9C-101B-9397-08002B2CF9AE}" pid="4" name="ICV">
    <vt:lpwstr>481A37A338414AF9A6F49B9B31D6966D_13</vt:lpwstr>
  </property>
</Properties>
</file>