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2B016" w14:textId="30010759" w:rsidR="005A4EF3" w:rsidRDefault="00000000">
      <w:pPr>
        <w:spacing w:after="80"/>
        <w:jc w:val="center"/>
      </w:pPr>
      <w:r>
        <w:rPr>
          <w:b/>
          <w:bCs/>
          <w:sz w:val="36"/>
          <w:szCs w:val="36"/>
        </w:rPr>
        <w:t>插入与缺失</w:t>
      </w:r>
    </w:p>
    <w:p w14:paraId="7499B637" w14:textId="77777777" w:rsidR="005A4EF3" w:rsidRDefault="00000000">
      <w:pPr>
        <w:pStyle w:val="1"/>
      </w:pPr>
      <w:r>
        <w:t>一、逐字稿</w:t>
      </w:r>
    </w:p>
    <w:p w14:paraId="47F05870" w14:textId="77777777" w:rsidR="005A4EF3" w:rsidRDefault="00000000">
      <w:pPr>
        <w:spacing w:after="160" w:line="360" w:lineRule="auto"/>
        <w:jc w:val="both"/>
      </w:pPr>
      <w:r>
        <w:t>我接下来将介绍病毒分子进化机制中的第三个关键过程</w:t>
      </w:r>
      <w:r>
        <w:t>——</w:t>
      </w:r>
      <w:r>
        <w:rPr>
          <w:b/>
          <w:bCs/>
        </w:rPr>
        <w:t>插入与缺失</w:t>
      </w:r>
      <w:r>
        <w:t>，也就是我们常说的</w:t>
      </w:r>
      <w:r>
        <w:t xml:space="preserve"> indel </w:t>
      </w:r>
      <w:r>
        <w:t>突变。</w:t>
      </w:r>
    </w:p>
    <w:p w14:paraId="6A7D8F49" w14:textId="77777777" w:rsidR="005A4EF3" w:rsidRDefault="00000000">
      <w:pPr>
        <w:spacing w:after="160" w:line="360" w:lineRule="auto"/>
        <w:jc w:val="both"/>
      </w:pPr>
      <w:r>
        <w:t>如果说点突变改变的是单个碱基、重组拼接的是大段基因片段，那么插入与缺失则是介于两者之间的一类变异：它在基因组中增加或者删去</w:t>
      </w:r>
      <w:proofErr w:type="gramStart"/>
      <w:r>
        <w:t>一</w:t>
      </w:r>
      <w:proofErr w:type="gramEnd"/>
      <w:r>
        <w:t>小段连续的核苷酸。虽然每次改变的长度往往不大，但它造成的后果却常常是结构性的、甚至是功能性的。</w:t>
      </w:r>
    </w:p>
    <w:p w14:paraId="6DEED21C" w14:textId="77777777" w:rsidR="005A4EF3" w:rsidRDefault="00000000">
      <w:pPr>
        <w:spacing w:after="160" w:line="360" w:lineRule="auto"/>
        <w:jc w:val="both"/>
      </w:pPr>
      <w:r>
        <w:t>我们先来看</w:t>
      </w:r>
      <w:r>
        <w:t xml:space="preserve"> indel </w:t>
      </w:r>
      <w:r>
        <w:t>是怎么产生的。</w:t>
      </w:r>
    </w:p>
    <w:p w14:paraId="7DFF8044" w14:textId="77777777" w:rsidR="005A4EF3" w:rsidRDefault="00000000">
      <w:pPr>
        <w:spacing w:after="160" w:line="360" w:lineRule="auto"/>
        <w:jc w:val="both"/>
      </w:pPr>
      <w:r>
        <w:t xml:space="preserve">SARS-CoV-2 </w:t>
      </w:r>
      <w:r>
        <w:t>的</w:t>
      </w:r>
      <w:r>
        <w:t xml:space="preserve"> </w:t>
      </w:r>
      <w:proofErr w:type="spellStart"/>
      <w:r>
        <w:t>RdRp</w:t>
      </w:r>
      <w:proofErr w:type="spellEnd"/>
      <w:r>
        <w:t xml:space="preserve"> </w:t>
      </w:r>
      <w:r>
        <w:t>虽然带有校正功能、整体保真度较高，但这种校正主要针对的是碱基错配，对于插入和缺失却几乎无能为力。这就给</w:t>
      </w:r>
      <w:r>
        <w:t xml:space="preserve"> indel </w:t>
      </w:r>
      <w:r>
        <w:t>的积累留下了空间。</w:t>
      </w:r>
    </w:p>
    <w:p w14:paraId="4DE8B9E5" w14:textId="77777777" w:rsidR="005A4EF3" w:rsidRDefault="00000000">
      <w:pPr>
        <w:spacing w:after="160" w:line="360" w:lineRule="auto"/>
        <w:jc w:val="both"/>
      </w:pPr>
      <w:r>
        <w:t>在分子机制层面，</w:t>
      </w:r>
      <w:r>
        <w:t xml:space="preserve">indel </w:t>
      </w:r>
      <w:r>
        <w:t>主要来自两条途径。第一条是</w:t>
      </w:r>
      <w:r>
        <w:rPr>
          <w:b/>
          <w:bCs/>
        </w:rPr>
        <w:t>聚合酶滑移</w:t>
      </w:r>
      <w:r>
        <w:t>：当聚合酶在复制一段重复序列或者高度同源的序列时，它与模板的结合并不稳定，容易发生</w:t>
      </w:r>
      <w:r>
        <w:t>“</w:t>
      </w:r>
      <w:r>
        <w:t>打滑</w:t>
      </w:r>
      <w:r>
        <w:t>”</w:t>
      </w:r>
      <w:r>
        <w:t>，从而重复或者跳过几个碱基，造成插入或缺失。第二条途径是</w:t>
      </w:r>
      <w:r>
        <w:rPr>
          <w:b/>
          <w:bCs/>
        </w:rPr>
        <w:t>模板切换</w:t>
      </w:r>
      <w:r>
        <w:t>，这其实和重组共享同一套底层机制</w:t>
      </w:r>
      <w:r>
        <w:t>——</w:t>
      </w:r>
      <w:r>
        <w:t>聚合酶在复制过程中短暂脱离再重新结合，如果结合到了错位的位置，就会留下</w:t>
      </w:r>
      <w:proofErr w:type="gramStart"/>
      <w:r>
        <w:t>一</w:t>
      </w:r>
      <w:proofErr w:type="gramEnd"/>
      <w:r>
        <w:t>小段插入或缺失。此外，</w:t>
      </w:r>
      <w:r>
        <w:t xml:space="preserve">RNA </w:t>
      </w:r>
      <w:r>
        <w:t>二级结构形成的发夹区也会让聚合酶停顿、出错，进一步提高</w:t>
      </w:r>
      <w:r>
        <w:t xml:space="preserve"> indel </w:t>
      </w:r>
      <w:r>
        <w:t>的发生概率。</w:t>
      </w:r>
    </w:p>
    <w:p w14:paraId="74307682" w14:textId="77777777" w:rsidR="005A4EF3" w:rsidRDefault="00000000">
      <w:pPr>
        <w:spacing w:after="160" w:line="360" w:lineRule="auto"/>
        <w:jc w:val="both"/>
      </w:pPr>
      <w:r>
        <w:t>需要强调的是，</w:t>
      </w:r>
      <w:r>
        <w:t xml:space="preserve">indel </w:t>
      </w:r>
      <w:r>
        <w:t>在基因组上的分布并不是随机的。它高度集中在刺突蛋白的</w:t>
      </w:r>
      <w:r>
        <w:t xml:space="preserve"> </w:t>
      </w:r>
      <w:r>
        <w:rPr>
          <w:b/>
          <w:bCs/>
        </w:rPr>
        <w:t xml:space="preserve">N </w:t>
      </w:r>
      <w:proofErr w:type="gramStart"/>
      <w:r>
        <w:rPr>
          <w:b/>
          <w:bCs/>
        </w:rPr>
        <w:t>端结构域</w:t>
      </w:r>
      <w:proofErr w:type="gramEnd"/>
      <w:r>
        <w:t>，也就是</w:t>
      </w:r>
      <w:r>
        <w:t xml:space="preserve"> NTD </w:t>
      </w:r>
      <w:r>
        <w:t>区域。</w:t>
      </w:r>
    </w:p>
    <w:p w14:paraId="023F3DC9" w14:textId="77777777" w:rsidR="005A4EF3" w:rsidRDefault="00000000">
      <w:pPr>
        <w:spacing w:after="160" w:line="360" w:lineRule="auto"/>
        <w:jc w:val="both"/>
      </w:pPr>
      <w:r>
        <w:t>为什么偏偏是</w:t>
      </w:r>
      <w:r>
        <w:t xml:space="preserve"> NTD</w:t>
      </w:r>
      <w:r>
        <w:t>？这有两个原因。第一，</w:t>
      </w:r>
      <w:r>
        <w:t xml:space="preserve">NTD </w:t>
      </w:r>
      <w:r>
        <w:t>表面有几个向外伸出的柔性环状结构，这些</w:t>
      </w:r>
      <w:r>
        <w:t xml:space="preserve"> loop </w:t>
      </w:r>
      <w:r>
        <w:t>在结构上对长度变化的容忍度很高，</w:t>
      </w:r>
      <w:proofErr w:type="gramStart"/>
      <w:r>
        <w:t>删</w:t>
      </w:r>
      <w:proofErr w:type="gramEnd"/>
      <w:r>
        <w:t>几个氨基酸、加几个氨基酸，蛋白依然能够正确折叠、维持融合功能。第二，也是更关键的，</w:t>
      </w:r>
      <w:r>
        <w:t xml:space="preserve">NTD </w:t>
      </w:r>
      <w:r>
        <w:t>上有一个被称为</w:t>
      </w:r>
      <w:r>
        <w:t>“</w:t>
      </w:r>
      <w:r>
        <w:t>超级位点</w:t>
      </w:r>
      <w:r>
        <w:t>”</w:t>
      </w:r>
      <w:r>
        <w:t>的免疫显性区域，是中和抗体的重要靶点。</w:t>
      </w:r>
      <w:r>
        <w:t xml:space="preserve">indel </w:t>
      </w:r>
      <w:r>
        <w:t>一旦发生在这里，就能直接重塑抗体识别的表面，从而实现免疫逃逸。换句话说，</w:t>
      </w:r>
      <w:r>
        <w:t xml:space="preserve">NTD </w:t>
      </w:r>
      <w:r>
        <w:t>既</w:t>
      </w:r>
      <w:r>
        <w:t>“</w:t>
      </w:r>
      <w:r>
        <w:t>扛得住</w:t>
      </w:r>
      <w:r>
        <w:t>”</w:t>
      </w:r>
      <w:r>
        <w:t>改动，改动后又</w:t>
      </w:r>
      <w:r>
        <w:t>“</w:t>
      </w:r>
      <w:r>
        <w:t>收益巨大</w:t>
      </w:r>
      <w:r>
        <w:t>”</w:t>
      </w:r>
      <w:r>
        <w:t>，因此成为了</w:t>
      </w:r>
      <w:r>
        <w:t xml:space="preserve"> indel </w:t>
      </w:r>
      <w:r>
        <w:t>的高发热点。</w:t>
      </w:r>
    </w:p>
    <w:p w14:paraId="4F31F281" w14:textId="77777777" w:rsidR="005A4EF3" w:rsidRDefault="00000000">
      <w:pPr>
        <w:spacing w:after="160" w:line="360" w:lineRule="auto"/>
        <w:jc w:val="both"/>
      </w:pPr>
      <w:r>
        <w:t>我们来看几个非常典型的例子。</w:t>
      </w:r>
    </w:p>
    <w:p w14:paraId="4A311854" w14:textId="77777777" w:rsidR="005A4EF3" w:rsidRDefault="00000000">
      <w:pPr>
        <w:spacing w:after="160" w:line="360" w:lineRule="auto"/>
        <w:jc w:val="both"/>
      </w:pPr>
      <w:r>
        <w:lastRenderedPageBreak/>
        <w:t>最有名的缺失是</w:t>
      </w:r>
      <w:r>
        <w:t xml:space="preserve"> </w:t>
      </w:r>
      <w:r>
        <w:rPr>
          <w:b/>
          <w:bCs/>
        </w:rPr>
        <w:t>S:ΔH69/V70</w:t>
      </w:r>
      <w:r>
        <w:t>，它在至少</w:t>
      </w:r>
      <w:r>
        <w:t xml:space="preserve"> 28 </w:t>
      </w:r>
      <w:proofErr w:type="gramStart"/>
      <w:r>
        <w:t>个</w:t>
      </w:r>
      <w:proofErr w:type="gramEnd"/>
      <w:r>
        <w:t>谱系中反复独立涌现，</w:t>
      </w:r>
      <w:r>
        <w:t>Alpha</w:t>
      </w:r>
      <w:r>
        <w:t>（</w:t>
      </w:r>
      <w:r>
        <w:t>B.1.1.7</w:t>
      </w:r>
      <w:r>
        <w:t>）就是最典型的代表。体外实验表明，这个缺失本身并不降低康复者血清的中和能力、也不直接带来免疫逃逸；它的作用更像是一个</w:t>
      </w:r>
      <w:r>
        <w:t>“</w:t>
      </w:r>
      <w:r>
        <w:t>许可型</w:t>
      </w:r>
      <w:r>
        <w:t>”</w:t>
      </w:r>
      <w:r>
        <w:t>突变</w:t>
      </w:r>
      <w:r>
        <w:t>——</w:t>
      </w:r>
      <w:r>
        <w:t>能够提升刺突的感染性，并让更多被切割的刺突整合进病毒颗粒，从而为病毒获得其他原本有代价的逃逸突变铺平道路。此外，它还造成了核酸检测</w:t>
      </w:r>
      <w:proofErr w:type="gramStart"/>
      <w:r>
        <w:t>中著</w:t>
      </w:r>
      <w:proofErr w:type="gramEnd"/>
      <w:r>
        <w:t>名的</w:t>
      </w:r>
      <w:r>
        <w:t xml:space="preserve">“S </w:t>
      </w:r>
      <w:r>
        <w:t>基因脱靶</w:t>
      </w:r>
      <w:r>
        <w:t>”</w:t>
      </w:r>
      <w:r>
        <w:t>现象：在</w:t>
      </w:r>
      <w:r>
        <w:t xml:space="preserve"> </w:t>
      </w:r>
      <w:proofErr w:type="spellStart"/>
      <w:r>
        <w:t>TaqPath</w:t>
      </w:r>
      <w:proofErr w:type="spellEnd"/>
      <w:r>
        <w:t xml:space="preserve"> </w:t>
      </w:r>
      <w:r>
        <w:t>这类含</w:t>
      </w:r>
      <w:r>
        <w:t xml:space="preserve"> ORF1ab</w:t>
      </w:r>
      <w:r>
        <w:t>、</w:t>
      </w:r>
      <w:r>
        <w:t>S</w:t>
      </w:r>
      <w:r>
        <w:t>、</w:t>
      </w:r>
      <w:r>
        <w:t xml:space="preserve">N </w:t>
      </w:r>
      <w:r>
        <w:t>三个靶标的试剂盒里，含该缺失的样本会出现</w:t>
      </w:r>
      <w:r>
        <w:t xml:space="preserve"> S </w:t>
      </w:r>
      <w:r>
        <w:t>靶标失败、而另外两个靶标照常阳性，这一模式后来被广泛用作</w:t>
      </w:r>
      <w:r>
        <w:t xml:space="preserve"> Alpha </w:t>
      </w:r>
      <w:r>
        <w:t>的快速筛查代理指标。</w:t>
      </w:r>
    </w:p>
    <w:p w14:paraId="587F3AB6" w14:textId="77777777" w:rsidR="005A4EF3" w:rsidRDefault="00000000">
      <w:pPr>
        <w:spacing w:after="160" w:line="360" w:lineRule="auto"/>
        <w:jc w:val="both"/>
      </w:pPr>
      <w:r>
        <w:t>另一组例子更能说明问题：</w:t>
      </w:r>
      <w:r>
        <w:t xml:space="preserve">Alpha </w:t>
      </w:r>
      <w:r>
        <w:t>的</w:t>
      </w:r>
      <w:r>
        <w:t xml:space="preserve"> ΔY144</w:t>
      </w:r>
      <w:r>
        <w:t>、</w:t>
      </w:r>
      <w:r>
        <w:t xml:space="preserve">Delta </w:t>
      </w:r>
      <w:r>
        <w:t>的</w:t>
      </w:r>
      <w:r>
        <w:t xml:space="preserve"> ΔE156/F157</w:t>
      </w:r>
      <w:r>
        <w:t>，以及</w:t>
      </w:r>
      <w:r>
        <w:t xml:space="preserve"> BA.1 </w:t>
      </w:r>
      <w:r>
        <w:t>的</w:t>
      </w:r>
      <w:r>
        <w:t xml:space="preserve"> ΔV143/Y145——</w:t>
      </w:r>
      <w:r>
        <w:t>这些缺失出现在不同的谱系里，位置却都落在</w:t>
      </w:r>
      <w:r>
        <w:t xml:space="preserve"> NTD </w:t>
      </w:r>
      <w:r>
        <w:t>的同一块表面上。这是一个非常典型的</w:t>
      </w:r>
      <w:r>
        <w:rPr>
          <w:b/>
          <w:bCs/>
        </w:rPr>
        <w:t>趋同进化</w:t>
      </w:r>
      <w:r>
        <w:t>信号：不同病毒在各自独立进化的过程中，反复</w:t>
      </w:r>
      <w:r>
        <w:t>“</w:t>
      </w:r>
      <w:r>
        <w:t>瞄准</w:t>
      </w:r>
      <w:r>
        <w:t>”</w:t>
      </w:r>
      <w:r>
        <w:t>了同一个抗体表位，说明这里的缺失是被强烈正选择驱动的适应性变异，而不是偶然的噪声。</w:t>
      </w:r>
    </w:p>
    <w:p w14:paraId="23FC3D0C" w14:textId="77777777" w:rsidR="005A4EF3" w:rsidRDefault="00000000">
      <w:pPr>
        <w:spacing w:after="160" w:line="360" w:lineRule="auto"/>
        <w:jc w:val="both"/>
      </w:pPr>
      <w:r>
        <w:t>插入方面，</w:t>
      </w:r>
      <w:proofErr w:type="gramStart"/>
      <w:r>
        <w:t>最</w:t>
      </w:r>
      <w:proofErr w:type="gramEnd"/>
      <w:r>
        <w:t>经典的案例是</w:t>
      </w:r>
      <w:r>
        <w:t xml:space="preserve"> Omicron BA.1 </w:t>
      </w:r>
      <w:r>
        <w:t>刺突蛋白上独有的</w:t>
      </w:r>
      <w:r>
        <w:t xml:space="preserve"> </w:t>
      </w:r>
      <w:r>
        <w:rPr>
          <w:b/>
          <w:bCs/>
        </w:rPr>
        <w:t>ins214EPE</w:t>
      </w:r>
      <w:r>
        <w:t>，也就是在</w:t>
      </w:r>
      <w:r>
        <w:t xml:space="preserve"> 214 </w:t>
      </w:r>
      <w:r>
        <w:t>位插入了三个氨基酸。这个插入在此前所有谱系中都从未出现过，研究者推测它最可能来自模板切换，也可能来自局部重复或聚合酶滑移。</w:t>
      </w:r>
    </w:p>
    <w:p w14:paraId="1EBEC28A" w14:textId="77777777" w:rsidR="005A4EF3" w:rsidRDefault="00000000">
      <w:pPr>
        <w:spacing w:after="160" w:line="360" w:lineRule="auto"/>
        <w:jc w:val="both"/>
      </w:pPr>
      <w:r>
        <w:t>那么</w:t>
      </w:r>
      <w:r>
        <w:t xml:space="preserve"> indel </w:t>
      </w:r>
      <w:r>
        <w:t>在慢性感染中扮演什么角色呢？这是</w:t>
      </w:r>
      <w:r>
        <w:t xml:space="preserve"> indel </w:t>
      </w:r>
      <w:r>
        <w:t>进化意义最集中、最清晰的舞台。</w:t>
      </w:r>
    </w:p>
    <w:p w14:paraId="1739DF0F" w14:textId="77777777" w:rsidR="005A4EF3" w:rsidRDefault="00000000">
      <w:pPr>
        <w:spacing w:after="160" w:line="360" w:lineRule="auto"/>
        <w:jc w:val="both"/>
      </w:pPr>
      <w:r>
        <w:t xml:space="preserve">Álvarez-Herrera </w:t>
      </w:r>
      <w:r>
        <w:t>等人开发的</w:t>
      </w:r>
      <w:r>
        <w:t xml:space="preserve"> VIPERA </w:t>
      </w:r>
      <w:r>
        <w:t>工具，专门用于分析慢性感染病例中病毒的体内进化轨迹。在其案例研究中，</w:t>
      </w:r>
      <w:r>
        <w:t xml:space="preserve">VIPERA </w:t>
      </w:r>
      <w:r>
        <w:t>不仅能区分并标注单核苷酸变异与插入</w:t>
      </w:r>
      <w:r>
        <w:t>/</w:t>
      </w:r>
      <w:r>
        <w:t>缺失（</w:t>
      </w:r>
      <w:r>
        <w:t>indel</w:t>
      </w:r>
      <w:r>
        <w:t>），还检测到了与免疫逃逸相关的突变（如</w:t>
      </w:r>
      <w:r>
        <w:t xml:space="preserve"> S:V143D + ΔY144 </w:t>
      </w:r>
      <w:r>
        <w:t>等此前在体内进化中反复出现的变异）；更重要的是，通过纳入患者的临床病史，该工具揭示出病毒进化轨迹的改变与临床干预之间存在时间上的对应关系。</w:t>
      </w:r>
    </w:p>
    <w:p w14:paraId="222EFB66" w14:textId="77777777" w:rsidR="005A4EF3" w:rsidRDefault="00000000">
      <w:pPr>
        <w:spacing w:after="160" w:line="360" w:lineRule="auto"/>
        <w:jc w:val="both"/>
      </w:pPr>
      <w:r>
        <w:t>更有说服力的是</w:t>
      </w:r>
      <w:r>
        <w:t xml:space="preserve"> Schmidt </w:t>
      </w:r>
      <w:r>
        <w:t>等人的研究。他们对一位接受异基因造血干细胞移植的免疫缺陷患者长达</w:t>
      </w:r>
      <w:r>
        <w:t xml:space="preserve"> </w:t>
      </w:r>
      <w:r>
        <w:rPr>
          <w:b/>
          <w:bCs/>
        </w:rPr>
        <w:t xml:space="preserve">521 </w:t>
      </w:r>
      <w:r>
        <w:rPr>
          <w:b/>
          <w:bCs/>
        </w:rPr>
        <w:t>天</w:t>
      </w:r>
      <w:r>
        <w:t>的感染史进行了全基因组纵向测序。在整个感染过程中，病毒群体累积了</w:t>
      </w:r>
      <w:r>
        <w:t xml:space="preserve"> 34 </w:t>
      </w:r>
      <w:proofErr w:type="gramStart"/>
      <w:r>
        <w:t>个</w:t>
      </w:r>
      <w:proofErr w:type="gramEnd"/>
      <w:r>
        <w:t>氨基酸替换和</w:t>
      </w:r>
      <w:r>
        <w:t xml:space="preserve"> 8 </w:t>
      </w:r>
      <w:proofErr w:type="gramStart"/>
      <w:r>
        <w:t>个</w:t>
      </w:r>
      <w:proofErr w:type="gramEnd"/>
      <w:r>
        <w:t>缺失，其中相当大一部分富集在刺突蛋白的受体结合域。值得注意的是，单是</w:t>
      </w:r>
      <w:r>
        <w:t xml:space="preserve"> RBD </w:t>
      </w:r>
      <w:r>
        <w:t>区域就出现了</w:t>
      </w:r>
      <w:r>
        <w:t xml:space="preserve"> 11 </w:t>
      </w:r>
      <w:proofErr w:type="gramStart"/>
      <w:r>
        <w:t>个</w:t>
      </w:r>
      <w:proofErr w:type="gramEnd"/>
      <w:r>
        <w:t>氨基酸替换，远超该功能区随机分布的预期约</w:t>
      </w:r>
      <w:r>
        <w:t xml:space="preserve"> 15 </w:t>
      </w:r>
      <w:proofErr w:type="gramStart"/>
      <w:r>
        <w:t>倍</w:t>
      </w:r>
      <w:proofErr w:type="gramEnd"/>
      <w:r>
        <w:t>——</w:t>
      </w:r>
      <w:r>
        <w:t>这是强烈正选择的直接证据。在这一背景下，缺失突变与大量替换并存、共同作用，反映出在免疫缺陷宿主长期、高强度的免疫选择环境中，缺失同</w:t>
      </w:r>
      <w:r>
        <w:lastRenderedPageBreak/>
        <w:t>样是病毒持续适应、逃逸抗体压力的一种适应性变异。</w:t>
      </w:r>
    </w:p>
    <w:p w14:paraId="7F6F2D53" w14:textId="77777777" w:rsidR="005A4EF3" w:rsidRDefault="00000000">
      <w:pPr>
        <w:spacing w:after="160" w:line="360" w:lineRule="auto"/>
        <w:jc w:val="both"/>
      </w:pPr>
      <w:r>
        <w:t>最后，我用一句话来总结这一部分：</w:t>
      </w:r>
    </w:p>
    <w:p w14:paraId="672ACEF9" w14:textId="77777777" w:rsidR="005A4EF3" w:rsidRDefault="00000000">
      <w:pPr>
        <w:spacing w:after="160" w:line="360" w:lineRule="auto"/>
        <w:jc w:val="both"/>
      </w:pPr>
      <w:r>
        <w:t>点突变是单个碱基的改写，重组是大段片段的拼接，而插入与缺失，则是在</w:t>
      </w:r>
      <w:r>
        <w:t xml:space="preserve"> NTD </w:t>
      </w:r>
      <w:r>
        <w:t>这样的关键抗原区域上，对蛋白结构进行的</w:t>
      </w:r>
      <w:r>
        <w:t>“</w:t>
      </w:r>
      <w:r>
        <w:t>精准微整形</w:t>
      </w:r>
      <w:r>
        <w:t>”</w:t>
      </w:r>
      <w:r>
        <w:t>。</w:t>
      </w:r>
    </w:p>
    <w:p w14:paraId="7053102E" w14:textId="77777777" w:rsidR="005A4EF3" w:rsidRDefault="00000000">
      <w:pPr>
        <w:spacing w:after="160" w:line="360" w:lineRule="auto"/>
        <w:jc w:val="both"/>
      </w:pPr>
      <w:r>
        <w:t>它的独特之处在于：聚合酶的校正系统对它几乎无效，它高度集中在免疫显性的</w:t>
      </w:r>
      <w:r>
        <w:t xml:space="preserve"> NTD </w:t>
      </w:r>
      <w:r>
        <w:t>超级位点，并通过趋同进化和慢性感染中的逐步积累，成为病毒重塑抗原表面、逃逸抗体压力的一种高效而隐蔽的进化策略。</w:t>
      </w:r>
    </w:p>
    <w:p w14:paraId="3DA099DD" w14:textId="2BA2BAFB" w:rsidR="005A4EF3" w:rsidRDefault="00000000">
      <w:pPr>
        <w:pStyle w:val="1"/>
      </w:pPr>
      <w:r>
        <w:t>二、幻灯片大纲</w:t>
      </w:r>
    </w:p>
    <w:p w14:paraId="553B9584" w14:textId="77777777" w:rsidR="005A4EF3" w:rsidRDefault="00000000">
      <w:pPr>
        <w:pStyle w:val="2"/>
      </w:pPr>
      <w:r>
        <w:t>Slide 1：什么是插入与缺失（Indel）</w:t>
      </w:r>
    </w:p>
    <w:p w14:paraId="69E3C7CF" w14:textId="77777777" w:rsidR="005A4EF3" w:rsidRDefault="00000000">
      <w:pPr>
        <w:spacing w:after="160" w:line="360" w:lineRule="auto"/>
      </w:pPr>
      <w:r>
        <w:t>插入与缺失，简称</w:t>
      </w:r>
      <w:r>
        <w:t xml:space="preserve"> indel</w:t>
      </w:r>
      <w:r>
        <w:t>，是在基因组中增加或删去</w:t>
      </w:r>
      <w:proofErr w:type="gramStart"/>
      <w:r>
        <w:t>一</w:t>
      </w:r>
      <w:proofErr w:type="gramEnd"/>
      <w:r>
        <w:t>小段连续核苷酸的突变。它介于点突变与重组之间：改变的长度通常不大，但后果常常是结构性的。</w:t>
      </w:r>
    </w:p>
    <w:p w14:paraId="495B13EF" w14:textId="77777777" w:rsidR="005A4EF3" w:rsidRDefault="00000000">
      <w:pPr>
        <w:pStyle w:val="2"/>
      </w:pPr>
      <w:r>
        <w:t>Slide 2：Indel 如何产生</w:t>
      </w:r>
    </w:p>
    <w:p w14:paraId="46189F26" w14:textId="77777777" w:rsidR="005A4EF3" w:rsidRDefault="00000000">
      <w:pPr>
        <w:spacing w:after="160" w:line="360" w:lineRule="auto"/>
      </w:pPr>
      <w:proofErr w:type="spellStart"/>
      <w:r>
        <w:t>RdRp</w:t>
      </w:r>
      <w:proofErr w:type="spellEnd"/>
      <w:r>
        <w:t xml:space="preserve"> </w:t>
      </w:r>
      <w:r>
        <w:t>的校正功能主要针对碱基错配，对插入</w:t>
      </w:r>
      <w:r>
        <w:t>/</w:t>
      </w:r>
      <w:r>
        <w:t>缺失几乎无效，这为</w:t>
      </w:r>
      <w:r>
        <w:t xml:space="preserve"> indel </w:t>
      </w:r>
      <w:r>
        <w:t>的积累留下空间。其产生主要来自两条途径：</w:t>
      </w:r>
    </w:p>
    <w:p w14:paraId="399E6127" w14:textId="77777777" w:rsidR="005A4EF3" w:rsidRDefault="00000000">
      <w:pPr>
        <w:pStyle w:val="a4"/>
        <w:numPr>
          <w:ilvl w:val="0"/>
          <w:numId w:val="2"/>
        </w:numPr>
        <w:spacing w:after="100" w:line="340" w:lineRule="auto"/>
      </w:pPr>
      <w:r>
        <w:rPr>
          <w:b/>
          <w:bCs/>
        </w:rPr>
        <w:t>聚合酶滑移</w:t>
      </w:r>
      <w:r>
        <w:t>：复制重复或高同源序列时，聚合酶</w:t>
      </w:r>
      <w:r>
        <w:t>“</w:t>
      </w:r>
      <w:r>
        <w:t>打滑</w:t>
      </w:r>
      <w:r>
        <w:t>”</w:t>
      </w:r>
      <w:r>
        <w:t>，重复或跳过若干碱基。</w:t>
      </w:r>
    </w:p>
    <w:p w14:paraId="0C01E1AC" w14:textId="77777777" w:rsidR="005A4EF3" w:rsidRDefault="00000000">
      <w:pPr>
        <w:pStyle w:val="a4"/>
        <w:numPr>
          <w:ilvl w:val="0"/>
          <w:numId w:val="2"/>
        </w:numPr>
        <w:spacing w:after="100" w:line="340" w:lineRule="auto"/>
      </w:pPr>
      <w:r>
        <w:rPr>
          <w:b/>
          <w:bCs/>
        </w:rPr>
        <w:t>模板切换</w:t>
      </w:r>
      <w:r>
        <w:t>：聚合酶脱离再错位结合，留下小段插入</w:t>
      </w:r>
      <w:r>
        <w:t>/</w:t>
      </w:r>
      <w:r>
        <w:t>缺失（与重组共享底层机制）。</w:t>
      </w:r>
    </w:p>
    <w:p w14:paraId="60560EE8" w14:textId="53CC145A" w:rsidR="005A4EF3" w:rsidRDefault="00000000" w:rsidP="00CB33EF">
      <w:pPr>
        <w:spacing w:after="160" w:line="360" w:lineRule="auto"/>
        <w:rPr>
          <w:rFonts w:hint="eastAsia"/>
        </w:rPr>
      </w:pPr>
      <w:r>
        <w:t xml:space="preserve">RNA </w:t>
      </w:r>
      <w:r>
        <w:t>二级结构的发夹区会让聚合酶停顿、出错，进一步提高发生率。</w:t>
      </w:r>
    </w:p>
    <w:p w14:paraId="6086B28C" w14:textId="77777777" w:rsidR="005A4EF3" w:rsidRDefault="00000000">
      <w:pPr>
        <w:pStyle w:val="2"/>
      </w:pPr>
      <w:r>
        <w:t>Slide 3：为什么热点在 NTD</w:t>
      </w:r>
    </w:p>
    <w:p w14:paraId="2A7C7DA7" w14:textId="77777777" w:rsidR="005A4EF3" w:rsidRDefault="00000000">
      <w:pPr>
        <w:spacing w:after="160" w:line="360" w:lineRule="auto"/>
      </w:pPr>
      <w:r>
        <w:t xml:space="preserve">indel </w:t>
      </w:r>
      <w:r>
        <w:t>在基因组上非随机分布，高度集中在刺突蛋白</w:t>
      </w:r>
      <w:r>
        <w:t xml:space="preserve"> </w:t>
      </w:r>
      <w:r>
        <w:rPr>
          <w:b/>
          <w:bCs/>
        </w:rPr>
        <w:t xml:space="preserve">N </w:t>
      </w:r>
      <w:proofErr w:type="gramStart"/>
      <w:r>
        <w:rPr>
          <w:b/>
          <w:bCs/>
        </w:rPr>
        <w:t>端结构域</w:t>
      </w:r>
      <w:proofErr w:type="gramEnd"/>
      <w:r>
        <w:rPr>
          <w:b/>
          <w:bCs/>
        </w:rPr>
        <w:t>（</w:t>
      </w:r>
      <w:r>
        <w:rPr>
          <w:b/>
          <w:bCs/>
        </w:rPr>
        <w:t>NTD</w:t>
      </w:r>
      <w:r>
        <w:rPr>
          <w:b/>
          <w:bCs/>
        </w:rPr>
        <w:t>）</w:t>
      </w:r>
      <w:r>
        <w:t>。原因有二：</w:t>
      </w:r>
    </w:p>
    <w:p w14:paraId="04ED2C84" w14:textId="77777777" w:rsidR="005A4EF3" w:rsidRDefault="00000000">
      <w:pPr>
        <w:pStyle w:val="a4"/>
        <w:numPr>
          <w:ilvl w:val="0"/>
          <w:numId w:val="2"/>
        </w:numPr>
        <w:spacing w:after="100" w:line="340" w:lineRule="auto"/>
      </w:pPr>
      <w:r>
        <w:t xml:space="preserve">NTD </w:t>
      </w:r>
      <w:r>
        <w:t>表面的柔性环（</w:t>
      </w:r>
      <w:r>
        <w:t>loop</w:t>
      </w:r>
      <w:r>
        <w:t>）对长度变化容忍度高，</w:t>
      </w:r>
      <w:proofErr w:type="gramStart"/>
      <w:r>
        <w:t>删</w:t>
      </w:r>
      <w:proofErr w:type="gramEnd"/>
      <w:r>
        <w:t>/</w:t>
      </w:r>
      <w:r>
        <w:t>加氨基酸后蛋白仍能正确折叠并维持融合功能。</w:t>
      </w:r>
    </w:p>
    <w:p w14:paraId="19D163F3" w14:textId="77777777" w:rsidR="005A4EF3" w:rsidRDefault="00000000">
      <w:pPr>
        <w:pStyle w:val="a4"/>
        <w:numPr>
          <w:ilvl w:val="0"/>
          <w:numId w:val="2"/>
        </w:numPr>
        <w:spacing w:after="100" w:line="340" w:lineRule="auto"/>
      </w:pPr>
      <w:r>
        <w:t xml:space="preserve">NTD </w:t>
      </w:r>
      <w:r>
        <w:t>含免疫显性的</w:t>
      </w:r>
      <w:r>
        <w:t>“</w:t>
      </w:r>
      <w:r>
        <w:t>超级位点</w:t>
      </w:r>
      <w:r>
        <w:t>”</w:t>
      </w:r>
      <w:r>
        <w:t>，是中和抗体的重要靶点；改动它即可重塑抗体识别表面，实现免疫逃逸。</w:t>
      </w:r>
    </w:p>
    <w:p w14:paraId="0205FCAC" w14:textId="74CC6804" w:rsidR="005A4EF3" w:rsidRDefault="00000000" w:rsidP="00CB33EF">
      <w:pPr>
        <w:spacing w:after="160" w:line="360" w:lineRule="auto"/>
        <w:rPr>
          <w:rFonts w:hint="eastAsia"/>
        </w:rPr>
      </w:pPr>
      <w:r>
        <w:lastRenderedPageBreak/>
        <w:t>“</w:t>
      </w:r>
      <w:r>
        <w:t>扛得住改动</w:t>
      </w:r>
      <w:r>
        <w:t xml:space="preserve"> + </w:t>
      </w:r>
      <w:r>
        <w:t>改动后收益大</w:t>
      </w:r>
      <w:r>
        <w:t xml:space="preserve">”——NTD </w:t>
      </w:r>
      <w:r>
        <w:t>成为</w:t>
      </w:r>
      <w:r>
        <w:t xml:space="preserve"> indel </w:t>
      </w:r>
      <w:r>
        <w:t>高发热点。</w:t>
      </w:r>
    </w:p>
    <w:p w14:paraId="3ABB0C08" w14:textId="77777777" w:rsidR="005A4EF3" w:rsidRDefault="00000000">
      <w:pPr>
        <w:pStyle w:val="2"/>
      </w:pPr>
      <w:r>
        <w:t>Slide 4：典型缺失案例</w:t>
      </w:r>
    </w:p>
    <w:p w14:paraId="34C95591" w14:textId="77777777" w:rsidR="005A4EF3" w:rsidRDefault="00000000">
      <w:pPr>
        <w:pStyle w:val="a4"/>
        <w:numPr>
          <w:ilvl w:val="0"/>
          <w:numId w:val="2"/>
        </w:numPr>
        <w:spacing w:after="100" w:line="340" w:lineRule="auto"/>
      </w:pPr>
      <w:r>
        <w:rPr>
          <w:b/>
          <w:bCs/>
        </w:rPr>
        <w:t>S:ΔH69/V70</w:t>
      </w:r>
      <w:r>
        <w:t>：在至少</w:t>
      </w:r>
      <w:r>
        <w:t xml:space="preserve"> 28 </w:t>
      </w:r>
      <w:proofErr w:type="gramStart"/>
      <w:r>
        <w:t>个</w:t>
      </w:r>
      <w:proofErr w:type="gramEnd"/>
      <w:r>
        <w:t>谱系中反复独立涌现（如</w:t>
      </w:r>
      <w:r>
        <w:t xml:space="preserve"> Alpha/B.1.1.7</w:t>
      </w:r>
      <w:r>
        <w:t>）；本身不降低血清中和、不直接免疫逃逸，但能提升刺突感染性、增加被切割刺突整合进病毒颗粒，被视为</w:t>
      </w:r>
      <w:r>
        <w:t>“</w:t>
      </w:r>
      <w:r>
        <w:t>许可型</w:t>
      </w:r>
      <w:r>
        <w:t>”</w:t>
      </w:r>
      <w:r>
        <w:t>突变；并在</w:t>
      </w:r>
      <w:r>
        <w:t xml:space="preserve"> </w:t>
      </w:r>
      <w:proofErr w:type="spellStart"/>
      <w:r>
        <w:t>TaqPath</w:t>
      </w:r>
      <w:proofErr w:type="spellEnd"/>
      <w:r>
        <w:t xml:space="preserve"> </w:t>
      </w:r>
      <w:r>
        <w:t>三靶标检测中造成著名的</w:t>
      </w:r>
      <w:r>
        <w:t xml:space="preserve">“S </w:t>
      </w:r>
      <w:r>
        <w:t>基因脱靶（</w:t>
      </w:r>
      <w:r>
        <w:t>SGTF</w:t>
      </w:r>
      <w:r>
        <w:t>）</w:t>
      </w:r>
      <w:r>
        <w:t>”</w:t>
      </w:r>
      <w:r>
        <w:t>，被用作</w:t>
      </w:r>
      <w:r>
        <w:t xml:space="preserve"> Alpha </w:t>
      </w:r>
      <w:r>
        <w:t>的筛查代理指标。</w:t>
      </w:r>
    </w:p>
    <w:p w14:paraId="5114D440" w14:textId="3232040B" w:rsidR="005B5D09" w:rsidRDefault="005B5D09" w:rsidP="005B5D09">
      <w:pPr>
        <w:pStyle w:val="a4"/>
        <w:spacing w:after="100" w:line="340" w:lineRule="auto"/>
        <w:ind w:left="600"/>
      </w:pPr>
      <w:r w:rsidRPr="005B5D09">
        <w:drawing>
          <wp:inline distT="0" distB="0" distL="0" distR="0" wp14:anchorId="43D1EF1E" wp14:editId="512CAE42">
            <wp:extent cx="5731510" cy="2721610"/>
            <wp:effectExtent l="0" t="0" r="2540" b="2540"/>
            <wp:docPr id="610534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34956" name=""/>
                    <pic:cNvPicPr/>
                  </pic:nvPicPr>
                  <pic:blipFill>
                    <a:blip r:embed="rId5"/>
                    <a:stretch>
                      <a:fillRect/>
                    </a:stretch>
                  </pic:blipFill>
                  <pic:spPr>
                    <a:xfrm>
                      <a:off x="0" y="0"/>
                      <a:ext cx="5731510" cy="2721610"/>
                    </a:xfrm>
                    <a:prstGeom prst="rect">
                      <a:avLst/>
                    </a:prstGeom>
                  </pic:spPr>
                </pic:pic>
              </a:graphicData>
            </a:graphic>
          </wp:inline>
        </w:drawing>
      </w:r>
    </w:p>
    <w:p w14:paraId="012BBDF0" w14:textId="613B1149" w:rsidR="005B5D09" w:rsidRPr="005B5D09" w:rsidRDefault="005B5D09" w:rsidP="005B5D09">
      <w:pPr>
        <w:pStyle w:val="a4"/>
        <w:spacing w:after="100" w:line="340" w:lineRule="auto"/>
        <w:ind w:left="600"/>
        <w:rPr>
          <w:sz w:val="15"/>
          <w:szCs w:val="15"/>
        </w:rPr>
      </w:pPr>
      <w:r w:rsidRPr="005B5D09">
        <w:rPr>
          <w:sz w:val="15"/>
          <w:szCs w:val="15"/>
        </w:rPr>
        <w:t xml:space="preserve">ΔH69/V70 </w:t>
      </w:r>
      <w:r w:rsidRPr="005B5D09">
        <w:rPr>
          <w:sz w:val="15"/>
          <w:szCs w:val="15"/>
        </w:rPr>
        <w:t>突</w:t>
      </w:r>
      <w:r w:rsidRPr="005B5D09">
        <w:rPr>
          <w:rFonts w:hint="eastAsia"/>
          <w:sz w:val="15"/>
          <w:szCs w:val="15"/>
        </w:rPr>
        <w:t>变</w:t>
      </w:r>
    </w:p>
    <w:p w14:paraId="06224282" w14:textId="32130213" w:rsidR="005B5D09" w:rsidRPr="005B5D09" w:rsidRDefault="005B5D09" w:rsidP="005B5D09">
      <w:pPr>
        <w:pStyle w:val="a4"/>
        <w:spacing w:after="100" w:line="340" w:lineRule="auto"/>
        <w:ind w:left="600"/>
        <w:rPr>
          <w:sz w:val="15"/>
          <w:szCs w:val="15"/>
        </w:rPr>
      </w:pPr>
      <w:r w:rsidRPr="005B5D09">
        <w:rPr>
          <w:sz w:val="15"/>
          <w:szCs w:val="15"/>
        </w:rPr>
        <w:t>（</w:t>
      </w:r>
      <w:r w:rsidRPr="005B5D09">
        <w:rPr>
          <w:sz w:val="15"/>
          <w:szCs w:val="15"/>
        </w:rPr>
        <w:t>A</w:t>
      </w:r>
      <w:r w:rsidRPr="005B5D09">
        <w:rPr>
          <w:sz w:val="15"/>
          <w:szCs w:val="15"/>
        </w:rPr>
        <w:t>）</w:t>
      </w:r>
      <w:r w:rsidRPr="005B5D09">
        <w:rPr>
          <w:sz w:val="15"/>
          <w:szCs w:val="15"/>
        </w:rPr>
        <w:t xml:space="preserve"> </w:t>
      </w:r>
      <w:r w:rsidRPr="005B5D09">
        <w:rPr>
          <w:sz w:val="15"/>
          <w:szCs w:val="15"/>
        </w:rPr>
        <w:t>开放构象中</w:t>
      </w:r>
      <w:proofErr w:type="gramStart"/>
      <w:r w:rsidRPr="005B5D09">
        <w:rPr>
          <w:sz w:val="15"/>
          <w:szCs w:val="15"/>
        </w:rPr>
        <w:t>刺尖同三位</w:t>
      </w:r>
      <w:proofErr w:type="gramEnd"/>
      <w:r w:rsidRPr="005B5D09">
        <w:rPr>
          <w:sz w:val="15"/>
          <w:szCs w:val="15"/>
        </w:rPr>
        <w:t>体的表面表示，每种单体以不同深浅的灰度表示。右侧单体显示的</w:t>
      </w:r>
      <w:r w:rsidRPr="005B5D09">
        <w:rPr>
          <w:sz w:val="15"/>
          <w:szCs w:val="15"/>
        </w:rPr>
        <w:t>69–77</w:t>
      </w:r>
      <w:r w:rsidRPr="005B5D09">
        <w:rPr>
          <w:sz w:val="15"/>
          <w:szCs w:val="15"/>
        </w:rPr>
        <w:t>残基环为青色，中和抗体（</w:t>
      </w:r>
      <w:r w:rsidRPr="005B5D09">
        <w:rPr>
          <w:sz w:val="15"/>
          <w:szCs w:val="15"/>
        </w:rPr>
        <w:t>4A8</w:t>
      </w:r>
      <w:r w:rsidRPr="005B5D09">
        <w:rPr>
          <w:sz w:val="15"/>
          <w:szCs w:val="15"/>
        </w:rPr>
        <w:t>）结合的</w:t>
      </w:r>
      <w:r w:rsidRPr="005B5D09">
        <w:rPr>
          <w:sz w:val="15"/>
          <w:szCs w:val="15"/>
        </w:rPr>
        <w:t>NTD</w:t>
      </w:r>
      <w:r w:rsidRPr="005B5D09">
        <w:rPr>
          <w:sz w:val="15"/>
          <w:szCs w:val="15"/>
        </w:rPr>
        <w:t>表位为品红色。</w:t>
      </w:r>
    </w:p>
    <w:p w14:paraId="6B5E300B" w14:textId="77777777" w:rsidR="005B5D09" w:rsidRPr="005B5D09" w:rsidRDefault="005B5D09" w:rsidP="005B5D09">
      <w:pPr>
        <w:pStyle w:val="a4"/>
        <w:spacing w:after="100" w:line="340" w:lineRule="auto"/>
        <w:ind w:left="600"/>
        <w:rPr>
          <w:sz w:val="15"/>
          <w:szCs w:val="15"/>
        </w:rPr>
      </w:pPr>
      <w:r w:rsidRPr="005B5D09">
        <w:rPr>
          <w:sz w:val="15"/>
          <w:szCs w:val="15"/>
        </w:rPr>
        <w:t>（</w:t>
      </w:r>
      <w:r w:rsidRPr="005B5D09">
        <w:rPr>
          <w:sz w:val="15"/>
          <w:szCs w:val="15"/>
        </w:rPr>
        <w:t>B</w:t>
      </w:r>
      <w:r w:rsidRPr="005B5D09">
        <w:rPr>
          <w:sz w:val="15"/>
          <w:szCs w:val="15"/>
        </w:rPr>
        <w:t>）由于</w:t>
      </w:r>
      <w:r w:rsidRPr="005B5D09">
        <w:rPr>
          <w:sz w:val="15"/>
          <w:szCs w:val="15"/>
        </w:rPr>
        <w:t>His69</w:t>
      </w:r>
      <w:r w:rsidRPr="005B5D09">
        <w:rPr>
          <w:sz w:val="15"/>
          <w:szCs w:val="15"/>
        </w:rPr>
        <w:t>和</w:t>
      </w:r>
      <w:r w:rsidRPr="005B5D09">
        <w:rPr>
          <w:sz w:val="15"/>
          <w:szCs w:val="15"/>
        </w:rPr>
        <w:t>Val70</w:t>
      </w:r>
      <w:r w:rsidRPr="005B5D09">
        <w:rPr>
          <w:sz w:val="15"/>
          <w:szCs w:val="15"/>
        </w:rPr>
        <w:t>残基缺失，预测刺突</w:t>
      </w:r>
      <w:r w:rsidRPr="005B5D09">
        <w:rPr>
          <w:sz w:val="15"/>
          <w:szCs w:val="15"/>
        </w:rPr>
        <w:t>NTD</w:t>
      </w:r>
      <w:r w:rsidRPr="005B5D09">
        <w:rPr>
          <w:sz w:val="15"/>
          <w:szCs w:val="15"/>
        </w:rPr>
        <w:t>的构象变化。预缺失结构以青色表示，残基</w:t>
      </w:r>
      <w:r w:rsidRPr="005B5D09">
        <w:rPr>
          <w:sz w:val="15"/>
          <w:szCs w:val="15"/>
        </w:rPr>
        <w:t>69</w:t>
      </w:r>
      <w:r w:rsidRPr="005B5D09">
        <w:rPr>
          <w:sz w:val="15"/>
          <w:szCs w:val="15"/>
        </w:rPr>
        <w:t>和</w:t>
      </w:r>
      <w:r w:rsidRPr="005B5D09">
        <w:rPr>
          <w:sz w:val="15"/>
          <w:szCs w:val="15"/>
        </w:rPr>
        <w:t>70</w:t>
      </w:r>
      <w:r w:rsidRPr="005B5D09">
        <w:rPr>
          <w:sz w:val="15"/>
          <w:szCs w:val="15"/>
        </w:rPr>
        <w:t>除外，残基为红色。预测的缺失后结构以绿色显示。预缺失结构的残基</w:t>
      </w:r>
      <w:r w:rsidRPr="005B5D09">
        <w:rPr>
          <w:sz w:val="15"/>
          <w:szCs w:val="15"/>
        </w:rPr>
        <w:t>66–77</w:t>
      </w:r>
      <w:r w:rsidRPr="005B5D09">
        <w:rPr>
          <w:sz w:val="15"/>
          <w:szCs w:val="15"/>
        </w:rPr>
        <w:t>以棒状表示并按原子颜色（氮为蓝色，氧为珊瑚）。黄色线连接缺失前和后缺失结构的比对残基</w:t>
      </w:r>
      <w:r w:rsidRPr="005B5D09">
        <w:rPr>
          <w:sz w:val="15"/>
          <w:szCs w:val="15"/>
        </w:rPr>
        <w:t>66–77</w:t>
      </w:r>
      <w:r w:rsidRPr="005B5D09">
        <w:rPr>
          <w:sz w:val="15"/>
          <w:szCs w:val="15"/>
        </w:rPr>
        <w:t>，并在缺失前后构象中，</w:t>
      </w:r>
      <w:r w:rsidRPr="005B5D09">
        <w:rPr>
          <w:sz w:val="15"/>
          <w:szCs w:val="15"/>
        </w:rPr>
        <w:t>Thr73α</w:t>
      </w:r>
      <w:r w:rsidRPr="005B5D09">
        <w:rPr>
          <w:sz w:val="15"/>
          <w:szCs w:val="15"/>
        </w:rPr>
        <w:t>碳比对的</w:t>
      </w:r>
      <w:r w:rsidRPr="005B5D09">
        <w:rPr>
          <w:sz w:val="15"/>
          <w:szCs w:val="15"/>
        </w:rPr>
        <w:t>6 Å</w:t>
      </w:r>
      <w:r w:rsidRPr="005B5D09">
        <w:rPr>
          <w:sz w:val="15"/>
          <w:szCs w:val="15"/>
        </w:rPr>
        <w:t>间距被标记。</w:t>
      </w:r>
    </w:p>
    <w:p w14:paraId="5F68CF2E" w14:textId="77777777" w:rsidR="005B5D09" w:rsidRPr="005B5D09" w:rsidRDefault="005B5D09" w:rsidP="005B5D09">
      <w:pPr>
        <w:pStyle w:val="a4"/>
        <w:spacing w:after="100" w:line="340" w:lineRule="auto"/>
        <w:ind w:left="600"/>
        <w:rPr>
          <w:rFonts w:hint="eastAsia"/>
        </w:rPr>
      </w:pPr>
    </w:p>
    <w:p w14:paraId="2AE4712C" w14:textId="77777777" w:rsidR="005A4EF3" w:rsidRDefault="00000000">
      <w:pPr>
        <w:pStyle w:val="a4"/>
        <w:numPr>
          <w:ilvl w:val="0"/>
          <w:numId w:val="2"/>
        </w:numPr>
        <w:spacing w:after="100" w:line="340" w:lineRule="auto"/>
      </w:pPr>
      <w:r>
        <w:rPr>
          <w:b/>
          <w:bCs/>
        </w:rPr>
        <w:t>趋同进化</w:t>
      </w:r>
      <w:r>
        <w:t>：</w:t>
      </w:r>
      <w:r>
        <w:t xml:space="preserve">Alpha </w:t>
      </w:r>
      <w:r>
        <w:t>的</w:t>
      </w:r>
      <w:r>
        <w:t xml:space="preserve"> ΔY144</w:t>
      </w:r>
      <w:r>
        <w:t>、</w:t>
      </w:r>
      <w:r>
        <w:t xml:space="preserve">Delta </w:t>
      </w:r>
      <w:r>
        <w:t>的</w:t>
      </w:r>
      <w:r>
        <w:t xml:space="preserve"> ΔE156/F157</w:t>
      </w:r>
      <w:r>
        <w:t>、</w:t>
      </w:r>
      <w:r>
        <w:t xml:space="preserve">BA.1 </w:t>
      </w:r>
      <w:r>
        <w:t>的</w:t>
      </w:r>
      <w:r>
        <w:t xml:space="preserve"> ΔV143/Y145</w:t>
      </w:r>
      <w:r>
        <w:t>，出现在不同谱系却落在</w:t>
      </w:r>
      <w:r>
        <w:t xml:space="preserve"> NTD </w:t>
      </w:r>
      <w:r>
        <w:t>同一表面</w:t>
      </w:r>
      <w:r>
        <w:t>——</w:t>
      </w:r>
      <w:r>
        <w:t>反复瞄准同一抗体表位，是强烈正选择的信号。</w:t>
      </w:r>
    </w:p>
    <w:p w14:paraId="737F47DA" w14:textId="77777777" w:rsidR="005A4EF3" w:rsidRDefault="00000000">
      <w:pPr>
        <w:pStyle w:val="2"/>
      </w:pPr>
      <w:r>
        <w:t>Slide 5：典型插入案例</w:t>
      </w:r>
    </w:p>
    <w:p w14:paraId="74F47B6A" w14:textId="77777777" w:rsidR="005A4EF3" w:rsidRDefault="00000000">
      <w:pPr>
        <w:spacing w:after="160" w:line="360" w:lineRule="auto"/>
      </w:pPr>
      <w:r>
        <w:t xml:space="preserve">Omicron BA.1 </w:t>
      </w:r>
      <w:r>
        <w:t>刺突蛋白独有的</w:t>
      </w:r>
      <w:r>
        <w:t xml:space="preserve"> </w:t>
      </w:r>
      <w:r>
        <w:rPr>
          <w:b/>
          <w:bCs/>
        </w:rPr>
        <w:t>ins214EPE</w:t>
      </w:r>
      <w:r>
        <w:t>：在</w:t>
      </w:r>
      <w:r>
        <w:t xml:space="preserve"> 214 </w:t>
      </w:r>
      <w:r>
        <w:t>位插入三个氨基酸，此前所有谱系中从未出现。推测最可能来自模板切换，也可能来自局部重复或聚合酶滑移。</w:t>
      </w:r>
    </w:p>
    <w:p w14:paraId="55BC4773" w14:textId="77777777" w:rsidR="005A4EF3" w:rsidRDefault="00000000">
      <w:pPr>
        <w:pStyle w:val="2"/>
      </w:pPr>
      <w:r>
        <w:t>Slide 6：慢性感染中的 Indel</w:t>
      </w:r>
    </w:p>
    <w:p w14:paraId="330DECD5" w14:textId="77777777" w:rsidR="005A4EF3" w:rsidRDefault="00000000">
      <w:pPr>
        <w:spacing w:after="160" w:line="360" w:lineRule="auto"/>
      </w:pPr>
      <w:r>
        <w:lastRenderedPageBreak/>
        <w:t>慢性感染是</w:t>
      </w:r>
      <w:r>
        <w:t xml:space="preserve"> indel </w:t>
      </w:r>
      <w:r>
        <w:t>进化意义最清晰的舞台。</w:t>
      </w:r>
    </w:p>
    <w:p w14:paraId="384369FE" w14:textId="77777777" w:rsidR="005A4EF3" w:rsidRDefault="00000000">
      <w:pPr>
        <w:pStyle w:val="a4"/>
        <w:numPr>
          <w:ilvl w:val="0"/>
          <w:numId w:val="2"/>
        </w:numPr>
        <w:spacing w:after="100" w:line="340" w:lineRule="auto"/>
      </w:pPr>
      <w:r>
        <w:rPr>
          <w:b/>
          <w:bCs/>
        </w:rPr>
        <w:t>VIPERA</w:t>
      </w:r>
      <w:r>
        <w:rPr>
          <w:b/>
          <w:bCs/>
        </w:rPr>
        <w:t>（</w:t>
      </w:r>
      <w:r>
        <w:rPr>
          <w:b/>
          <w:bCs/>
        </w:rPr>
        <w:t xml:space="preserve">Álvarez-Herrera </w:t>
      </w:r>
      <w:r>
        <w:rPr>
          <w:b/>
          <w:bCs/>
        </w:rPr>
        <w:t>等）</w:t>
      </w:r>
      <w:r>
        <w:t>：分析慢性感染体内进化的工具，可区分</w:t>
      </w:r>
      <w:r>
        <w:t xml:space="preserve"> SNV </w:t>
      </w:r>
      <w:r>
        <w:t>与</w:t>
      </w:r>
      <w:r>
        <w:t xml:space="preserve"> indel</w:t>
      </w:r>
      <w:r>
        <w:t>；案例中检测到与免疫逃逸相关的突变（如</w:t>
      </w:r>
      <w:r>
        <w:t xml:space="preserve"> S:V143D + ΔY144</w:t>
      </w:r>
      <w:r>
        <w:t>），并揭示进化轨迹改变与临床干预存在时间对应。</w:t>
      </w:r>
    </w:p>
    <w:p w14:paraId="0D45FB1C" w14:textId="77777777" w:rsidR="005A4EF3" w:rsidRDefault="00000000">
      <w:pPr>
        <w:pStyle w:val="a4"/>
        <w:numPr>
          <w:ilvl w:val="0"/>
          <w:numId w:val="2"/>
        </w:numPr>
        <w:spacing w:after="100" w:line="340" w:lineRule="auto"/>
      </w:pPr>
      <w:r>
        <w:rPr>
          <w:b/>
          <w:bCs/>
        </w:rPr>
        <w:t xml:space="preserve">521 </w:t>
      </w:r>
      <w:r>
        <w:rPr>
          <w:b/>
          <w:bCs/>
        </w:rPr>
        <w:t>天病例（</w:t>
      </w:r>
      <w:r>
        <w:rPr>
          <w:b/>
          <w:bCs/>
        </w:rPr>
        <w:t xml:space="preserve">Schmidt </w:t>
      </w:r>
      <w:r>
        <w:rPr>
          <w:b/>
          <w:bCs/>
        </w:rPr>
        <w:t>等）</w:t>
      </w:r>
      <w:r>
        <w:t>：对异基因造血干细胞移植的免疫缺陷患者做</w:t>
      </w:r>
      <w:r>
        <w:t xml:space="preserve"> 521 </w:t>
      </w:r>
      <w:r>
        <w:t>天纵向全基因组测序，病毒累积</w:t>
      </w:r>
      <w:r>
        <w:t xml:space="preserve"> 34 </w:t>
      </w:r>
      <w:proofErr w:type="gramStart"/>
      <w:r>
        <w:t>个</w:t>
      </w:r>
      <w:proofErr w:type="gramEnd"/>
      <w:r>
        <w:t>替换</w:t>
      </w:r>
      <w:r>
        <w:t xml:space="preserve"> + 8 </w:t>
      </w:r>
      <w:proofErr w:type="gramStart"/>
      <w:r>
        <w:t>个</w:t>
      </w:r>
      <w:proofErr w:type="gramEnd"/>
      <w:r>
        <w:t>缺失，</w:t>
      </w:r>
      <w:r>
        <w:t xml:space="preserve">RBD </w:t>
      </w:r>
      <w:r>
        <w:t>区替换富集达随机预期约</w:t>
      </w:r>
      <w:r>
        <w:t xml:space="preserve"> 15 </w:t>
      </w:r>
      <w:proofErr w:type="gramStart"/>
      <w:r>
        <w:t>倍</w:t>
      </w:r>
      <w:proofErr w:type="gramEnd"/>
      <w:r>
        <w:t>——</w:t>
      </w:r>
      <w:r>
        <w:t>强烈正选择的直接证据；缺失与大量替换并存，是病毒持续逃逸抗体压力的适应性变异。</w:t>
      </w:r>
    </w:p>
    <w:p w14:paraId="4F3162D6" w14:textId="77777777" w:rsidR="005A4EF3" w:rsidRDefault="00000000">
      <w:pPr>
        <w:pStyle w:val="2"/>
      </w:pPr>
      <w:r>
        <w:t>Slide 7：Indel 对病毒进化的重要性</w:t>
      </w:r>
    </w:p>
    <w:p w14:paraId="34A98907" w14:textId="77777777" w:rsidR="005A4EF3" w:rsidRDefault="00000000">
      <w:pPr>
        <w:spacing w:after="160" w:line="360" w:lineRule="auto"/>
      </w:pPr>
      <w:r>
        <w:t>点突变是单个碱基的改写，重组是大段片段的拼接，而插入与缺失是在</w:t>
      </w:r>
      <w:r>
        <w:t xml:space="preserve"> NTD </w:t>
      </w:r>
      <w:r>
        <w:t>等关键抗原区域上对蛋白结构的</w:t>
      </w:r>
      <w:r>
        <w:t>“</w:t>
      </w:r>
      <w:r>
        <w:t>精准微整形</w:t>
      </w:r>
      <w:r>
        <w:t>”</w:t>
      </w:r>
      <w:r>
        <w:t>。</w:t>
      </w:r>
    </w:p>
    <w:p w14:paraId="66FAB0DA" w14:textId="77777777" w:rsidR="005A4EF3" w:rsidRDefault="00000000">
      <w:pPr>
        <w:spacing w:after="160" w:line="360" w:lineRule="auto"/>
      </w:pPr>
      <w:r>
        <w:t>其独特之处：</w:t>
      </w:r>
      <w:proofErr w:type="spellStart"/>
      <w:r>
        <w:t>RdRp</w:t>
      </w:r>
      <w:proofErr w:type="spellEnd"/>
      <w:r>
        <w:t xml:space="preserve"> </w:t>
      </w:r>
      <w:r>
        <w:t>校正系统对它几乎无效；高度集中于免疫显性的</w:t>
      </w:r>
      <w:r>
        <w:t xml:space="preserve"> NTD </w:t>
      </w:r>
      <w:r>
        <w:t>超级位点；通过趋同进化与慢性感染中的逐步积累，成为病毒重塑抗原表面、逃逸抗体压力的高效而隐蔽的进化策略。</w:t>
      </w:r>
    </w:p>
    <w:p w14:paraId="16FDB1D4" w14:textId="280F876B" w:rsidR="005A4EF3" w:rsidRDefault="005A4EF3" w:rsidP="00922F32">
      <w:pPr>
        <w:spacing w:after="100" w:line="340" w:lineRule="auto"/>
        <w:rPr>
          <w:rFonts w:hint="eastAsia"/>
        </w:rPr>
      </w:pPr>
    </w:p>
    <w:sectPr w:rsidR="005A4EF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68F"/>
    <w:multiLevelType w:val="hybridMultilevel"/>
    <w:tmpl w:val="930481A4"/>
    <w:lvl w:ilvl="0" w:tplc="0E8EC27C">
      <w:start w:val="1"/>
      <w:numFmt w:val="bullet"/>
      <w:lvlText w:val="●"/>
      <w:lvlJc w:val="left"/>
      <w:pPr>
        <w:ind w:left="720" w:hanging="360"/>
      </w:pPr>
    </w:lvl>
    <w:lvl w:ilvl="1" w:tplc="C994DF86">
      <w:start w:val="1"/>
      <w:numFmt w:val="bullet"/>
      <w:lvlText w:val="○"/>
      <w:lvlJc w:val="left"/>
      <w:pPr>
        <w:ind w:left="1440" w:hanging="360"/>
      </w:pPr>
    </w:lvl>
    <w:lvl w:ilvl="2" w:tplc="B51C88E6">
      <w:start w:val="1"/>
      <w:numFmt w:val="bullet"/>
      <w:lvlText w:val="■"/>
      <w:lvlJc w:val="left"/>
      <w:pPr>
        <w:ind w:left="2160" w:hanging="360"/>
      </w:pPr>
    </w:lvl>
    <w:lvl w:ilvl="3" w:tplc="5E60FBE8">
      <w:start w:val="1"/>
      <w:numFmt w:val="bullet"/>
      <w:lvlText w:val="●"/>
      <w:lvlJc w:val="left"/>
      <w:pPr>
        <w:ind w:left="2880" w:hanging="360"/>
      </w:pPr>
    </w:lvl>
    <w:lvl w:ilvl="4" w:tplc="8D520B88">
      <w:start w:val="1"/>
      <w:numFmt w:val="bullet"/>
      <w:lvlText w:val="○"/>
      <w:lvlJc w:val="left"/>
      <w:pPr>
        <w:ind w:left="3600" w:hanging="360"/>
      </w:pPr>
    </w:lvl>
    <w:lvl w:ilvl="5" w:tplc="A59849FE">
      <w:start w:val="1"/>
      <w:numFmt w:val="bullet"/>
      <w:lvlText w:val="■"/>
      <w:lvlJc w:val="left"/>
      <w:pPr>
        <w:ind w:left="4320" w:hanging="360"/>
      </w:pPr>
    </w:lvl>
    <w:lvl w:ilvl="6" w:tplc="071C2836">
      <w:start w:val="1"/>
      <w:numFmt w:val="bullet"/>
      <w:lvlText w:val="●"/>
      <w:lvlJc w:val="left"/>
      <w:pPr>
        <w:ind w:left="5040" w:hanging="360"/>
      </w:pPr>
    </w:lvl>
    <w:lvl w:ilvl="7" w:tplc="EF8C856A">
      <w:start w:val="1"/>
      <w:numFmt w:val="bullet"/>
      <w:lvlText w:val="●"/>
      <w:lvlJc w:val="left"/>
      <w:pPr>
        <w:ind w:left="5760" w:hanging="360"/>
      </w:pPr>
    </w:lvl>
    <w:lvl w:ilvl="8" w:tplc="C486F7A4">
      <w:start w:val="1"/>
      <w:numFmt w:val="bullet"/>
      <w:lvlText w:val="●"/>
      <w:lvlJc w:val="left"/>
      <w:pPr>
        <w:ind w:left="6480" w:hanging="360"/>
      </w:pPr>
    </w:lvl>
  </w:abstractNum>
  <w:abstractNum w:abstractNumId="1" w15:restartNumberingAfterBreak="0">
    <w:nsid w:val="2B452D1B"/>
    <w:multiLevelType w:val="hybridMultilevel"/>
    <w:tmpl w:val="637E50FE"/>
    <w:lvl w:ilvl="0" w:tplc="BB3202E4">
      <w:start w:val="1"/>
      <w:numFmt w:val="bullet"/>
      <w:lvlText w:val="•"/>
      <w:lvlJc w:val="left"/>
      <w:pPr>
        <w:ind w:left="600" w:hanging="300"/>
      </w:pPr>
    </w:lvl>
    <w:lvl w:ilvl="1" w:tplc="23EA4924">
      <w:numFmt w:val="decimal"/>
      <w:lvlText w:val=""/>
      <w:lvlJc w:val="left"/>
    </w:lvl>
    <w:lvl w:ilvl="2" w:tplc="3F46E32E">
      <w:numFmt w:val="decimal"/>
      <w:lvlText w:val=""/>
      <w:lvlJc w:val="left"/>
    </w:lvl>
    <w:lvl w:ilvl="3" w:tplc="20DC183C">
      <w:numFmt w:val="decimal"/>
      <w:lvlText w:val=""/>
      <w:lvlJc w:val="left"/>
    </w:lvl>
    <w:lvl w:ilvl="4" w:tplc="1E4A4624">
      <w:numFmt w:val="decimal"/>
      <w:lvlText w:val=""/>
      <w:lvlJc w:val="left"/>
    </w:lvl>
    <w:lvl w:ilvl="5" w:tplc="60680C8E">
      <w:numFmt w:val="decimal"/>
      <w:lvlText w:val=""/>
      <w:lvlJc w:val="left"/>
    </w:lvl>
    <w:lvl w:ilvl="6" w:tplc="DF78A90C">
      <w:numFmt w:val="decimal"/>
      <w:lvlText w:val=""/>
      <w:lvlJc w:val="left"/>
    </w:lvl>
    <w:lvl w:ilvl="7" w:tplc="AB44D962">
      <w:numFmt w:val="decimal"/>
      <w:lvlText w:val=""/>
      <w:lvlJc w:val="left"/>
    </w:lvl>
    <w:lvl w:ilvl="8" w:tplc="33188272">
      <w:numFmt w:val="decimal"/>
      <w:lvlText w:val=""/>
      <w:lvlJc w:val="left"/>
    </w:lvl>
  </w:abstractNum>
  <w:num w:numId="1" w16cid:durableId="1496607380">
    <w:abstractNumId w:val="0"/>
    <w:lvlOverride w:ilvl="0">
      <w:startOverride w:val="1"/>
    </w:lvlOverride>
  </w:num>
  <w:num w:numId="2" w16cid:durableId="14146700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EF3"/>
    <w:rsid w:val="00486029"/>
    <w:rsid w:val="005A4EF3"/>
    <w:rsid w:val="005B5D09"/>
    <w:rsid w:val="00922F32"/>
    <w:rsid w:val="00CB33EF"/>
    <w:rsid w:val="00E92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56879F"/>
  <w15:docId w15:val="{4DA214FD-488C-40B4-AE2C-08D73AFC3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4" w:color="1F3864"/>
      </w:pBdr>
      <w:spacing w:before="320" w:after="200"/>
      <w:outlineLvl w:val="0"/>
    </w:pPr>
    <w:rPr>
      <w:rFonts w:eastAsia="Arial"/>
      <w:b/>
      <w:bCs/>
      <w:color w:val="1F3864"/>
      <w:sz w:val="30"/>
      <w:szCs w:val="30"/>
    </w:rPr>
  </w:style>
  <w:style w:type="paragraph" w:styleId="2">
    <w:name w:val="heading 2"/>
    <w:uiPriority w:val="9"/>
    <w:unhideWhenUsed/>
    <w:qFormat/>
    <w:pPr>
      <w:spacing w:before="220" w:after="120"/>
      <w:outlineLvl w:val="1"/>
    </w:pPr>
    <w:rPr>
      <w:rFonts w:eastAsia="Arial"/>
      <w:b/>
      <w:bCs/>
      <w:color w:val="2E5496"/>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Unresolved Mention"/>
    <w:basedOn w:val="a0"/>
    <w:uiPriority w:val="99"/>
    <w:semiHidden/>
    <w:unhideWhenUsed/>
    <w:rsid w:val="005B5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1532</Words>
  <Characters>2145</Characters>
  <Application>Microsoft Office Word</Application>
  <DocSecurity>0</DocSecurity>
  <Lines>65</Lines>
  <Paragraphs>48</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BAi Zhang</cp:lastModifiedBy>
  <cp:revision>5</cp:revision>
  <dcterms:created xsi:type="dcterms:W3CDTF">2026-06-01T03:12:00Z</dcterms:created>
  <dcterms:modified xsi:type="dcterms:W3CDTF">2026-06-01T04:16:00Z</dcterms:modified>
</cp:coreProperties>
</file>