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D1B2A" w:val="clear"/>
            <w:tcMar>
              <w:top w:type="dxa" w:w="360"/>
              <w:left w:type="dxa" w:w="540"/>
              <w:bottom w:type="dxa" w:w="300"/>
              <w:right w:type="dxa" w:w="540"/>
            </w:tcMar>
          </w:tcPr>
          <w:p>
            <w:pPr>
              <w:pStyle w:val="Heading1"/>
            </w:pPr>
            <w:r>
              <w:rPr>
                <w:rFonts w:ascii="Arial" w:cs="Arial" w:eastAsia="Arial" w:hAnsi="Arial"/>
                <w:b/>
                <w:bCs/>
                <w:color w:val="FFFFFF"/>
                <w:sz w:val="38"/>
                <w:szCs w:val="38"/>
              </w:rPr>
              <w:t xml:space="preserve">SENTINEL</w:t>
            </w:r>
            <w:r>
              <w:rPr>
                <w:rFonts w:ascii="Arial" w:cs="Arial" w:eastAsia="Arial" w:hAnsi="Arial"/>
                <w:b/>
                <w:bCs/>
                <w:color w:val="64B5F6"/>
                <w:sz w:val="38"/>
                <w:szCs w:val="38"/>
              </w:rPr>
              <w:t xml:space="preserve">::AI</w:t>
            </w:r>
          </w:p>
          <w:p>
            <w:pPr>
              <w:spacing w:after="0" w:before="40"/>
            </w:pPr>
            <w:r>
              <w:rPr>
                <w:rFonts w:ascii="Arial" w:cs="Arial" w:eastAsia="Arial" w:hAnsi="Arial"/>
                <w:i/>
                <w:iCs/>
                <w:color w:val="A8C4E0"/>
                <w:sz w:val="18"/>
                <w:szCs w:val="18"/>
              </w:rPr>
              <w:t xml:space="preserve">SOC Threat Intelligence Dashboard  —  Portfolio Project</w:t>
            </w:r>
          </w:p>
        </w:tc>
      </w:tr>
    </w:tbl>
    <w:p>
      <w:pPr>
        <w:spacing w:after="0" w:before="180"/>
      </w:pPr>
      <w:r>
        <w:t xml:space="preserve"/>
      </w:r>
    </w:p>
    <w:p>
      <w:pPr>
        <w:pStyle w:val="Heading2"/>
      </w:pPr>
      <w:r>
        <w:rPr>
          <w:rFonts w:ascii="Arial" w:cs="Arial" w:eastAsia="Arial" w:hAnsi="Arial"/>
          <w:b/>
          <w:bCs/>
          <w:color w:val="2E4E7E"/>
          <w:sz w:val="22"/>
          <w:szCs w:val="22"/>
        </w:rPr>
        <w:t xml:space="preserve">Project Overview</w:t>
      </w:r>
    </w:p>
    <w:p>
      <w:pPr>
        <w:spacing w:after="120" w:before="0"/>
      </w:pPr>
      <w:r>
        <w:rPr>
          <w:rFonts w:ascii="Arial" w:cs="Arial" w:eastAsia="Arial" w:hAnsi="Arial"/>
          <w:color w:val="1C2B3A"/>
          <w:sz w:val="19"/>
          <w:szCs w:val="19"/>
        </w:rPr>
        <w:t xml:space="preserve">SENTINEL::AI is an AI-augmented Security Operations Center (SOC) dashboard built to demonstrate real-world threat detection and triage workflows. The application ingests raw security log entries, submits them to an AI model for analysis, and returns structured threat intelligence — including severity classification, MITRE ATT&amp;CK technique mapping, indicators of compromise (IOCs), recommended analyst actions, and TLP (Traffic Light Protocol) ratings.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60"/>
        <w:gridCol w:w="5220"/>
      </w:tblGrid>
      <w:tr>
        <w:tc>
          <w:tcPr>
            <w:tcBorders>
              <w:top w:val="none" w:color="FFFFFF" w:sz="0"/>
              <w:left w:val="none" w:color="FFFFFF" w:sz="0"/>
              <w:bottom w:val="none" w:color="FFFFFF" w:sz="0"/>
              <w:right w:val="none" w:color="FFFFFF" w:sz="0"/>
            </w:tcBorders>
            <w:shd w:fill="1A73E8" w:val="clear"/>
            <w:tcMar>
              <w:top w:type="dxa" w:w="120"/>
              <w:left w:type="dxa" w:w="180"/>
              <w:bottom w:type="dxa" w:w="80"/>
              <w:right w:type="dxa" w:w="120"/>
            </w:tcMar>
          </w:tcPr>
          <w:p>
            <w:r>
              <w:rPr>
                <w:rFonts w:ascii="Arial" w:cs="Arial" w:eastAsia="Arial" w:hAnsi="Arial"/>
                <w:b/>
                <w:bCs/>
                <w:color w:val="FFFFFF"/>
                <w:sz w:val="20"/>
                <w:szCs w:val="20"/>
              </w:rPr>
              <w:t xml:space="preserve">Technical Stack</w:t>
            </w:r>
          </w:p>
        </w:tc>
        <w:tc>
          <w:tcPr>
            <w:tcBorders>
              <w:top w:val="none" w:color="FFFFFF" w:sz="0"/>
              <w:left w:val="none" w:color="FFFFFF" w:sz="0"/>
              <w:bottom w:val="none" w:color="FFFFFF" w:sz="0"/>
              <w:right w:val="none" w:color="FFFFFF" w:sz="0"/>
            </w:tcBorders>
            <w:shd w:fill="2E4E7E" w:val="clear"/>
            <w:tcMar>
              <w:top w:type="dxa" w:w="120"/>
              <w:left w:type="dxa" w:w="180"/>
              <w:bottom w:type="dxa" w:w="80"/>
              <w:right w:type="dxa" w:w="120"/>
            </w:tcMar>
          </w:tcPr>
          <w:p>
            <w:r>
              <w:rPr>
                <w:rFonts w:ascii="Arial" w:cs="Arial" w:eastAsia="Arial" w:hAnsi="Arial"/>
                <w:b/>
                <w:bCs/>
                <w:color w:val="FFFFFF"/>
                <w:sz w:val="20"/>
                <w:szCs w:val="20"/>
              </w:rPr>
              <w:t xml:space="preserve">Key Security Features</w:t>
            </w:r>
          </w:p>
        </w:tc>
      </w:tr>
      <w:tr>
        <w:tc>
          <w:tcPr>
            <w:tcBorders>
              <w:top w:val="none" w:color="FFFFFF" w:sz="0"/>
              <w:left w:val="none" w:color="FFFFFF" w:sz="0"/>
              <w:bottom w:val="none" w:color="FFFFFF" w:sz="0"/>
              <w:right w:val="none" w:color="FFFFFF" w:sz="0"/>
            </w:tcBorders>
            <w:shd w:fill="F3F6FA" w:val="clear"/>
            <w:tcMar>
              <w:top w:type="dxa" w:w="120"/>
              <w:left w:type="dxa" w:w="180"/>
              <w:bottom w:type="dxa" w:w="120"/>
              <w:right w:type="dxa" w:w="120"/>
            </w:tcMar>
            <w:vAlign w:val="top"/>
          </w:tcPr>
          <w:p>
            <w:pPr>
              <w:pStyle w:val="ListParagraph"/>
              <w:numPr>
                <w:ilvl w:val="0"/>
                <w:numId w:val="2"/>
              </w:numPr>
            </w:pPr>
            <w:r>
              <w:rPr>
                <w:rFonts w:ascii="Arial" w:cs="Arial" w:eastAsia="Arial" w:hAnsi="Arial"/>
                <w:color w:val="1C2B3A"/>
                <w:sz w:val="18"/>
                <w:szCs w:val="18"/>
              </w:rPr>
              <w:t xml:space="preserve">React (functional components, hooks)</w:t>
            </w:r>
          </w:p>
          <w:p>
            <w:pPr>
              <w:pStyle w:val="ListParagraph"/>
              <w:numPr>
                <w:ilvl w:val="0"/>
                <w:numId w:val="2"/>
              </w:numPr>
            </w:pPr>
            <w:r>
              <w:rPr>
                <w:rFonts w:ascii="Arial" w:cs="Arial" w:eastAsia="Arial" w:hAnsi="Arial"/>
                <w:color w:val="1C2B3A"/>
                <w:sz w:val="18"/>
                <w:szCs w:val="18"/>
              </w:rPr>
              <w:t xml:space="preserve">Anthropic Claude API (claude-sonnet-4)</w:t>
            </w:r>
          </w:p>
          <w:p>
            <w:pPr>
              <w:pStyle w:val="ListParagraph"/>
              <w:numPr>
                <w:ilvl w:val="0"/>
                <w:numId w:val="2"/>
              </w:numPr>
            </w:pPr>
            <w:r>
              <w:rPr>
                <w:rFonts w:ascii="Arial" w:cs="Arial" w:eastAsia="Arial" w:hAnsi="Arial"/>
                <w:color w:val="1C2B3A"/>
                <w:sz w:val="18"/>
                <w:szCs w:val="18"/>
              </w:rPr>
              <w:t xml:space="preserve">RESTful API integration via fetch()</w:t>
            </w:r>
          </w:p>
          <w:p>
            <w:pPr>
              <w:pStyle w:val="ListParagraph"/>
              <w:numPr>
                <w:ilvl w:val="0"/>
                <w:numId w:val="2"/>
              </w:numPr>
            </w:pPr>
            <w:r>
              <w:rPr>
                <w:rFonts w:ascii="Arial" w:cs="Arial" w:eastAsia="Arial" w:hAnsi="Arial"/>
                <w:color w:val="1C2B3A"/>
                <w:sz w:val="18"/>
                <w:szCs w:val="18"/>
              </w:rPr>
              <w:t xml:space="preserve">Structured JSON prompt engineering</w:t>
            </w:r>
          </w:p>
          <w:p>
            <w:pPr>
              <w:pStyle w:val="ListParagraph"/>
              <w:numPr>
                <w:ilvl w:val="0"/>
                <w:numId w:val="2"/>
              </w:numPr>
            </w:pPr>
            <w:r>
              <w:rPr>
                <w:rFonts w:ascii="Arial" w:cs="Arial" w:eastAsia="Arial" w:hAnsi="Arial"/>
                <w:color w:val="1C2B3A"/>
                <w:sz w:val="18"/>
                <w:szCs w:val="18"/>
              </w:rPr>
              <w:t xml:space="preserve">Dynamic UI state management</w:t>
            </w:r>
          </w:p>
        </w:tc>
        <w:tc>
          <w:tcPr>
            <w:tcBorders>
              <w:top w:val="none" w:color="FFFFFF" w:sz="0"/>
              <w:left w:val="none" w:color="FFFFFF" w:sz="0"/>
              <w:bottom w:val="none" w:color="FFFFFF" w:sz="0"/>
              <w:right w:val="none" w:color="FFFFFF" w:sz="0"/>
            </w:tcBorders>
            <w:shd w:fill="F3F6FA" w:val="clear"/>
            <w:tcMar>
              <w:top w:type="dxa" w:w="120"/>
              <w:left w:type="dxa" w:w="180"/>
              <w:bottom w:type="dxa" w:w="120"/>
              <w:right w:type="dxa" w:w="120"/>
            </w:tcMar>
            <w:vAlign w:val="top"/>
          </w:tcPr>
          <w:p>
            <w:pPr>
              <w:pStyle w:val="ListParagraph"/>
              <w:numPr>
                <w:ilvl w:val="0"/>
                <w:numId w:val="2"/>
              </w:numPr>
            </w:pPr>
            <w:r>
              <w:rPr>
                <w:rFonts w:ascii="Arial" w:cs="Arial" w:eastAsia="Arial" w:hAnsi="Arial"/>
                <w:color w:val="1C2B3A"/>
                <w:sz w:val="18"/>
                <w:szCs w:val="18"/>
              </w:rPr>
              <w:t xml:space="preserve">MITRE ATT&amp;CK technique mapping</w:t>
            </w:r>
          </w:p>
          <w:p>
            <w:pPr>
              <w:pStyle w:val="ListParagraph"/>
              <w:numPr>
                <w:ilvl w:val="0"/>
                <w:numId w:val="2"/>
              </w:numPr>
            </w:pPr>
            <w:r>
              <w:rPr>
                <w:rFonts w:ascii="Arial" w:cs="Arial" w:eastAsia="Arial" w:hAnsi="Arial"/>
                <w:color w:val="1C2B3A"/>
                <w:sz w:val="18"/>
                <w:szCs w:val="18"/>
              </w:rPr>
              <w:t xml:space="preserve">5-tier severity triage (CRITICAL to INFO)</w:t>
            </w:r>
          </w:p>
          <w:p>
            <w:pPr>
              <w:pStyle w:val="ListParagraph"/>
              <w:numPr>
                <w:ilvl w:val="0"/>
                <w:numId w:val="2"/>
              </w:numPr>
            </w:pPr>
            <w:r>
              <w:rPr>
                <w:rFonts w:ascii="Arial" w:cs="Arial" w:eastAsia="Arial" w:hAnsi="Arial"/>
                <w:color w:val="1C2B3A"/>
                <w:sz w:val="18"/>
                <w:szCs w:val="18"/>
              </w:rPr>
              <w:t xml:space="preserve">TLP classification for incident sharing</w:t>
            </w:r>
          </w:p>
          <w:p>
            <w:pPr>
              <w:pStyle w:val="ListParagraph"/>
              <w:numPr>
                <w:ilvl w:val="0"/>
                <w:numId w:val="2"/>
              </w:numPr>
            </w:pPr>
            <w:r>
              <w:rPr>
                <w:rFonts w:ascii="Arial" w:cs="Arial" w:eastAsia="Arial" w:hAnsi="Arial"/>
                <w:color w:val="1C2B3A"/>
                <w:sz w:val="18"/>
                <w:szCs w:val="18"/>
              </w:rPr>
              <w:t xml:space="preserve">False positive likelihood scoring</w:t>
            </w:r>
          </w:p>
          <w:p>
            <w:pPr>
              <w:pStyle w:val="ListParagraph"/>
              <w:numPr>
                <w:ilvl w:val="0"/>
                <w:numId w:val="2"/>
              </w:numPr>
            </w:pPr>
            <w:r>
              <w:rPr>
                <w:rFonts w:ascii="Arial" w:cs="Arial" w:eastAsia="Arial" w:hAnsi="Arial"/>
                <w:color w:val="1C2B3A"/>
                <w:sz w:val="18"/>
                <w:szCs w:val="18"/>
              </w:rPr>
              <w:t xml:space="preserve">Custom log injection for live demos</w:t>
            </w:r>
          </w:p>
        </w:tc>
      </w:tr>
    </w:tbl>
    <w:p>
      <w:pPr>
        <w:pStyle w:val="Heading2"/>
      </w:pPr>
      <w:r>
        <w:rPr>
          <w:rFonts w:ascii="Arial" w:cs="Arial" w:eastAsia="Arial" w:hAnsi="Arial"/>
          <w:b/>
          <w:bCs/>
          <w:color w:val="2E4E7E"/>
          <w:sz w:val="22"/>
          <w:szCs w:val="22"/>
        </w:rPr>
        <w:t xml:space="preserve">How It Was Built</w:t>
      </w:r>
    </w:p>
    <w:p>
      <w:pPr>
        <w:spacing w:after="100" w:before="0"/>
      </w:pPr>
      <w:r>
        <w:rPr>
          <w:rFonts w:ascii="Arial" w:cs="Arial" w:eastAsia="Arial" w:hAnsi="Arial"/>
          <w:color w:val="1C2B3A"/>
          <w:sz w:val="19"/>
          <w:szCs w:val="19"/>
        </w:rPr>
        <w:t xml:space="preserve">The frontend is a single-page React application styled with inline CSS using a dark terminal aesthetic. Log entries are stored in component state and rendered as an interactive event list. Clicking a log opens a detail panel; clicking “Analyze” (or “Analyze All”) fires an asynchronous call to the Anthropic API.</w:t>
      </w:r>
    </w:p>
    <w:p>
      <w:pPr>
        <w:spacing w:after="100" w:before="0"/>
      </w:pPr>
      <w:r>
        <w:rPr>
          <w:rFonts w:ascii="Arial" w:cs="Arial" w:eastAsia="Arial" w:hAnsi="Arial"/>
          <w:color w:val="1C2B3A"/>
          <w:sz w:val="19"/>
          <w:szCs w:val="19"/>
        </w:rPr>
        <w:t xml:space="preserve">The API integration uses a carefully engineered system prompt that instructs the AI to act as a senior SOC analyst and return only valid JSON — no preamble or markdown. The response is parsed and mapped directly onto each log entry in state, populating severity, category, MITRE technique, indicators, recommended actions, and metadata fields in real time.</w:t>
      </w:r>
    </w:p>
    <w:p>
      <w:pPr>
        <w:spacing w:after="140" w:before="0"/>
      </w:pPr>
      <w:r>
        <w:rPr>
          <w:rFonts w:ascii="Arial" w:cs="Arial" w:eastAsia="Arial" w:hAnsi="Arial"/>
          <w:color w:val="1C2B3A"/>
          <w:sz w:val="19"/>
          <w:szCs w:val="19"/>
        </w:rPr>
        <w:t xml:space="preserve">Preloaded log events represent real attack patterns: SSH brute-force (T1110), C2 beaconing (T1071), suspicious DNS (T1071.004), PowerShell LOLBin execution (T1059.001), credential dumping via lsass (T1003), and data exfiltration (T1048). Users can also paste any custom log entry for live analysis, enabling interactive demonstrations.</w:t>
      </w:r>
    </w:p>
    <w:p>
      <w:pPr>
        <w:spacing w:after="0" w:before="200"/>
      </w:pPr>
      <w:r>
        <w:t xml:space="preserve"/>
      </w:r>
    </w:p>
    <w:p>
      <w:pPr>
        <w:pBdr>
          <w:top w:val="single" w:color="D8E4F0" w:sz="2" w:space="8"/>
        </w:pBdr>
        <w:spacing w:after="0" w:before="80"/>
        <w:jc w:val="center"/>
      </w:pPr>
      <w:r>
        <w:rPr>
          <w:rFonts w:ascii="Arial" w:cs="Arial" w:eastAsia="Arial" w:hAnsi="Arial"/>
          <w:color w:val="8AAABF"/>
          <w:sz w:val="16"/>
          <w:szCs w:val="16"/>
        </w:rPr>
        <w:t xml:space="preserve">Built with React · Anthropic Claude API · MITRE ATT&amp;CK Framework</w:t>
      </w:r>
    </w:p>
    <w:sectPr>
      <w:pgSz w:w="12240" w:h="15840" w:orient="portrait"/>
      <w:pgMar w:top="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B3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b/>
      <w:bCs/>
      <w:color w:val="FFFFFF"/>
      <w:sz w:val="28"/>
      <w:szCs w:val="28"/>
    </w:rPr>
  </w:style>
  <w:style w:type="paragraph" w:styleId="Heading2">
    <w:name w:val="Heading 2"/>
    <w:basedOn w:val="Normal"/>
    <w:next w:val="Normal"/>
    <w:qFormat/>
    <w:pPr>
      <w:spacing w:after="80" w:before="160"/>
      <w:outlineLvl w:val="1"/>
    </w:pPr>
    <w:rPr>
      <w:rFonts w:ascii="Arial" w:cs="Arial" w:eastAsia="Arial" w:hAnsi="Arial"/>
      <w:b/>
      <w:bCs/>
      <w:color w:val="2E4E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2026-06-09T14:08:49.074Z</dcterms:created>
  <dcterms:modified xsi:type="dcterms:W3CDTF">2026-06-09T14:08:49.074Z</dcterms:modified>
</cp:coreProperties>
</file>

<file path=docProps/custom.xml><?xml version="1.0" encoding="utf-8"?>
<Properties xmlns="http://schemas.openxmlformats.org/officeDocument/2006/custom-properties" xmlns:vt="http://schemas.openxmlformats.org/officeDocument/2006/docPropsVTypes"/>
</file>