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145"/>
          <w:sz w:val="50"/>
        </w:rPr>
        <w:t>Master Product Plan</w:t>
      </w:r>
    </w:p>
    <w:p>
      <w:pPr>
        <w:jc w:val="center"/>
      </w:pPr>
      <w:r>
        <w:rPr>
          <w:i/>
          <w:color w:val="555555"/>
          <w:sz w:val="24"/>
        </w:rPr>
        <w:t>Market rationale, product definition, business direction and delivery baseline</w:t>
      </w:r>
    </w:p>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Field</w:t>
            </w:r>
          </w:p>
        </w:tc>
        <w:tc>
          <w:tcPr>
            <w:tcW w:type="dxa" w:w="4997"/>
            <w:shd w:fill="E9EEF5"/>
            <w:vAlign w:val="center"/>
          </w:tcPr>
          <w:p>
            <w:r/>
            <w:r>
              <w:rPr>
                <w:b/>
                <w:sz w:val="18"/>
              </w:rPr>
              <w:t>Value</w:t>
            </w:r>
          </w:p>
        </w:tc>
      </w:tr>
      <w:tr>
        <w:tc>
          <w:tcPr>
            <w:tcW w:type="dxa" w:w="4997"/>
            <w:vAlign w:val="top"/>
          </w:tcPr>
          <w:p>
            <w:r/>
            <w:r>
              <w:rPr>
                <w:b w:val="0"/>
                <w:sz w:val="18"/>
              </w:rPr>
              <w:t>Project</w:t>
            </w:r>
          </w:p>
        </w:tc>
        <w:tc>
          <w:tcPr>
            <w:tcW w:type="dxa" w:w="4997"/>
            <w:vAlign w:val="top"/>
          </w:tcPr>
          <w:p>
            <w:r/>
            <w:r>
              <w:rPr>
                <w:b w:val="0"/>
                <w:sz w:val="18"/>
              </w:rPr>
              <w:t>Document &amp; File Platform</w:t>
            </w:r>
          </w:p>
        </w:tc>
      </w:tr>
      <w:tr>
        <w:tc>
          <w:tcPr>
            <w:tcW w:type="dxa" w:w="4997"/>
            <w:vAlign w:val="top"/>
          </w:tcPr>
          <w:p>
            <w:r/>
            <w:r>
              <w:rPr>
                <w:b w:val="0"/>
                <w:sz w:val="18"/>
              </w:rPr>
              <w:t>Document version</w:t>
            </w:r>
          </w:p>
        </w:tc>
        <w:tc>
          <w:tcPr>
            <w:tcW w:type="dxa" w:w="4997"/>
            <w:vAlign w:val="top"/>
          </w:tcPr>
          <w:p>
            <w:r/>
            <w:r>
              <w:rPr>
                <w:b w:val="0"/>
                <w:sz w:val="18"/>
              </w:rPr>
              <w:t>0.1 — Planning Baseline</w:t>
            </w:r>
          </w:p>
        </w:tc>
      </w:tr>
      <w:tr>
        <w:tc>
          <w:tcPr>
            <w:tcW w:type="dxa" w:w="4997"/>
            <w:vAlign w:val="top"/>
          </w:tcPr>
          <w:p>
            <w:r/>
            <w:r>
              <w:rPr>
                <w:b w:val="0"/>
                <w:sz w:val="18"/>
              </w:rPr>
              <w:t>Date</w:t>
            </w:r>
          </w:p>
        </w:tc>
        <w:tc>
          <w:tcPr>
            <w:tcW w:type="dxa" w:w="4997"/>
            <w:vAlign w:val="top"/>
          </w:tcPr>
          <w:p>
            <w:r/>
            <w:r>
              <w:rPr>
                <w:b w:val="0"/>
                <w:sz w:val="18"/>
              </w:rPr>
              <w:t>23 September 2026</w:t>
            </w:r>
          </w:p>
        </w:tc>
      </w:tr>
      <w:tr>
        <w:tc>
          <w:tcPr>
            <w:tcW w:type="dxa" w:w="4997"/>
            <w:vAlign w:val="top"/>
          </w:tcPr>
          <w:p>
            <w:r/>
            <w:r>
              <w:rPr>
                <w:b w:val="0"/>
                <w:sz w:val="18"/>
              </w:rPr>
              <w:t>Status</w:t>
            </w:r>
          </w:p>
        </w:tc>
        <w:tc>
          <w:tcPr>
            <w:tcW w:type="dxa" w:w="4997"/>
            <w:vAlign w:val="top"/>
          </w:tcPr>
          <w:p>
            <w:r/>
            <w:r>
              <w:rPr>
                <w:b w:val="0"/>
                <w:sz w:val="18"/>
              </w:rPr>
              <w:t>Baseline for Phase 2 engineering work</w:t>
            </w:r>
          </w:p>
        </w:tc>
      </w:tr>
      <w:tr>
        <w:tc>
          <w:tcPr>
            <w:tcW w:type="dxa" w:w="4997"/>
            <w:vAlign w:val="top"/>
          </w:tcPr>
          <w:p>
            <w:r/>
            <w:r>
              <w:rPr>
                <w:b w:val="0"/>
                <w:sz w:val="18"/>
              </w:rPr>
              <w:t>Technology direction</w:t>
            </w:r>
          </w:p>
        </w:tc>
        <w:tc>
          <w:tcPr>
            <w:tcW w:type="dxa" w:w="4997"/>
            <w:vAlign w:val="top"/>
          </w:tcPr>
          <w:p>
            <w:r/>
            <w:r>
              <w:rPr>
                <w:b w:val="0"/>
                <w:sz w:val="18"/>
              </w:rPr>
              <w:t>Next.js + TypeScript; Python/FastAPI processing services; local-first hybrid processing</w:t>
            </w:r>
          </w:p>
        </w:tc>
      </w:tr>
      <w:tr>
        <w:tc>
          <w:tcPr>
            <w:tcW w:type="dxa" w:w="4997"/>
            <w:vAlign w:val="top"/>
          </w:tcPr>
          <w:p>
            <w:r/>
            <w:r>
              <w:rPr>
                <w:b w:val="0"/>
                <w:sz w:val="18"/>
              </w:rPr>
              <w:t>Cost principle</w:t>
            </w:r>
          </w:p>
        </w:tc>
        <w:tc>
          <w:tcPr>
            <w:tcW w:type="dxa" w:w="4997"/>
            <w:vAlign w:val="top"/>
          </w:tcPr>
          <w:p>
            <w:r/>
            <w:r>
              <w:rPr>
                <w:b w:val="0"/>
                <w:sz w:val="18"/>
              </w:rPr>
              <w:t>Keep recurring infrastructure near $0 until usage justifies spend</w:t>
            </w:r>
          </w:p>
        </w:tc>
      </w:tr>
    </w:tbl>
    <w:p/>
    <w:p>
      <w:pPr>
        <w:pStyle w:val="Heading1"/>
      </w:pPr>
      <w:r>
        <w:t>1. Executive Summary</w:t>
      </w:r>
    </w:p>
    <w:p>
      <w:r>
        <w:t>The Document &amp; File Platform is the first product in a four-product software portfolio. It will be a global, privacy-first web platform for converting, organizing, optimizing and extracting information from documents. The product will prioritize local browser processing whenever practical, use transparent server-side processing only when necessary, require no account for core MVP utilities, and use organic search as its initial acquisition engine. Advertising is the initial monetization layer, with later expansion into premium processing, workflows, OCR/document intelligence, developer APIs and business plans.</w:t>
      </w:r>
    </w:p>
    <w:p>
      <w:r>
        <w:t>The strategic objective is not to build a thin advertising site. It is to build useful software that can acquire users through search and repeat usage, while preserving the option to become a SaaS and document-processing platform.</w:t>
      </w:r>
    </w:p>
    <w:p>
      <w:pPr>
        <w:pStyle w:val="Heading1"/>
      </w:pPr>
      <w:r>
        <w:t>2. Portfolio Context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9EEF5"/>
            <w:vAlign w:val="center"/>
          </w:tcPr>
          <w:p>
            <w:r/>
            <w:r>
              <w:rPr>
                <w:b/>
                <w:sz w:val="18"/>
              </w:rPr>
              <w:t>Order</w:t>
            </w:r>
          </w:p>
        </w:tc>
        <w:tc>
          <w:tcPr>
            <w:tcW w:type="dxa" w:w="2498"/>
            <w:shd w:fill="E9EEF5"/>
            <w:vAlign w:val="center"/>
          </w:tcPr>
          <w:p>
            <w:r/>
            <w:r>
              <w:rPr>
                <w:b/>
                <w:sz w:val="18"/>
              </w:rPr>
              <w:t>Product</w:t>
            </w:r>
          </w:p>
        </w:tc>
        <w:tc>
          <w:tcPr>
            <w:tcW w:type="dxa" w:w="2498"/>
            <w:shd w:fill="E9EEF5"/>
            <w:vAlign w:val="center"/>
          </w:tcPr>
          <w:p>
            <w:r/>
            <w:r>
              <w:rPr>
                <w:b/>
                <w:sz w:val="18"/>
              </w:rPr>
              <w:t>Status</w:t>
            </w:r>
          </w:p>
        </w:tc>
        <w:tc>
          <w:tcPr>
            <w:tcW w:type="dxa" w:w="2498"/>
            <w:shd w:fill="E9EEF5"/>
            <w:vAlign w:val="center"/>
          </w:tcPr>
          <w:p>
            <w:r/>
            <w:r>
              <w:rPr>
                <w:b/>
                <w:sz w:val="18"/>
              </w:rPr>
              <w:t>Strategic learning</w:t>
            </w:r>
          </w:p>
        </w:tc>
      </w:tr>
      <w:tr>
        <w:tc>
          <w:tcPr>
            <w:tcW w:type="dxa" w:w="2498"/>
            <w:vAlign w:val="top"/>
          </w:tcPr>
          <w:p>
            <w:r/>
            <w:r>
              <w:rPr>
                <w:b w:val="0"/>
                <w:sz w:val="18"/>
              </w:rPr>
              <w:t>01</w:t>
            </w:r>
          </w:p>
        </w:tc>
        <w:tc>
          <w:tcPr>
            <w:tcW w:type="dxa" w:w="2498"/>
            <w:vAlign w:val="top"/>
          </w:tcPr>
          <w:p>
            <w:r/>
            <w:r>
              <w:rPr>
                <w:b w:val="0"/>
                <w:sz w:val="18"/>
              </w:rPr>
              <w:t>Document &amp; File Platform</w:t>
            </w:r>
          </w:p>
        </w:tc>
        <w:tc>
          <w:tcPr>
            <w:tcW w:type="dxa" w:w="2498"/>
            <w:vAlign w:val="top"/>
          </w:tcPr>
          <w:p>
            <w:r/>
            <w:r>
              <w:rPr>
                <w:b w:val="0"/>
                <w:sz w:val="18"/>
              </w:rPr>
              <w:t>Current</w:t>
            </w:r>
          </w:p>
        </w:tc>
        <w:tc>
          <w:tcPr>
            <w:tcW w:type="dxa" w:w="2498"/>
            <w:vAlign w:val="top"/>
          </w:tcPr>
          <w:p>
            <w:r/>
            <w:r>
              <w:rPr>
                <w:b w:val="0"/>
                <w:sz w:val="18"/>
              </w:rPr>
              <w:t>File processing, local-first architecture, workers, SEO, analytics, monetization</w:t>
            </w:r>
          </w:p>
        </w:tc>
      </w:tr>
      <w:tr>
        <w:tc>
          <w:tcPr>
            <w:tcW w:type="dxa" w:w="2498"/>
            <w:vAlign w:val="top"/>
          </w:tcPr>
          <w:p>
            <w:r/>
            <w:r>
              <w:rPr>
                <w:b w:val="0"/>
                <w:sz w:val="18"/>
              </w:rPr>
              <w:t>02</w:t>
            </w:r>
          </w:p>
        </w:tc>
        <w:tc>
          <w:tcPr>
            <w:tcW w:type="dxa" w:w="2498"/>
            <w:vAlign w:val="top"/>
          </w:tcPr>
          <w:p>
            <w:r/>
            <w:r>
              <w:rPr>
                <w:b w:val="0"/>
                <w:sz w:val="18"/>
              </w:rPr>
              <w:t>Image Utility Platform</w:t>
            </w:r>
          </w:p>
        </w:tc>
        <w:tc>
          <w:tcPr>
            <w:tcW w:type="dxa" w:w="2498"/>
            <w:vAlign w:val="top"/>
          </w:tcPr>
          <w:p>
            <w:r/>
            <w:r>
              <w:rPr>
                <w:b w:val="0"/>
                <w:sz w:val="18"/>
              </w:rPr>
              <w:t>Planned</w:t>
            </w:r>
          </w:p>
        </w:tc>
        <w:tc>
          <w:tcPr>
            <w:tcW w:type="dxa" w:w="2498"/>
            <w:vAlign w:val="top"/>
          </w:tcPr>
          <w:p>
            <w:r/>
            <w:r>
              <w:rPr>
                <w:b w:val="0"/>
                <w:sz w:val="18"/>
              </w:rPr>
              <w:t>Reuse file-processing, browser/WASM and worker patterns</w:t>
            </w:r>
          </w:p>
        </w:tc>
      </w:tr>
      <w:tr>
        <w:tc>
          <w:tcPr>
            <w:tcW w:type="dxa" w:w="2498"/>
            <w:vAlign w:val="top"/>
          </w:tcPr>
          <w:p>
            <w:r/>
            <w:r>
              <w:rPr>
                <w:b w:val="0"/>
                <w:sz w:val="18"/>
              </w:rPr>
              <w:t>03</w:t>
            </w:r>
          </w:p>
        </w:tc>
        <w:tc>
          <w:tcPr>
            <w:tcW w:type="dxa" w:w="2498"/>
            <w:vAlign w:val="top"/>
          </w:tcPr>
          <w:p>
            <w:r/>
            <w:r>
              <w:rPr>
                <w:b w:val="0"/>
                <w:sz w:val="18"/>
              </w:rPr>
              <w:t>Developer Utility Platform</w:t>
            </w:r>
          </w:p>
        </w:tc>
        <w:tc>
          <w:tcPr>
            <w:tcW w:type="dxa" w:w="2498"/>
            <w:vAlign w:val="top"/>
          </w:tcPr>
          <w:p>
            <w:r/>
            <w:r>
              <w:rPr>
                <w:b w:val="0"/>
                <w:sz w:val="18"/>
              </w:rPr>
              <w:t>Planned</w:t>
            </w:r>
          </w:p>
        </w:tc>
        <w:tc>
          <w:tcPr>
            <w:tcW w:type="dxa" w:w="2498"/>
            <w:vAlign w:val="top"/>
          </w:tcPr>
          <w:p>
            <w:r/>
            <w:r>
              <w:rPr>
                <w:b w:val="0"/>
                <w:sz w:val="18"/>
              </w:rPr>
              <w:t>APIs, developer UX, automation and technical audiences</w:t>
            </w:r>
          </w:p>
        </w:tc>
      </w:tr>
      <w:tr>
        <w:tc>
          <w:tcPr>
            <w:tcW w:type="dxa" w:w="2498"/>
            <w:vAlign w:val="top"/>
          </w:tcPr>
          <w:p>
            <w:r/>
            <w:r>
              <w:rPr>
                <w:b w:val="0"/>
                <w:sz w:val="18"/>
              </w:rPr>
              <w:t>04</w:t>
            </w:r>
          </w:p>
        </w:tc>
        <w:tc>
          <w:tcPr>
            <w:tcW w:type="dxa" w:w="2498"/>
            <w:vAlign w:val="top"/>
          </w:tcPr>
          <w:p>
            <w:r/>
            <w:r>
              <w:rPr>
                <w:b w:val="0"/>
                <w:sz w:val="18"/>
              </w:rPr>
              <w:t>Calculator &amp; Decision Platform</w:t>
            </w:r>
          </w:p>
        </w:tc>
        <w:tc>
          <w:tcPr>
            <w:tcW w:type="dxa" w:w="2498"/>
            <w:vAlign w:val="top"/>
          </w:tcPr>
          <w:p>
            <w:r/>
            <w:r>
              <w:rPr>
                <w:b w:val="0"/>
                <w:sz w:val="18"/>
              </w:rPr>
              <w:t>Planned</w:t>
            </w:r>
          </w:p>
        </w:tc>
        <w:tc>
          <w:tcPr>
            <w:tcW w:type="dxa" w:w="2498"/>
            <w:vAlign w:val="top"/>
          </w:tcPr>
          <w:p>
            <w:r/>
            <w:r>
              <w:rPr>
                <w:b w:val="0"/>
                <w:sz w:val="18"/>
              </w:rPr>
              <w:t>Evergreen search, structured calculators and decision support</w:t>
            </w:r>
          </w:p>
        </w:tc>
      </w:tr>
    </w:tbl>
    <w:p/>
    <w:p>
      <w:pPr>
        <w:pStyle w:val="Heading1"/>
      </w:pPr>
      <w:r>
        <w:t>3. Market Opportunity</w:t>
      </w:r>
    </w:p>
    <w:p>
      <w:r>
        <w:t>Phase 0 established a mature but very large global market for document utilities. Search intent is unusually task-oriented: queries such as “merge PDF”, “compress PDF”, “PDF to Word” and “JPG to PDF” normally indicate an immediate problem to solve. Established competitors validate both free acquisition funnels and paid expansion through higher limits, OCR, batch processing, workflows and business offerings.</w:t>
      </w:r>
    </w:p>
    <w:p>
      <w:pPr>
        <w:pStyle w:val="Heading2"/>
      </w:pPr>
      <w:r>
        <w:t>3.1 Strategic opening</w:t>
      </w:r>
    </w:p>
    <w:p>
      <w:pPr>
        <w:pStyle w:val="ListBullet"/>
      </w:pPr>
      <w:r>
        <w:t>Privacy: perform simple operations locally instead of uploading sensitive files when the browser can safely do the work.</w:t>
      </w:r>
    </w:p>
    <w:p>
      <w:pPr>
        <w:pStyle w:val="ListBullet"/>
      </w:pPr>
      <w:r>
        <w:t>Low friction: no mandatory account or artificial download gate for core utilities.</w:t>
      </w:r>
    </w:p>
    <w:p>
      <w:pPr>
        <w:pStyle w:val="ListBullet"/>
      </w:pPr>
      <w:r>
        <w:t>Transparency: explicitly distinguish local processing from secure server processing.</w:t>
      </w:r>
    </w:p>
    <w:p>
      <w:pPr>
        <w:pStyle w:val="ListBullet"/>
      </w:pPr>
      <w:r>
        <w:t>Workflow evolution: grow from isolated tools into composable document operations.</w:t>
      </w:r>
    </w:p>
    <w:p>
      <w:pPr>
        <w:pStyle w:val="ListBullet"/>
      </w:pPr>
      <w:r>
        <w:t>Knowledge layer: publish original, technically useful document education rather than mass-produced SEO filler.</w:t>
      </w:r>
    </w:p>
    <w:p>
      <w:pPr>
        <w:pStyle w:val="ListBullet"/>
      </w:pPr>
      <w:r>
        <w:t>Platform path: retain future expansion into batch processing, APIs, AI/document intelligence and business use.</w:t>
      </w:r>
    </w:p>
    <w:p>
      <w:pPr>
        <w:pStyle w:val="Heading1"/>
      </w:pPr>
      <w:r>
        <w:t>4. Product Vision and Mission</w:t>
      </w:r>
    </w:p>
    <w:p>
      <w:pPr>
        <w:pStyle w:val="Heading2"/>
      </w:pPr>
      <w:r>
        <w:t>4.1 Vision</w:t>
      </w:r>
    </w:p>
    <w:p>
      <w:r>
        <w:t>Become a trusted global destination for everyday document work: when a user needs to do something with a document, the platform should be an obvious, reliable choice.</w:t>
      </w:r>
    </w:p>
    <w:p>
      <w:pPr>
        <w:pStyle w:val="Heading2"/>
      </w:pPr>
      <w:r>
        <w:t>4.2 Mission</w:t>
      </w:r>
    </w:p>
    <w:p>
      <w:r>
        <w:t>Enable anyone to convert, organize, optimize and extract information from documents quickly and privately, without expensive software, unnecessary accounts or unnecessary exposure of files.</w:t>
      </w:r>
    </w:p>
    <w:p>
      <w:pPr>
        <w:pStyle w:val="Heading1"/>
      </w:pPr>
      <w:r>
        <w:t>5. Product Principles</w:t>
      </w:r>
    </w:p>
    <w:p>
      <w:pPr>
        <w:pStyle w:val="ListNumber"/>
      </w:pPr>
      <w:r>
        <w:t>Privacy by default — if a file does not need to leave the device, do not upload it.</w:t>
      </w:r>
    </w:p>
    <w:p>
      <w:pPr>
        <w:pStyle w:val="ListNumber"/>
      </w:pPr>
      <w:r>
        <w:t>No artificial friction — accounts and paywalls must correspond to real value or real processing cost.</w:t>
      </w:r>
    </w:p>
    <w:p>
      <w:pPr>
        <w:pStyle w:val="ListNumber"/>
      </w:pPr>
      <w:r>
        <w:t>The tool must work — functionality is more important than advertising or SEO copy.</w:t>
      </w:r>
    </w:p>
    <w:p>
      <w:pPr>
        <w:pStyle w:val="ListNumber"/>
      </w:pPr>
      <w:r>
        <w:t>Speed is a feature — processing and interaction latency are product requirements.</w:t>
      </w:r>
    </w:p>
    <w:p>
      <w:pPr>
        <w:pStyle w:val="ListNumber"/>
      </w:pPr>
      <w:r>
        <w:t>Mobile is first-class — phone-based scanning and conversion workflows must be excellent.</w:t>
      </w:r>
    </w:p>
    <w:p>
      <w:pPr>
        <w:pStyle w:val="ListNumber"/>
      </w:pPr>
      <w:r>
        <w:t>Explain what happens — processing location, quality changes and deletion behavior must be understandable.</w:t>
      </w:r>
    </w:p>
    <w:p>
      <w:pPr>
        <w:pStyle w:val="ListNumber"/>
      </w:pPr>
      <w:r>
        <w:t>Progressive complexity — simple defaults first; advanced controls only when useful.</w:t>
      </w:r>
    </w:p>
    <w:p>
      <w:pPr>
        <w:pStyle w:val="ListNumber"/>
      </w:pPr>
      <w:r>
        <w:t>Accessible by design — keyboard, screen-reader, contrast and understandable error behavior are built in.</w:t>
      </w:r>
    </w:p>
    <w:p>
      <w:pPr>
        <w:pStyle w:val="ListNumber"/>
      </w:pPr>
      <w:r>
        <w:t>Cost-aware engineering — push appropriate work to the client and avoid recurring infrastructure before demand exists.</w:t>
      </w:r>
    </w:p>
    <w:p>
      <w:pPr>
        <w:pStyle w:val="Heading1"/>
      </w:pPr>
      <w:r>
        <w:t>6. Target Users and Jobs To Be Done</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User group</w:t>
            </w:r>
          </w:p>
        </w:tc>
        <w:tc>
          <w:tcPr>
            <w:tcW w:type="dxa" w:w="4997"/>
            <w:shd w:fill="E9EEF5"/>
            <w:vAlign w:val="center"/>
          </w:tcPr>
          <w:p>
            <w:r/>
            <w:r>
              <w:rPr>
                <w:b/>
                <w:sz w:val="18"/>
              </w:rPr>
              <w:t>Typical jobs</w:t>
            </w:r>
          </w:p>
        </w:tc>
      </w:tr>
      <w:tr>
        <w:tc>
          <w:tcPr>
            <w:tcW w:type="dxa" w:w="4997"/>
            <w:vAlign w:val="top"/>
          </w:tcPr>
          <w:p>
            <w:r/>
            <w:r>
              <w:rPr>
                <w:b w:val="0"/>
                <w:sz w:val="18"/>
              </w:rPr>
              <w:t>Students</w:t>
            </w:r>
          </w:p>
        </w:tc>
        <w:tc>
          <w:tcPr>
            <w:tcW w:type="dxa" w:w="4997"/>
            <w:vAlign w:val="top"/>
          </w:tcPr>
          <w:p>
            <w:r/>
            <w:r>
              <w:rPr>
                <w:b w:val="0"/>
                <w:sz w:val="18"/>
              </w:rPr>
              <w:t>Assignments, scans, lecture notes, submissions, extraction and compression</w:t>
            </w:r>
          </w:p>
        </w:tc>
      </w:tr>
      <w:tr>
        <w:tc>
          <w:tcPr>
            <w:tcW w:type="dxa" w:w="4997"/>
            <w:vAlign w:val="top"/>
          </w:tcPr>
          <w:p>
            <w:r/>
            <w:r>
              <w:rPr>
                <w:b w:val="0"/>
                <w:sz w:val="18"/>
              </w:rPr>
              <w:t>Professionals</w:t>
            </w:r>
          </w:p>
        </w:tc>
        <w:tc>
          <w:tcPr>
            <w:tcW w:type="dxa" w:w="4997"/>
            <w:vAlign w:val="top"/>
          </w:tcPr>
          <w:p>
            <w:r/>
            <w:r>
              <w:rPr>
                <w:b w:val="0"/>
                <w:sz w:val="18"/>
              </w:rPr>
              <w:t>Reports, contracts, forms, CVs, conversion and organization</w:t>
            </w:r>
          </w:p>
        </w:tc>
      </w:tr>
      <w:tr>
        <w:tc>
          <w:tcPr>
            <w:tcW w:type="dxa" w:w="4997"/>
            <w:vAlign w:val="top"/>
          </w:tcPr>
          <w:p>
            <w:r/>
            <w:r>
              <w:rPr>
                <w:b w:val="0"/>
                <w:sz w:val="18"/>
              </w:rPr>
              <w:t>Small businesses</w:t>
            </w:r>
          </w:p>
        </w:tc>
        <w:tc>
          <w:tcPr>
            <w:tcW w:type="dxa" w:w="4997"/>
            <w:vAlign w:val="top"/>
          </w:tcPr>
          <w:p>
            <w:r/>
            <w:r>
              <w:rPr>
                <w:b w:val="0"/>
                <w:sz w:val="18"/>
              </w:rPr>
              <w:t>Invoices, statements, proposals, receipts and forms</w:t>
            </w:r>
          </w:p>
        </w:tc>
      </w:tr>
      <w:tr>
        <w:tc>
          <w:tcPr>
            <w:tcW w:type="dxa" w:w="4997"/>
            <w:vAlign w:val="top"/>
          </w:tcPr>
          <w:p>
            <w:r/>
            <w:r>
              <w:rPr>
                <w:b w:val="0"/>
                <w:sz w:val="18"/>
              </w:rPr>
              <w:t>Administrative users</w:t>
            </w:r>
          </w:p>
        </w:tc>
        <w:tc>
          <w:tcPr>
            <w:tcW w:type="dxa" w:w="4997"/>
            <w:vAlign w:val="top"/>
          </w:tcPr>
          <w:p>
            <w:r/>
            <w:r>
              <w:rPr>
                <w:b w:val="0"/>
                <w:sz w:val="18"/>
              </w:rPr>
              <w:t>Frequent conversion, merging, splitting and document cleanup</w:t>
            </w:r>
          </w:p>
        </w:tc>
      </w:tr>
      <w:tr>
        <w:tc>
          <w:tcPr>
            <w:tcW w:type="dxa" w:w="4997"/>
            <w:vAlign w:val="top"/>
          </w:tcPr>
          <w:p>
            <w:r/>
            <w:r>
              <w:rPr>
                <w:b w:val="0"/>
                <w:sz w:val="18"/>
              </w:rPr>
              <w:t>Privacy-conscious users</w:t>
            </w:r>
          </w:p>
        </w:tc>
        <w:tc>
          <w:tcPr>
            <w:tcW w:type="dxa" w:w="4997"/>
            <w:vAlign w:val="top"/>
          </w:tcPr>
          <w:p>
            <w:r/>
            <w:r>
              <w:rPr>
                <w:b w:val="0"/>
                <w:sz w:val="18"/>
              </w:rPr>
              <w:t>Sensitive financial, identity, legal or personal documents</w:t>
            </w:r>
          </w:p>
        </w:tc>
      </w:tr>
      <w:tr>
        <w:tc>
          <w:tcPr>
            <w:tcW w:type="dxa" w:w="4997"/>
            <w:vAlign w:val="top"/>
          </w:tcPr>
          <w:p>
            <w:r/>
            <w:r>
              <w:rPr>
                <w:b w:val="0"/>
                <w:sz w:val="18"/>
              </w:rPr>
              <w:t>Technical users</w:t>
            </w:r>
          </w:p>
        </w:tc>
        <w:tc>
          <w:tcPr>
            <w:tcW w:type="dxa" w:w="4997"/>
            <w:vAlign w:val="top"/>
          </w:tcPr>
          <w:p>
            <w:r/>
            <w:r>
              <w:rPr>
                <w:b w:val="0"/>
                <w:sz w:val="18"/>
              </w:rPr>
              <w:t>Text/Markdown extraction, structured data and later API automation</w:t>
            </w:r>
          </w:p>
        </w:tc>
      </w:tr>
    </w:tbl>
    <w:p/>
    <w:p>
      <w:r>
        <w:t>Core jobs: Convert, Combine, Separate, Reduce, Organize, Extract, Protect and—later—Understand.</w:t>
      </w:r>
    </w:p>
    <w:p>
      <w:pPr>
        <w:pStyle w:val="Heading1"/>
      </w:pPr>
      <w:r>
        <w:t>7. MVP Scope</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Capability</w:t>
            </w:r>
          </w:p>
        </w:tc>
        <w:tc>
          <w:tcPr>
            <w:tcW w:type="dxa" w:w="4997"/>
            <w:shd w:fill="E9EEF5"/>
            <w:vAlign w:val="center"/>
          </w:tcPr>
          <w:p>
            <w:r/>
            <w:r>
              <w:rPr>
                <w:b/>
                <w:sz w:val="18"/>
              </w:rPr>
              <w:t>MVP tools</w:t>
            </w:r>
          </w:p>
        </w:tc>
      </w:tr>
      <w:tr>
        <w:tc>
          <w:tcPr>
            <w:tcW w:type="dxa" w:w="4997"/>
            <w:vAlign w:val="top"/>
          </w:tcPr>
          <w:p>
            <w:r/>
            <w:r>
              <w:rPr>
                <w:b w:val="0"/>
                <w:sz w:val="18"/>
              </w:rPr>
              <w:t>Organize</w:t>
            </w:r>
          </w:p>
        </w:tc>
        <w:tc>
          <w:tcPr>
            <w:tcW w:type="dxa" w:w="4997"/>
            <w:vAlign w:val="top"/>
          </w:tcPr>
          <w:p>
            <w:r/>
            <w:r>
              <w:rPr>
                <w:b w:val="0"/>
                <w:sz w:val="18"/>
              </w:rPr>
              <w:t>Merge PDF; Split PDF; Organize/Reorder PDF; Extract pages; Delete pages; Rotate pages</w:t>
            </w:r>
          </w:p>
        </w:tc>
      </w:tr>
      <w:tr>
        <w:tc>
          <w:tcPr>
            <w:tcW w:type="dxa" w:w="4997"/>
            <w:vAlign w:val="top"/>
          </w:tcPr>
          <w:p>
            <w:r/>
            <w:r>
              <w:rPr>
                <w:b w:val="0"/>
                <w:sz w:val="18"/>
              </w:rPr>
              <w:t>Optimize</w:t>
            </w:r>
          </w:p>
        </w:tc>
        <w:tc>
          <w:tcPr>
            <w:tcW w:type="dxa" w:w="4997"/>
            <w:vAlign w:val="top"/>
          </w:tcPr>
          <w:p>
            <w:r/>
            <w:r>
              <w:rPr>
                <w:b w:val="0"/>
                <w:sz w:val="18"/>
              </w:rPr>
              <w:t>Compress PDF; Remove PDF metadata</w:t>
            </w:r>
          </w:p>
        </w:tc>
      </w:tr>
      <w:tr>
        <w:tc>
          <w:tcPr>
            <w:tcW w:type="dxa" w:w="4997"/>
            <w:vAlign w:val="top"/>
          </w:tcPr>
          <w:p>
            <w:r/>
            <w:r>
              <w:rPr>
                <w:b w:val="0"/>
                <w:sz w:val="18"/>
              </w:rPr>
              <w:t>Convert</w:t>
            </w:r>
          </w:p>
        </w:tc>
        <w:tc>
          <w:tcPr>
            <w:tcW w:type="dxa" w:w="4997"/>
            <w:vAlign w:val="top"/>
          </w:tcPr>
          <w:p>
            <w:r/>
            <w:r>
              <w:rPr>
                <w:b w:val="0"/>
                <w:sz w:val="18"/>
              </w:rPr>
              <w:t>Word to PDF; PDF to JPG; JPG/Images to PDF</w:t>
            </w:r>
          </w:p>
        </w:tc>
      </w:tr>
      <w:tr>
        <w:tc>
          <w:tcPr>
            <w:tcW w:type="dxa" w:w="4997"/>
            <w:vAlign w:val="top"/>
          </w:tcPr>
          <w:p>
            <w:r/>
            <w:r>
              <w:rPr>
                <w:b w:val="0"/>
                <w:sz w:val="18"/>
              </w:rPr>
              <w:t>Extract</w:t>
            </w:r>
          </w:p>
        </w:tc>
        <w:tc>
          <w:tcPr>
            <w:tcW w:type="dxa" w:w="4997"/>
            <w:vAlign w:val="top"/>
          </w:tcPr>
          <w:p>
            <w:r/>
            <w:r>
              <w:rPr>
                <w:b w:val="0"/>
                <w:sz w:val="18"/>
              </w:rPr>
              <w:t>PDF to Text</w:t>
            </w:r>
          </w:p>
        </w:tc>
      </w:tr>
      <w:tr>
        <w:tc>
          <w:tcPr>
            <w:tcW w:type="dxa" w:w="4997"/>
            <w:vAlign w:val="top"/>
          </w:tcPr>
          <w:p>
            <w:r/>
            <w:r>
              <w:rPr>
                <w:b w:val="0"/>
                <w:sz w:val="18"/>
              </w:rPr>
              <w:t>Platform</w:t>
            </w:r>
          </w:p>
        </w:tc>
        <w:tc>
          <w:tcPr>
            <w:tcW w:type="dxa" w:w="4997"/>
            <w:vAlign w:val="top"/>
          </w:tcPr>
          <w:p>
            <w:r/>
            <w:r>
              <w:rPr>
                <w:b w:val="0"/>
                <w:sz w:val="18"/>
              </w:rPr>
              <w:t>Homepage; tool discovery; related tools; Learn/Guides; privacy/about/contact/terms; analytics; SEO foundation</w:t>
            </w:r>
          </w:p>
        </w:tc>
      </w:tr>
    </w:tbl>
    <w:p/>
    <w:p>
      <w:r>
        <w:t>Extract Pages and Delete Pages may share the same underlying page-operation engine while remaining separate user-facing search/task pages.</w:t>
      </w:r>
    </w:p>
    <w:p>
      <w:pPr>
        <w:pStyle w:val="Heading1"/>
      </w:pPr>
      <w:r>
        <w:t>8. Explicitly Out of MVP</w:t>
      </w:r>
    </w:p>
    <w:p>
      <w:pPr>
        <w:pStyle w:val="ListBullet"/>
      </w:pPr>
      <w:r>
        <w:t>AI chat, summarization and translation</w:t>
      </w:r>
    </w:p>
    <w:p>
      <w:pPr>
        <w:pStyle w:val="ListBullet"/>
      </w:pPr>
      <w:r>
        <w:t>Mandatory accounts or cloud document history</w:t>
      </w:r>
    </w:p>
    <w:p>
      <w:pPr>
        <w:pStyle w:val="ListBullet"/>
      </w:pPr>
      <w:r>
        <w:t>Subscriptions and team administration</w:t>
      </w:r>
    </w:p>
    <w:p>
      <w:pPr>
        <w:pStyle w:val="ListBullet"/>
      </w:pPr>
      <w:r>
        <w:t>Native desktop/mobile apps and browser extensions</w:t>
      </w:r>
    </w:p>
    <w:p>
      <w:pPr>
        <w:pStyle w:val="ListBullet"/>
      </w:pPr>
      <w:r>
        <w:t>Public developer API/SDK/CLI</w:t>
      </w:r>
    </w:p>
    <w:p>
      <w:pPr>
        <w:pStyle w:val="ListBullet"/>
      </w:pPr>
      <w:r>
        <w:t>Full Acrobat-style PDF editor</w:t>
      </w:r>
    </w:p>
    <w:p>
      <w:pPr>
        <w:pStyle w:val="ListBullet"/>
      </w:pPr>
      <w:r>
        <w:t>Enterprise e-signature network</w:t>
      </w:r>
    </w:p>
    <w:p>
      <w:pPr>
        <w:pStyle w:val="ListBullet"/>
      </w:pPr>
      <w:r>
        <w:t>Long-term cloud document storage</w:t>
      </w:r>
    </w:p>
    <w:p>
      <w:pPr>
        <w:pStyle w:val="ListBullet"/>
      </w:pPr>
      <w:r>
        <w:t>Workflow builder and large-scale batch processing</w:t>
      </w:r>
    </w:p>
    <w:p>
      <w:pPr>
        <w:pStyle w:val="Heading1"/>
      </w:pPr>
      <w:r>
        <w:t>9. Product Roadmap</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Release</w:t>
            </w:r>
          </w:p>
        </w:tc>
        <w:tc>
          <w:tcPr>
            <w:tcW w:type="dxa" w:w="4997"/>
            <w:shd w:fill="E9EEF5"/>
            <w:vAlign w:val="center"/>
          </w:tcPr>
          <w:p>
            <w:r/>
            <w:r>
              <w:rPr>
                <w:b/>
                <w:sz w:val="18"/>
              </w:rPr>
              <w:t>Focus</w:t>
            </w:r>
          </w:p>
        </w:tc>
      </w:tr>
      <w:tr>
        <w:tc>
          <w:tcPr>
            <w:tcW w:type="dxa" w:w="4997"/>
            <w:vAlign w:val="top"/>
          </w:tcPr>
          <w:p>
            <w:r/>
            <w:r>
              <w:rPr>
                <w:b w:val="0"/>
                <w:sz w:val="18"/>
              </w:rPr>
              <w:t>MVP</w:t>
            </w:r>
          </w:p>
        </w:tc>
        <w:tc>
          <w:tcPr>
            <w:tcW w:type="dxa" w:w="4997"/>
            <w:vAlign w:val="top"/>
          </w:tcPr>
          <w:p>
            <w:r/>
            <w:r>
              <w:rPr>
                <w:b w:val="0"/>
                <w:sz w:val="18"/>
              </w:rPr>
              <w:t>Core document utilities, knowledge layer, SEO, analytics, security/privacy baseline</w:t>
            </w:r>
          </w:p>
        </w:tc>
      </w:tr>
      <w:tr>
        <w:tc>
          <w:tcPr>
            <w:tcW w:type="dxa" w:w="4997"/>
            <w:vAlign w:val="top"/>
          </w:tcPr>
          <w:p>
            <w:r/>
            <w:r>
              <w:rPr>
                <w:b w:val="0"/>
                <w:sz w:val="18"/>
              </w:rPr>
              <w:t>V1.1</w:t>
            </w:r>
          </w:p>
        </w:tc>
        <w:tc>
          <w:tcPr>
            <w:tcW w:type="dxa" w:w="4997"/>
            <w:vAlign w:val="top"/>
          </w:tcPr>
          <w:p>
            <w:r/>
            <w:r>
              <w:rPr>
                <w:b w:val="0"/>
                <w:sz w:val="18"/>
              </w:rPr>
              <w:t>PDF to Word, OCR, PDF to Excel, PDF to Markdown, protect/unlock, watermark, page numbers, repair</w:t>
            </w:r>
          </w:p>
        </w:tc>
      </w:tr>
      <w:tr>
        <w:tc>
          <w:tcPr>
            <w:tcW w:type="dxa" w:w="4997"/>
            <w:vAlign w:val="top"/>
          </w:tcPr>
          <w:p>
            <w:r/>
            <w:r>
              <w:rPr>
                <w:b w:val="0"/>
                <w:sz w:val="18"/>
              </w:rPr>
              <w:t>V2</w:t>
            </w:r>
          </w:p>
        </w:tc>
        <w:tc>
          <w:tcPr>
            <w:tcW w:type="dxa" w:w="4997"/>
            <w:vAlign w:val="top"/>
          </w:tcPr>
          <w:p>
            <w:r/>
            <w:r>
              <w:rPr>
                <w:b w:val="0"/>
                <w:sz w:val="18"/>
              </w:rPr>
              <w:t>Batch processing, workflow engine, optional accounts, saved workflows, advanced OCR/table extraction</w:t>
            </w:r>
          </w:p>
        </w:tc>
      </w:tr>
      <w:tr>
        <w:tc>
          <w:tcPr>
            <w:tcW w:type="dxa" w:w="4997"/>
            <w:vAlign w:val="top"/>
          </w:tcPr>
          <w:p>
            <w:r/>
            <w:r>
              <w:rPr>
                <w:b w:val="0"/>
                <w:sz w:val="18"/>
              </w:rPr>
              <w:t>V3</w:t>
            </w:r>
          </w:p>
        </w:tc>
        <w:tc>
          <w:tcPr>
            <w:tcW w:type="dxa" w:w="4997"/>
            <w:vAlign w:val="top"/>
          </w:tcPr>
          <w:p>
            <w:r/>
            <w:r>
              <w:rPr>
                <w:b w:val="0"/>
                <w:sz w:val="18"/>
              </w:rPr>
              <w:t>Document intelligence: summarize, chat, translate, compare, structured extraction</w:t>
            </w:r>
          </w:p>
        </w:tc>
      </w:tr>
      <w:tr>
        <w:tc>
          <w:tcPr>
            <w:tcW w:type="dxa" w:w="4997"/>
            <w:vAlign w:val="top"/>
          </w:tcPr>
          <w:p>
            <w:r/>
            <w:r>
              <w:rPr>
                <w:b w:val="0"/>
                <w:sz w:val="18"/>
              </w:rPr>
              <w:t>V4</w:t>
            </w:r>
          </w:p>
        </w:tc>
        <w:tc>
          <w:tcPr>
            <w:tcW w:type="dxa" w:w="4997"/>
            <w:vAlign w:val="top"/>
          </w:tcPr>
          <w:p>
            <w:r/>
            <w:r>
              <w:rPr>
                <w:b w:val="0"/>
                <w:sz w:val="18"/>
              </w:rPr>
              <w:t>Public API, SDKs, CLI, usage billing and developer ecosystem</w:t>
            </w:r>
          </w:p>
        </w:tc>
      </w:tr>
      <w:tr>
        <w:tc>
          <w:tcPr>
            <w:tcW w:type="dxa" w:w="4997"/>
            <w:vAlign w:val="top"/>
          </w:tcPr>
          <w:p>
            <w:r/>
            <w:r>
              <w:rPr>
                <w:b w:val="0"/>
                <w:sz w:val="18"/>
              </w:rPr>
              <w:t>V5</w:t>
            </w:r>
          </w:p>
        </w:tc>
        <w:tc>
          <w:tcPr>
            <w:tcW w:type="dxa" w:w="4997"/>
            <w:vAlign w:val="top"/>
          </w:tcPr>
          <w:p>
            <w:r/>
            <w:r>
              <w:rPr>
                <w:b w:val="0"/>
                <w:sz w:val="18"/>
              </w:rPr>
              <w:t>Teams, administration, enterprise processing, compliance and volume agreements</w:t>
            </w:r>
          </w:p>
        </w:tc>
      </w:tr>
    </w:tbl>
    <w:p/>
    <w:p>
      <w:pPr>
        <w:pStyle w:val="Heading1"/>
      </w:pPr>
      <w:r>
        <w:t>10. Technology Direction</w:t>
      </w:r>
    </w:p>
    <w:p>
      <w:r>
        <w:t>The MVP will use a hybrid architecture. The main web application will use Next.js and TypeScript. Browser-capable document operations should run client-side, using JavaScript/WebAssembly libraries where appropriate. Operations requiring heavyweight native tooling, Office conversion, advanced compression or OCR will be handled by isolated Python/FastAPI processing services and containerized workers. Redis/queue infrastructure should be introduced only when asynchronous workload requires it. PostgreSQL should remain minimal in the anonymous MVP and expand when accounts, jobs or billing require persistent state.</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Area</w:t>
            </w:r>
          </w:p>
        </w:tc>
        <w:tc>
          <w:tcPr>
            <w:tcW w:type="dxa" w:w="4997"/>
            <w:shd w:fill="E9EEF5"/>
            <w:vAlign w:val="center"/>
          </w:tcPr>
          <w:p>
            <w:r/>
            <w:r>
              <w:rPr>
                <w:b/>
                <w:sz w:val="18"/>
              </w:rPr>
              <w:t>Baseline</w:t>
            </w:r>
          </w:p>
        </w:tc>
      </w:tr>
      <w:tr>
        <w:tc>
          <w:tcPr>
            <w:tcW w:type="dxa" w:w="4997"/>
            <w:vAlign w:val="top"/>
          </w:tcPr>
          <w:p>
            <w:r/>
            <w:r>
              <w:rPr>
                <w:b w:val="0"/>
                <w:sz w:val="18"/>
              </w:rPr>
              <w:t>Web</w:t>
            </w:r>
          </w:p>
        </w:tc>
        <w:tc>
          <w:tcPr>
            <w:tcW w:type="dxa" w:w="4997"/>
            <w:vAlign w:val="top"/>
          </w:tcPr>
          <w:p>
            <w:r/>
            <w:r>
              <w:rPr>
                <w:b w:val="0"/>
                <w:sz w:val="18"/>
              </w:rPr>
              <w:t>Next.js + TypeScript</w:t>
            </w:r>
          </w:p>
        </w:tc>
      </w:tr>
      <w:tr>
        <w:tc>
          <w:tcPr>
            <w:tcW w:type="dxa" w:w="4997"/>
            <w:vAlign w:val="top"/>
          </w:tcPr>
          <w:p>
            <w:r/>
            <w:r>
              <w:rPr>
                <w:b w:val="0"/>
                <w:sz w:val="18"/>
              </w:rPr>
              <w:t>UI</w:t>
            </w:r>
          </w:p>
        </w:tc>
        <w:tc>
          <w:tcPr>
            <w:tcW w:type="dxa" w:w="4997"/>
            <w:vAlign w:val="top"/>
          </w:tcPr>
          <w:p>
            <w:r/>
            <w:r>
              <w:rPr>
                <w:b w:val="0"/>
                <w:sz w:val="18"/>
              </w:rPr>
              <w:t>Tailwind CSS; accessible primitives; custom visual system</w:t>
            </w:r>
          </w:p>
        </w:tc>
      </w:tr>
      <w:tr>
        <w:tc>
          <w:tcPr>
            <w:tcW w:type="dxa" w:w="4997"/>
            <w:vAlign w:val="top"/>
          </w:tcPr>
          <w:p>
            <w:r/>
            <w:r>
              <w:rPr>
                <w:b w:val="0"/>
                <w:sz w:val="18"/>
              </w:rPr>
              <w:t>Processing API</w:t>
            </w:r>
          </w:p>
        </w:tc>
        <w:tc>
          <w:tcPr>
            <w:tcW w:type="dxa" w:w="4997"/>
            <w:vAlign w:val="top"/>
          </w:tcPr>
          <w:p>
            <w:r/>
            <w:r>
              <w:rPr>
                <w:b w:val="0"/>
                <w:sz w:val="18"/>
              </w:rPr>
              <w:t>Python + FastAPI</w:t>
            </w:r>
          </w:p>
        </w:tc>
      </w:tr>
      <w:tr>
        <w:tc>
          <w:tcPr>
            <w:tcW w:type="dxa" w:w="4997"/>
            <w:vAlign w:val="top"/>
          </w:tcPr>
          <w:p>
            <w:r/>
            <w:r>
              <w:rPr>
                <w:b w:val="0"/>
                <w:sz w:val="18"/>
              </w:rPr>
              <w:t>Local processing</w:t>
            </w:r>
          </w:p>
        </w:tc>
        <w:tc>
          <w:tcPr>
            <w:tcW w:type="dxa" w:w="4997"/>
            <w:vAlign w:val="top"/>
          </w:tcPr>
          <w:p>
            <w:r/>
            <w:r>
              <w:rPr>
                <w:b w:val="0"/>
                <w:sz w:val="18"/>
              </w:rPr>
              <w:t>Browser JS/WASM where technically practical</w:t>
            </w:r>
          </w:p>
        </w:tc>
      </w:tr>
      <w:tr>
        <w:tc>
          <w:tcPr>
            <w:tcW w:type="dxa" w:w="4997"/>
            <w:vAlign w:val="top"/>
          </w:tcPr>
          <w:p>
            <w:r/>
            <w:r>
              <w:rPr>
                <w:b w:val="0"/>
                <w:sz w:val="18"/>
              </w:rPr>
              <w:t>Workers</w:t>
            </w:r>
          </w:p>
        </w:tc>
        <w:tc>
          <w:tcPr>
            <w:tcW w:type="dxa" w:w="4997"/>
            <w:vAlign w:val="top"/>
          </w:tcPr>
          <w:p>
            <w:r/>
            <w:r>
              <w:rPr>
                <w:b w:val="0"/>
                <w:sz w:val="18"/>
              </w:rPr>
              <w:t>Containerized processing jobs</w:t>
            </w:r>
          </w:p>
        </w:tc>
      </w:tr>
      <w:tr>
        <w:tc>
          <w:tcPr>
            <w:tcW w:type="dxa" w:w="4997"/>
            <w:vAlign w:val="top"/>
          </w:tcPr>
          <w:p>
            <w:r/>
            <w:r>
              <w:rPr>
                <w:b w:val="0"/>
                <w:sz w:val="18"/>
              </w:rPr>
              <w:t>Queue/cache</w:t>
            </w:r>
          </w:p>
        </w:tc>
        <w:tc>
          <w:tcPr>
            <w:tcW w:type="dxa" w:w="4997"/>
            <w:vAlign w:val="top"/>
          </w:tcPr>
          <w:p>
            <w:r/>
            <w:r>
              <w:rPr>
                <w:b w:val="0"/>
                <w:sz w:val="18"/>
              </w:rPr>
              <w:t>Redis only when justified</w:t>
            </w:r>
          </w:p>
        </w:tc>
      </w:tr>
      <w:tr>
        <w:tc>
          <w:tcPr>
            <w:tcW w:type="dxa" w:w="4997"/>
            <w:vAlign w:val="top"/>
          </w:tcPr>
          <w:p>
            <w:r/>
            <w:r>
              <w:rPr>
                <w:b w:val="0"/>
                <w:sz w:val="18"/>
              </w:rPr>
              <w:t>Database</w:t>
            </w:r>
          </w:p>
        </w:tc>
        <w:tc>
          <w:tcPr>
            <w:tcW w:type="dxa" w:w="4997"/>
            <w:vAlign w:val="top"/>
          </w:tcPr>
          <w:p>
            <w:r/>
            <w:r>
              <w:rPr>
                <w:b w:val="0"/>
                <w:sz w:val="18"/>
              </w:rPr>
              <w:t>PostgreSQL, intentionally light in MVP</w:t>
            </w:r>
          </w:p>
        </w:tc>
      </w:tr>
      <w:tr>
        <w:tc>
          <w:tcPr>
            <w:tcW w:type="dxa" w:w="4997"/>
            <w:vAlign w:val="top"/>
          </w:tcPr>
          <w:p>
            <w:r/>
            <w:r>
              <w:rPr>
                <w:b w:val="0"/>
                <w:sz w:val="18"/>
              </w:rPr>
              <w:t>Temporary files</w:t>
            </w:r>
          </w:p>
        </w:tc>
        <w:tc>
          <w:tcPr>
            <w:tcW w:type="dxa" w:w="4997"/>
            <w:vAlign w:val="top"/>
          </w:tcPr>
          <w:p>
            <w:r/>
            <w:r>
              <w:rPr>
                <w:b w:val="0"/>
                <w:sz w:val="18"/>
              </w:rPr>
              <w:t>S3-compatible object storage or ephemeral worker storage with strict deletion</w:t>
            </w:r>
          </w:p>
        </w:tc>
      </w:tr>
      <w:tr>
        <w:tc>
          <w:tcPr>
            <w:tcW w:type="dxa" w:w="4997"/>
            <w:vAlign w:val="top"/>
          </w:tcPr>
          <w:p>
            <w:r/>
            <w:r>
              <w:rPr>
                <w:b w:val="0"/>
                <w:sz w:val="18"/>
              </w:rPr>
              <w:t>Repository</w:t>
            </w:r>
          </w:p>
        </w:tc>
        <w:tc>
          <w:tcPr>
            <w:tcW w:type="dxa" w:w="4997"/>
            <w:vAlign w:val="top"/>
          </w:tcPr>
          <w:p>
            <w:r/>
            <w:r>
              <w:rPr>
                <w:b w:val="0"/>
                <w:sz w:val="18"/>
              </w:rPr>
              <w:t>GitHub monorepo</w:t>
            </w:r>
          </w:p>
        </w:tc>
      </w:tr>
      <w:tr>
        <w:tc>
          <w:tcPr>
            <w:tcW w:type="dxa" w:w="4997"/>
            <w:vAlign w:val="top"/>
          </w:tcPr>
          <w:p>
            <w:r/>
            <w:r>
              <w:rPr>
                <w:b w:val="0"/>
                <w:sz w:val="18"/>
              </w:rPr>
              <w:t>CI/CD</w:t>
            </w:r>
          </w:p>
        </w:tc>
        <w:tc>
          <w:tcPr>
            <w:tcW w:type="dxa" w:w="4997"/>
            <w:vAlign w:val="top"/>
          </w:tcPr>
          <w:p>
            <w:r/>
            <w:r>
              <w:rPr>
                <w:b w:val="0"/>
                <w:sz w:val="18"/>
              </w:rPr>
              <w:t>GitHub Actions</w:t>
            </w:r>
          </w:p>
        </w:tc>
      </w:tr>
      <w:tr>
        <w:tc>
          <w:tcPr>
            <w:tcW w:type="dxa" w:w="4997"/>
            <w:vAlign w:val="top"/>
          </w:tcPr>
          <w:p>
            <w:r/>
            <w:r>
              <w:rPr>
                <w:b w:val="0"/>
                <w:sz w:val="18"/>
              </w:rPr>
              <w:t>Local development</w:t>
            </w:r>
          </w:p>
        </w:tc>
        <w:tc>
          <w:tcPr>
            <w:tcW w:type="dxa" w:w="4997"/>
            <w:vAlign w:val="top"/>
          </w:tcPr>
          <w:p>
            <w:r/>
            <w:r>
              <w:rPr>
                <w:b w:val="0"/>
                <w:sz w:val="18"/>
              </w:rPr>
              <w:t>Docker/Docker Compose where useful</w:t>
            </w:r>
          </w:p>
        </w:tc>
      </w:tr>
    </w:tbl>
    <w:p/>
    <w:p>
      <w:pPr>
        <w:pStyle w:val="Heading1"/>
      </w:pPr>
      <w:r>
        <w:t>11. Cost Strategy</w:t>
      </w:r>
    </w:p>
    <w:p>
      <w:r>
        <w:t>The engineering constraint is to keep recurring infrastructure as close to zero as realistically possible until traffic arrives. This means preferring static/cached delivery, client-side processing, free development tiers where reliable, ephemeral compute, short-lived files, and avoiding always-on services that are not yet needed. The architecture must still preserve a clean migration path when real traffic requires paid infrastructure.</w:t>
      </w:r>
    </w:p>
    <w:p>
      <w:pPr>
        <w:pStyle w:val="Heading1"/>
      </w:pPr>
      <w:r>
        <w:t>12. Acquisition and SEO Strategy</w:t>
      </w:r>
    </w:p>
    <w:p>
      <w:r>
        <w:t>Each important user task receives a dedicated, functional landing page such as /merge-pdf, /compress-pdf and /pdf-to-word. The actual working tool is the primary content. Supporting explanations, privacy details, limitations, FAQs and related workflows must add genuine user value. The project will not mass-generate thin keyword pages. Google explicitly treats scaled low-value content and fake utility pages that funnel users to deceptive ads as spam.</w:t>
      </w:r>
    </w:p>
    <w:p>
      <w:pPr>
        <w:pStyle w:val="Heading2"/>
      </w:pPr>
      <w:r>
        <w:t>12.1 Knowledge layer</w:t>
      </w:r>
    </w:p>
    <w:p>
      <w:pPr>
        <w:pStyle w:val="ListBullet"/>
      </w:pPr>
      <w:r>
        <w:t>How PDF compression works</w:t>
      </w:r>
    </w:p>
    <w:p>
      <w:pPr>
        <w:pStyle w:val="ListBullet"/>
      </w:pPr>
      <w:r>
        <w:t>Lossless vs lossy compression</w:t>
      </w:r>
    </w:p>
    <w:p>
      <w:pPr>
        <w:pStyle w:val="ListBullet"/>
      </w:pPr>
      <w:r>
        <w:t>How OCR works and why scanned PDFs behave differently</w:t>
      </w:r>
    </w:p>
    <w:p>
      <w:pPr>
        <w:pStyle w:val="ListBullet"/>
      </w:pPr>
      <w:r>
        <w:t>PDF metadata and privacy</w:t>
      </w:r>
    </w:p>
    <w:p>
      <w:pPr>
        <w:pStyle w:val="ListBullet"/>
      </w:pPr>
      <w:r>
        <w:t>Safe redaction and document security</w:t>
      </w:r>
    </w:p>
    <w:p>
      <w:pPr>
        <w:pStyle w:val="ListBullet"/>
      </w:pPr>
      <w:r>
        <w:t>PDF vs PDF/A</w:t>
      </w:r>
    </w:p>
    <w:p>
      <w:pPr>
        <w:pStyle w:val="ListBullet"/>
      </w:pPr>
      <w:r>
        <w:t>Why PDF-to-Word conversion can lose formatting</w:t>
      </w:r>
    </w:p>
    <w:p>
      <w:pPr>
        <w:pStyle w:val="ListBullet"/>
      </w:pPr>
      <w:r>
        <w:t>Embedded fonts and document rendering</w:t>
      </w:r>
    </w:p>
    <w:p>
      <w:pPr>
        <w:pStyle w:val="Heading1"/>
      </w:pPr>
      <w:r>
        <w:t>13. Monetization Strategy</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Stage</w:t>
            </w:r>
          </w:p>
        </w:tc>
        <w:tc>
          <w:tcPr>
            <w:tcW w:type="dxa" w:w="4997"/>
            <w:shd w:fill="E9EEF5"/>
            <w:vAlign w:val="center"/>
          </w:tcPr>
          <w:p>
            <w:r/>
            <w:r>
              <w:rPr>
                <w:b/>
                <w:sz w:val="18"/>
              </w:rPr>
              <w:t>Model</w:t>
            </w:r>
          </w:p>
        </w:tc>
      </w:tr>
      <w:tr>
        <w:tc>
          <w:tcPr>
            <w:tcW w:type="dxa" w:w="4997"/>
            <w:vAlign w:val="top"/>
          </w:tcPr>
          <w:p>
            <w:r/>
            <w:r>
              <w:rPr>
                <w:b w:val="0"/>
                <w:sz w:val="18"/>
              </w:rPr>
              <w:t>1</w:t>
            </w:r>
          </w:p>
        </w:tc>
        <w:tc>
          <w:tcPr>
            <w:tcW w:type="dxa" w:w="4997"/>
            <w:vAlign w:val="top"/>
          </w:tcPr>
          <w:p>
            <w:r/>
            <w:r>
              <w:rPr>
                <w:b w:val="0"/>
                <w:sz w:val="18"/>
              </w:rPr>
              <w:t>Free tools + advertising</w:t>
            </w:r>
          </w:p>
        </w:tc>
      </w:tr>
      <w:tr>
        <w:tc>
          <w:tcPr>
            <w:tcW w:type="dxa" w:w="4997"/>
            <w:vAlign w:val="top"/>
          </w:tcPr>
          <w:p>
            <w:r/>
            <w:r>
              <w:rPr>
                <w:b w:val="0"/>
                <w:sz w:val="18"/>
              </w:rPr>
              <w:t>2</w:t>
            </w:r>
          </w:p>
        </w:tc>
        <w:tc>
          <w:tcPr>
            <w:tcW w:type="dxa" w:w="4997"/>
            <w:vAlign w:val="top"/>
          </w:tcPr>
          <w:p>
            <w:r/>
            <w:r>
              <w:rPr>
                <w:b w:val="0"/>
                <w:sz w:val="18"/>
              </w:rPr>
              <w:t>Advertising + optional Pro: no ads, larger jobs, batch, advanced OCR/compression</w:t>
            </w:r>
          </w:p>
        </w:tc>
      </w:tr>
      <w:tr>
        <w:tc>
          <w:tcPr>
            <w:tcW w:type="dxa" w:w="4997"/>
            <w:vAlign w:val="top"/>
          </w:tcPr>
          <w:p>
            <w:r/>
            <w:r>
              <w:rPr>
                <w:b w:val="0"/>
                <w:sz w:val="18"/>
              </w:rPr>
              <w:t>3</w:t>
            </w:r>
          </w:p>
        </w:tc>
        <w:tc>
          <w:tcPr>
            <w:tcW w:type="dxa" w:w="4997"/>
            <w:vAlign w:val="top"/>
          </w:tcPr>
          <w:p>
            <w:r/>
            <w:r>
              <w:rPr>
                <w:b w:val="0"/>
                <w:sz w:val="18"/>
              </w:rPr>
              <w:t>Usage-based developer API</w:t>
            </w:r>
          </w:p>
        </w:tc>
      </w:tr>
      <w:tr>
        <w:tc>
          <w:tcPr>
            <w:tcW w:type="dxa" w:w="4997"/>
            <w:vAlign w:val="top"/>
          </w:tcPr>
          <w:p>
            <w:r/>
            <w:r>
              <w:rPr>
                <w:b w:val="0"/>
                <w:sz w:val="18"/>
              </w:rPr>
              <w:t>4</w:t>
            </w:r>
          </w:p>
        </w:tc>
        <w:tc>
          <w:tcPr>
            <w:tcW w:type="dxa" w:w="4997"/>
            <w:vAlign w:val="top"/>
          </w:tcPr>
          <w:p>
            <w:r/>
            <w:r>
              <w:rPr>
                <w:b w:val="0"/>
                <w:sz w:val="18"/>
              </w:rPr>
              <w:t>Teams/business plans, volume processing and administration</w:t>
            </w:r>
          </w:p>
        </w:tc>
      </w:tr>
    </w:tbl>
    <w:p/>
    <w:p>
      <w:r>
        <w:t>Advertising must not be positioned in a way that can be mistaken for navigation, upload or download controls. The software must remain usable without accidental-click pressure.</w:t>
      </w:r>
    </w:p>
    <w:p>
      <w:pPr>
        <w:pStyle w:val="Heading1"/>
      </w:pPr>
      <w:r>
        <w:t>14. Success Metrics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Category</w:t>
            </w:r>
          </w:p>
        </w:tc>
        <w:tc>
          <w:tcPr>
            <w:tcW w:type="dxa" w:w="4997"/>
            <w:shd w:fill="E9EEF5"/>
            <w:vAlign w:val="center"/>
          </w:tcPr>
          <w:p>
            <w:r/>
            <w:r>
              <w:rPr>
                <w:b/>
                <w:sz w:val="18"/>
              </w:rPr>
              <w:t>Measures</w:t>
            </w:r>
          </w:p>
        </w:tc>
      </w:tr>
      <w:tr>
        <w:tc>
          <w:tcPr>
            <w:tcW w:type="dxa" w:w="4997"/>
            <w:vAlign w:val="top"/>
          </w:tcPr>
          <w:p>
            <w:r/>
            <w:r>
              <w:rPr>
                <w:b w:val="0"/>
                <w:sz w:val="18"/>
              </w:rPr>
              <w:t>North star</w:t>
            </w:r>
          </w:p>
        </w:tc>
        <w:tc>
          <w:tcPr>
            <w:tcW w:type="dxa" w:w="4997"/>
            <w:vAlign w:val="top"/>
          </w:tcPr>
          <w:p>
            <w:r/>
            <w:r>
              <w:rPr>
                <w:b w:val="0"/>
                <w:sz w:val="18"/>
              </w:rPr>
              <w:t>Successful Document Operations</w:t>
            </w:r>
          </w:p>
        </w:tc>
      </w:tr>
      <w:tr>
        <w:tc>
          <w:tcPr>
            <w:tcW w:type="dxa" w:w="4997"/>
            <w:vAlign w:val="top"/>
          </w:tcPr>
          <w:p>
            <w:r/>
            <w:r>
              <w:rPr>
                <w:b w:val="0"/>
                <w:sz w:val="18"/>
              </w:rPr>
              <w:t>Acquisition</w:t>
            </w:r>
          </w:p>
        </w:tc>
        <w:tc>
          <w:tcPr>
            <w:tcW w:type="dxa" w:w="4997"/>
            <w:vAlign w:val="top"/>
          </w:tcPr>
          <w:p>
            <w:r/>
            <w:r>
              <w:rPr>
                <w:b w:val="0"/>
                <w:sz w:val="18"/>
              </w:rPr>
              <w:t>Organic impressions, clicks, indexed pages, direct traffic, referring domains</w:t>
            </w:r>
          </w:p>
        </w:tc>
      </w:tr>
      <w:tr>
        <w:tc>
          <w:tcPr>
            <w:tcW w:type="dxa" w:w="4997"/>
            <w:vAlign w:val="top"/>
          </w:tcPr>
          <w:p>
            <w:r/>
            <w:r>
              <w:rPr>
                <w:b w:val="0"/>
                <w:sz w:val="18"/>
              </w:rPr>
              <w:t>Product</w:t>
            </w:r>
          </w:p>
        </w:tc>
        <w:tc>
          <w:tcPr>
            <w:tcW w:type="dxa" w:w="4997"/>
            <w:vAlign w:val="top"/>
          </w:tcPr>
          <w:p>
            <w:r/>
            <w:r>
              <w:rPr>
                <w:b w:val="0"/>
                <w:sz w:val="18"/>
              </w:rPr>
              <w:t>Processing success rate, duration, downloads, repeat users, tools/session</w:t>
            </w:r>
          </w:p>
        </w:tc>
      </w:tr>
      <w:tr>
        <w:tc>
          <w:tcPr>
            <w:tcW w:type="dxa" w:w="4997"/>
            <w:vAlign w:val="top"/>
          </w:tcPr>
          <w:p>
            <w:r/>
            <w:r>
              <w:rPr>
                <w:b w:val="0"/>
                <w:sz w:val="18"/>
              </w:rPr>
              <w:t>Business</w:t>
            </w:r>
          </w:p>
        </w:tc>
        <w:tc>
          <w:tcPr>
            <w:tcW w:type="dxa" w:w="4997"/>
            <w:vAlign w:val="top"/>
          </w:tcPr>
          <w:p>
            <w:r/>
            <w:r>
              <w:rPr>
                <w:b w:val="0"/>
                <w:sz w:val="18"/>
              </w:rPr>
              <w:t>Ad RPM, revenue/user, infrastructure cost per 1,000 operations, gross margin</w:t>
            </w:r>
          </w:p>
        </w:tc>
      </w:tr>
      <w:tr>
        <w:tc>
          <w:tcPr>
            <w:tcW w:type="dxa" w:w="4997"/>
            <w:vAlign w:val="top"/>
          </w:tcPr>
          <w:p>
            <w:r/>
            <w:r>
              <w:rPr>
                <w:b w:val="0"/>
                <w:sz w:val="18"/>
              </w:rPr>
              <w:t>Quality</w:t>
            </w:r>
          </w:p>
        </w:tc>
        <w:tc>
          <w:tcPr>
            <w:tcW w:type="dxa" w:w="4997"/>
            <w:vAlign w:val="top"/>
          </w:tcPr>
          <w:p>
            <w:r/>
            <w:r>
              <w:rPr>
                <w:b w:val="0"/>
                <w:sz w:val="18"/>
              </w:rPr>
              <w:t>Failures, crashes, Core Web Vitals, API errors, security incidents</w:t>
            </w:r>
          </w:p>
        </w:tc>
      </w:tr>
    </w:tbl>
    <w:p/>
    <w:p>
      <w:pPr>
        <w:pStyle w:val="Heading1"/>
      </w:pPr>
      <w:r>
        <w:t>15. Key Risks and Mitigations</w:t>
      </w:r>
    </w:p>
    <w:tbl>
      <w:tblPr>
        <w:tblStyle w:val="TableGrid"/>
        <w:tblW w:type="auto" w:w="0"/>
        <w:jc w:val="center"/>
        <w:tblLook w:firstColumn="1" w:firstRow="1" w:lastColumn="0" w:lastRow="0" w:noHBand="0" w:noVBand="1" w:val="04A0"/>
      </w:tblPr>
      <w:tblGrid>
        <w:gridCol w:w="4997"/>
        <w:gridCol w:w="4997"/>
      </w:tblGrid>
      <w:tr>
        <w:tc>
          <w:tcPr>
            <w:tcW w:type="dxa" w:w="4997"/>
            <w:shd w:fill="E9EEF5"/>
            <w:vAlign w:val="center"/>
          </w:tcPr>
          <w:p>
            <w:r/>
            <w:r>
              <w:rPr>
                <w:b/>
                <w:sz w:val="18"/>
              </w:rPr>
              <w:t>Risk</w:t>
            </w:r>
          </w:p>
        </w:tc>
        <w:tc>
          <w:tcPr>
            <w:tcW w:type="dxa" w:w="4997"/>
            <w:shd w:fill="E9EEF5"/>
            <w:vAlign w:val="center"/>
          </w:tcPr>
          <w:p>
            <w:r/>
            <w:r>
              <w:rPr>
                <w:b/>
                <w:sz w:val="18"/>
              </w:rPr>
              <w:t>Mitigation</w:t>
            </w:r>
          </w:p>
        </w:tc>
      </w:tr>
      <w:tr>
        <w:tc>
          <w:tcPr>
            <w:tcW w:type="dxa" w:w="4997"/>
            <w:vAlign w:val="top"/>
          </w:tcPr>
          <w:p>
            <w:r/>
            <w:r>
              <w:rPr>
                <w:b w:val="0"/>
                <w:sz w:val="18"/>
              </w:rPr>
              <w:t>Strong SEO incumbents</w:t>
            </w:r>
          </w:p>
        </w:tc>
        <w:tc>
          <w:tcPr>
            <w:tcW w:type="dxa" w:w="4997"/>
            <w:vAlign w:val="top"/>
          </w:tcPr>
          <w:p>
            <w:r/>
            <w:r>
              <w:rPr>
                <w:b w:val="0"/>
                <w:sz w:val="18"/>
              </w:rPr>
              <w:t>Long-tail entry, superior utility UX, knowledge authority, technical SEO and gradual head-term competition</w:t>
            </w:r>
          </w:p>
        </w:tc>
      </w:tr>
      <w:tr>
        <w:tc>
          <w:tcPr>
            <w:tcW w:type="dxa" w:w="4997"/>
            <w:vAlign w:val="top"/>
          </w:tcPr>
          <w:p>
            <w:r/>
            <w:r>
              <w:rPr>
                <w:b w:val="0"/>
                <w:sz w:val="18"/>
              </w:rPr>
              <w:t>Processing cost</w:t>
            </w:r>
          </w:p>
        </w:tc>
        <w:tc>
          <w:tcPr>
            <w:tcW w:type="dxa" w:w="4997"/>
            <w:vAlign w:val="top"/>
          </w:tcPr>
          <w:p>
            <w:r/>
            <w:r>
              <w:rPr>
                <w:b w:val="0"/>
                <w:sz w:val="18"/>
              </w:rPr>
              <w:t>Local-first execution, quotas, efficient workers and paid limits for costly workloads</w:t>
            </w:r>
          </w:p>
        </w:tc>
      </w:tr>
      <w:tr>
        <w:tc>
          <w:tcPr>
            <w:tcW w:type="dxa" w:w="4997"/>
            <w:vAlign w:val="top"/>
          </w:tcPr>
          <w:p>
            <w:r/>
            <w:r>
              <w:rPr>
                <w:b w:val="0"/>
                <w:sz w:val="18"/>
              </w:rPr>
              <w:t>Sensitive documents</w:t>
            </w:r>
          </w:p>
        </w:tc>
        <w:tc>
          <w:tcPr>
            <w:tcW w:type="dxa" w:w="4997"/>
            <w:vAlign w:val="top"/>
          </w:tcPr>
          <w:p>
            <w:r/>
            <w:r>
              <w:rPr>
                <w:b w:val="0"/>
                <w:sz w:val="18"/>
              </w:rPr>
              <w:t>Minimize uploads, isolate workers, short retention, no content in logs/analytics</w:t>
            </w:r>
          </w:p>
        </w:tc>
      </w:tr>
      <w:tr>
        <w:tc>
          <w:tcPr>
            <w:tcW w:type="dxa" w:w="4997"/>
            <w:vAlign w:val="top"/>
          </w:tcPr>
          <w:p>
            <w:r/>
            <w:r>
              <w:rPr>
                <w:b w:val="0"/>
                <w:sz w:val="18"/>
              </w:rPr>
              <w:t>AdSense/policy risk</w:t>
            </w:r>
          </w:p>
        </w:tc>
        <w:tc>
          <w:tcPr>
            <w:tcW w:type="dxa" w:w="4997"/>
            <w:vAlign w:val="top"/>
          </w:tcPr>
          <w:p>
            <w:r/>
            <w:r>
              <w:rPr>
                <w:b w:val="0"/>
                <w:sz w:val="18"/>
              </w:rPr>
              <w:t>Real utility, original knowledge, non-deceptive ad placement and policy review before launch</w:t>
            </w:r>
          </w:p>
        </w:tc>
      </w:tr>
      <w:tr>
        <w:tc>
          <w:tcPr>
            <w:tcW w:type="dxa" w:w="4997"/>
            <w:vAlign w:val="top"/>
          </w:tcPr>
          <w:p>
            <w:r/>
            <w:r>
              <w:rPr>
                <w:b w:val="0"/>
                <w:sz w:val="18"/>
              </w:rPr>
              <w:t>Scope creep</w:t>
            </w:r>
          </w:p>
        </w:tc>
        <w:tc>
          <w:tcPr>
            <w:tcW w:type="dxa" w:w="4997"/>
            <w:vAlign w:val="top"/>
          </w:tcPr>
          <w:p>
            <w:r/>
            <w:r>
              <w:rPr>
                <w:b w:val="0"/>
                <w:sz w:val="18"/>
              </w:rPr>
              <w:t>Frozen MVP and priority classes</w:t>
            </w:r>
          </w:p>
        </w:tc>
      </w:tr>
      <w:tr>
        <w:tc>
          <w:tcPr>
            <w:tcW w:type="dxa" w:w="4997"/>
            <w:vAlign w:val="top"/>
          </w:tcPr>
          <w:p>
            <w:r/>
            <w:r>
              <w:rPr>
                <w:b w:val="0"/>
                <w:sz w:val="18"/>
              </w:rPr>
              <w:t>Malicious files</w:t>
            </w:r>
          </w:p>
        </w:tc>
        <w:tc>
          <w:tcPr>
            <w:tcW w:type="dxa" w:w="4997"/>
            <w:vAlign w:val="top"/>
          </w:tcPr>
          <w:p>
            <w:r/>
            <w:r>
              <w:rPr>
                <w:b w:val="0"/>
                <w:sz w:val="18"/>
              </w:rPr>
              <w:t>Treat every file as untrusted; validate, sandbox/isolate and resource-limit server processing</w:t>
            </w:r>
          </w:p>
        </w:tc>
      </w:tr>
    </w:tbl>
    <w:p/>
    <w:p>
      <w:pPr>
        <w:pStyle w:val="Heading1"/>
      </w:pPr>
      <w:r>
        <w:t>16. Governance and Source of Truth</w:t>
      </w:r>
    </w:p>
    <w:p>
      <w:r>
        <w:t>This Master Product Plan is the executive baseline. The PRD owns product requirements and scope. The SRS owns testable software requirements. Later architecture, security, UI/UX, testing and deployment documents may refine implementation details but should not silently change product scope. Material changes must be reflected back into the PRD/SRS.</w:t>
      </w:r>
    </w:p>
    <w:p>
      <w:pPr>
        <w:pStyle w:val="Heading1"/>
      </w:pPr>
      <w:r>
        <w:t>17. Decision</w:t>
      </w:r>
    </w:p>
    <w:p>
      <w:r>
        <w:t>GO. Phase 0 market intelligence and Phase 1 product definition support moving into requirements and engineering design. The next formal artifacts are the PRD and SRS, followed by architecture/security/UI/UX and implementation planning.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Planning baseline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Document &amp; File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1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1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1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1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