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3145"/>
          <w:sz w:val="50"/>
        </w:rPr>
        <w:t>Software Requirements Specification (SRS)</w:t>
      </w:r>
    </w:p>
    <w:p>
      <w:pPr>
        <w:jc w:val="center"/>
      </w:pPr>
      <w:r>
        <w:rPr>
          <w:i/>
          <w:color w:val="555555"/>
          <w:sz w:val="24"/>
        </w:rPr>
        <w:t>Testable functional and non-functional requirements for the MVP</w:t>
      </w:r>
    </w:p>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Field</w:t>
            </w:r>
          </w:p>
        </w:tc>
        <w:tc>
          <w:tcPr>
            <w:tcW w:type="dxa" w:w="4997"/>
            <w:shd w:fill="E9EEF5"/>
            <w:vAlign w:val="center"/>
          </w:tcPr>
          <w:p>
            <w:r/>
            <w:r>
              <w:rPr>
                <w:b/>
                <w:sz w:val="18"/>
              </w:rPr>
              <w:t>Value</w:t>
            </w:r>
          </w:p>
        </w:tc>
      </w:tr>
      <w:tr>
        <w:tc>
          <w:tcPr>
            <w:tcW w:type="dxa" w:w="4997"/>
            <w:vAlign w:val="top"/>
          </w:tcPr>
          <w:p>
            <w:r/>
            <w:r>
              <w:rPr>
                <w:b w:val="0"/>
                <w:sz w:val="18"/>
              </w:rPr>
              <w:t>Project</w:t>
            </w:r>
          </w:p>
        </w:tc>
        <w:tc>
          <w:tcPr>
            <w:tcW w:type="dxa" w:w="4997"/>
            <w:vAlign w:val="top"/>
          </w:tcPr>
          <w:p>
            <w:r/>
            <w:r>
              <w:rPr>
                <w:b w:val="0"/>
                <w:sz w:val="18"/>
              </w:rPr>
              <w:t>Document &amp; File Platform</w:t>
            </w:r>
          </w:p>
        </w:tc>
      </w:tr>
      <w:tr>
        <w:tc>
          <w:tcPr>
            <w:tcW w:type="dxa" w:w="4997"/>
            <w:vAlign w:val="top"/>
          </w:tcPr>
          <w:p>
            <w:r/>
            <w:r>
              <w:rPr>
                <w:b w:val="0"/>
                <w:sz w:val="18"/>
              </w:rPr>
              <w:t>Document version</w:t>
            </w:r>
          </w:p>
        </w:tc>
        <w:tc>
          <w:tcPr>
            <w:tcW w:type="dxa" w:w="4997"/>
            <w:vAlign w:val="top"/>
          </w:tcPr>
          <w:p>
            <w:r/>
            <w:r>
              <w:rPr>
                <w:b w:val="0"/>
                <w:sz w:val="18"/>
              </w:rPr>
              <w:t>0.1 — Planning Baseline</w:t>
            </w:r>
          </w:p>
        </w:tc>
      </w:tr>
      <w:tr>
        <w:tc>
          <w:tcPr>
            <w:tcW w:type="dxa" w:w="4997"/>
            <w:vAlign w:val="top"/>
          </w:tcPr>
          <w:p>
            <w:r/>
            <w:r>
              <w:rPr>
                <w:b w:val="0"/>
                <w:sz w:val="18"/>
              </w:rPr>
              <w:t>Date</w:t>
            </w:r>
          </w:p>
        </w:tc>
        <w:tc>
          <w:tcPr>
            <w:tcW w:type="dxa" w:w="4997"/>
            <w:vAlign w:val="top"/>
          </w:tcPr>
          <w:p>
            <w:r/>
            <w:r>
              <w:rPr>
                <w:b w:val="0"/>
                <w:sz w:val="18"/>
              </w:rPr>
              <w:t>23 September 2026</w:t>
            </w:r>
          </w:p>
        </w:tc>
      </w:tr>
      <w:tr>
        <w:tc>
          <w:tcPr>
            <w:tcW w:type="dxa" w:w="4997"/>
            <w:vAlign w:val="top"/>
          </w:tcPr>
          <w:p>
            <w:r/>
            <w:r>
              <w:rPr>
                <w:b w:val="0"/>
                <w:sz w:val="18"/>
              </w:rPr>
              <w:t>Status</w:t>
            </w:r>
          </w:p>
        </w:tc>
        <w:tc>
          <w:tcPr>
            <w:tcW w:type="dxa" w:w="4997"/>
            <w:vAlign w:val="top"/>
          </w:tcPr>
          <w:p>
            <w:r/>
            <w:r>
              <w:rPr>
                <w:b w:val="0"/>
                <w:sz w:val="18"/>
              </w:rPr>
              <w:t>Baseline for Phase 2 engineering work</w:t>
            </w:r>
          </w:p>
        </w:tc>
      </w:tr>
      <w:tr>
        <w:tc>
          <w:tcPr>
            <w:tcW w:type="dxa" w:w="4997"/>
            <w:vAlign w:val="top"/>
          </w:tcPr>
          <w:p>
            <w:r/>
            <w:r>
              <w:rPr>
                <w:b w:val="0"/>
                <w:sz w:val="18"/>
              </w:rPr>
              <w:t>Technology direction</w:t>
            </w:r>
          </w:p>
        </w:tc>
        <w:tc>
          <w:tcPr>
            <w:tcW w:type="dxa" w:w="4997"/>
            <w:vAlign w:val="top"/>
          </w:tcPr>
          <w:p>
            <w:r/>
            <w:r>
              <w:rPr>
                <w:b w:val="0"/>
                <w:sz w:val="18"/>
              </w:rPr>
              <w:t>Next.js + TypeScript; Python/FastAPI processing services; local-first hybrid processing</w:t>
            </w:r>
          </w:p>
        </w:tc>
      </w:tr>
      <w:tr>
        <w:tc>
          <w:tcPr>
            <w:tcW w:type="dxa" w:w="4997"/>
            <w:vAlign w:val="top"/>
          </w:tcPr>
          <w:p>
            <w:r/>
            <w:r>
              <w:rPr>
                <w:b w:val="0"/>
                <w:sz w:val="18"/>
              </w:rPr>
              <w:t>Cost principle</w:t>
            </w:r>
          </w:p>
        </w:tc>
        <w:tc>
          <w:tcPr>
            <w:tcW w:type="dxa" w:w="4997"/>
            <w:vAlign w:val="top"/>
          </w:tcPr>
          <w:p>
            <w:r/>
            <w:r>
              <w:rPr>
                <w:b w:val="0"/>
                <w:sz w:val="18"/>
              </w:rPr>
              <w:t>Keep recurring infrastructure near $0 until usage justifies spend</w:t>
            </w:r>
          </w:p>
        </w:tc>
      </w:tr>
    </w:tbl>
    <w:p/>
    <w:p>
      <w:pPr>
        <w:pStyle w:val="Heading1"/>
      </w:pPr>
      <w:r>
        <w:t>1. Scope</w:t>
      </w:r>
    </w:p>
    <w:p>
      <w:r>
        <w:t>This SRS translates the approved product definition into testable software requirements. Requirement identifiers are stable references for architecture, implementation, test cases and Codex tasks. Where an exact numeric threshold requires benchmarking, the requirement states the governing behavior and marks the threshold for architecture-phase finalization.</w:t>
      </w:r>
    </w:p>
    <w:p>
      <w:pPr>
        <w:pStyle w:val="Heading1"/>
      </w:pPr>
      <w:r>
        <w:t>2. System Context</w:t>
      </w:r>
    </w:p>
    <w:p>
      <w:r>
        <w:t>The system consists of a Next.js/TypeScript web application, browser-side document-processing modules, and server-side Python/FastAPI processing services for operations that cannot reasonably run locally. Server processing may use isolated workers and temporary object/ephemeral storage. Persistent application state is intentionally minimal in the anonymous MVP.</w:t>
      </w:r>
    </w:p>
    <w:p>
      <w:pPr>
        <w:pStyle w:val="Heading1"/>
      </w:pPr>
      <w:r>
        <w:t>3. External Interfaces</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Interface</w:t>
            </w:r>
          </w:p>
        </w:tc>
        <w:tc>
          <w:tcPr>
            <w:tcW w:type="dxa" w:w="4997"/>
            <w:shd w:fill="E9EEF5"/>
            <w:vAlign w:val="center"/>
          </w:tcPr>
          <w:p>
            <w:r/>
            <w:r>
              <w:rPr>
                <w:b/>
                <w:sz w:val="18"/>
              </w:rPr>
              <w:t>Requirement</w:t>
            </w:r>
          </w:p>
        </w:tc>
      </w:tr>
      <w:tr>
        <w:tc>
          <w:tcPr>
            <w:tcW w:type="dxa" w:w="4997"/>
            <w:vAlign w:val="top"/>
          </w:tcPr>
          <w:p>
            <w:r/>
            <w:r>
              <w:rPr>
                <w:b w:val="0"/>
                <w:sz w:val="18"/>
              </w:rPr>
              <w:t>Browser</w:t>
            </w:r>
          </w:p>
        </w:tc>
        <w:tc>
          <w:tcPr>
            <w:tcW w:type="dxa" w:w="4997"/>
            <w:vAlign w:val="top"/>
          </w:tcPr>
          <w:p>
            <w:r/>
            <w:r>
              <w:rPr>
                <w:b w:val="0"/>
                <w:sz w:val="18"/>
              </w:rPr>
              <w:t>Current major desktop/mobile browsers defined in the QA matrix</w:t>
            </w:r>
          </w:p>
        </w:tc>
      </w:tr>
      <w:tr>
        <w:tc>
          <w:tcPr>
            <w:tcW w:type="dxa" w:w="4997"/>
            <w:vAlign w:val="top"/>
          </w:tcPr>
          <w:p>
            <w:r/>
            <w:r>
              <w:rPr>
                <w:b w:val="0"/>
                <w:sz w:val="18"/>
              </w:rPr>
              <w:t>Processing API</w:t>
            </w:r>
          </w:p>
        </w:tc>
        <w:tc>
          <w:tcPr>
            <w:tcW w:type="dxa" w:w="4997"/>
            <w:vAlign w:val="top"/>
          </w:tcPr>
          <w:p>
            <w:r/>
            <w:r>
              <w:rPr>
                <w:b w:val="0"/>
                <w:sz w:val="18"/>
              </w:rPr>
              <w:t>HTTPS JSON/control API plus secure file transfer mechanism where server processing is required</w:t>
            </w:r>
          </w:p>
        </w:tc>
      </w:tr>
      <w:tr>
        <w:tc>
          <w:tcPr>
            <w:tcW w:type="dxa" w:w="4997"/>
            <w:vAlign w:val="top"/>
          </w:tcPr>
          <w:p>
            <w:r/>
            <w:r>
              <w:rPr>
                <w:b w:val="0"/>
                <w:sz w:val="18"/>
              </w:rPr>
              <w:t>Object storage</w:t>
            </w:r>
          </w:p>
        </w:tc>
        <w:tc>
          <w:tcPr>
            <w:tcW w:type="dxa" w:w="4997"/>
            <w:vAlign w:val="top"/>
          </w:tcPr>
          <w:p>
            <w:r/>
            <w:r>
              <w:rPr>
                <w:b w:val="0"/>
                <w:sz w:val="18"/>
              </w:rPr>
              <w:t>S3-compatible or equivalent temporary storage when worker-local ephemeral storage is insufficient</w:t>
            </w:r>
          </w:p>
        </w:tc>
      </w:tr>
      <w:tr>
        <w:tc>
          <w:tcPr>
            <w:tcW w:type="dxa" w:w="4997"/>
            <w:vAlign w:val="top"/>
          </w:tcPr>
          <w:p>
            <w:r/>
            <w:r>
              <w:rPr>
                <w:b w:val="0"/>
                <w:sz w:val="18"/>
              </w:rPr>
              <w:t>Analytics</w:t>
            </w:r>
          </w:p>
        </w:tc>
        <w:tc>
          <w:tcPr>
            <w:tcW w:type="dxa" w:w="4997"/>
            <w:vAlign w:val="top"/>
          </w:tcPr>
          <w:p>
            <w:r/>
            <w:r>
              <w:rPr>
                <w:b w:val="0"/>
                <w:sz w:val="18"/>
              </w:rPr>
              <w:t>Event-based analytics that excludes document content</w:t>
            </w:r>
          </w:p>
        </w:tc>
      </w:tr>
      <w:tr>
        <w:tc>
          <w:tcPr>
            <w:tcW w:type="dxa" w:w="4997"/>
            <w:vAlign w:val="top"/>
          </w:tcPr>
          <w:p>
            <w:r/>
            <w:r>
              <w:rPr>
                <w:b w:val="0"/>
                <w:sz w:val="18"/>
              </w:rPr>
              <w:t>Search/SEO</w:t>
            </w:r>
          </w:p>
        </w:tc>
        <w:tc>
          <w:tcPr>
            <w:tcW w:type="dxa" w:w="4997"/>
            <w:vAlign w:val="top"/>
          </w:tcPr>
          <w:p>
            <w:r/>
            <w:r>
              <w:rPr>
                <w:b w:val="0"/>
                <w:sz w:val="18"/>
              </w:rPr>
              <w:t>Server-rendered/static indexable tool and guide pages with canonical metadata</w:t>
            </w:r>
          </w:p>
        </w:tc>
      </w:tr>
      <w:tr>
        <w:tc>
          <w:tcPr>
            <w:tcW w:type="dxa" w:w="4997"/>
            <w:vAlign w:val="top"/>
          </w:tcPr>
          <w:p>
            <w:r/>
            <w:r>
              <w:rPr>
                <w:b w:val="0"/>
                <w:sz w:val="18"/>
              </w:rPr>
              <w:t>Monitoring</w:t>
            </w:r>
          </w:p>
        </w:tc>
        <w:tc>
          <w:tcPr>
            <w:tcW w:type="dxa" w:w="4997"/>
            <w:vAlign w:val="top"/>
          </w:tcPr>
          <w:p>
            <w:r/>
            <w:r>
              <w:rPr>
                <w:b w:val="0"/>
                <w:sz w:val="18"/>
              </w:rPr>
              <w:t>Application error, worker error and health/availability telemetry</w:t>
            </w:r>
          </w:p>
        </w:tc>
      </w:tr>
    </w:tbl>
    <w:p/>
    <w:p>
      <w:pPr>
        <w:pStyle w:val="Heading1"/>
      </w:pPr>
      <w:r>
        <w:t>4. Global Functional Requirements</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ID</w:t>
            </w:r>
          </w:p>
        </w:tc>
        <w:tc>
          <w:tcPr>
            <w:tcW w:type="dxa" w:w="4997"/>
            <w:shd w:fill="E9EEF5"/>
            <w:vAlign w:val="center"/>
          </w:tcPr>
          <w:p>
            <w:r/>
            <w:r>
              <w:rPr>
                <w:b/>
                <w:sz w:val="18"/>
              </w:rPr>
              <w:t>Requirement</w:t>
            </w:r>
          </w:p>
        </w:tc>
      </w:tr>
      <w:tr>
        <w:tc>
          <w:tcPr>
            <w:tcW w:type="dxa" w:w="4997"/>
            <w:vAlign w:val="top"/>
          </w:tcPr>
          <w:p>
            <w:r/>
            <w:r>
              <w:rPr>
                <w:b w:val="0"/>
                <w:sz w:val="18"/>
              </w:rPr>
              <w:t>FR-GEN-001</w:t>
            </w:r>
          </w:p>
        </w:tc>
        <w:tc>
          <w:tcPr>
            <w:tcW w:type="dxa" w:w="4997"/>
            <w:vAlign w:val="top"/>
          </w:tcPr>
          <w:p>
            <w:r/>
            <w:r>
              <w:rPr>
                <w:b w:val="0"/>
                <w:sz w:val="18"/>
              </w:rPr>
              <w:t>The system shall allow core MVP tools to be used without authentication.</w:t>
            </w:r>
          </w:p>
        </w:tc>
      </w:tr>
      <w:tr>
        <w:tc>
          <w:tcPr>
            <w:tcW w:type="dxa" w:w="4997"/>
            <w:vAlign w:val="top"/>
          </w:tcPr>
          <w:p>
            <w:r/>
            <w:r>
              <w:rPr>
                <w:b w:val="0"/>
                <w:sz w:val="18"/>
              </w:rPr>
              <w:t>FR-GEN-002</w:t>
            </w:r>
          </w:p>
        </w:tc>
        <w:tc>
          <w:tcPr>
            <w:tcW w:type="dxa" w:w="4997"/>
            <w:vAlign w:val="top"/>
          </w:tcPr>
          <w:p>
            <w:r/>
            <w:r>
              <w:rPr>
                <w:b w:val="0"/>
                <w:sz w:val="18"/>
              </w:rPr>
              <w:t>The system shall validate supported file types before processing and reject unsupported input with an actionable message.</w:t>
            </w:r>
          </w:p>
        </w:tc>
      </w:tr>
      <w:tr>
        <w:tc>
          <w:tcPr>
            <w:tcW w:type="dxa" w:w="4997"/>
            <w:vAlign w:val="top"/>
          </w:tcPr>
          <w:p>
            <w:r/>
            <w:r>
              <w:rPr>
                <w:b w:val="0"/>
                <w:sz w:val="18"/>
              </w:rPr>
              <w:t>FR-GEN-003</w:t>
            </w:r>
          </w:p>
        </w:tc>
        <w:tc>
          <w:tcPr>
            <w:tcW w:type="dxa" w:w="4997"/>
            <w:vAlign w:val="top"/>
          </w:tcPr>
          <w:p>
            <w:r/>
            <w:r>
              <w:rPr>
                <w:b w:val="0"/>
                <w:sz w:val="18"/>
              </w:rPr>
              <w:t>The system shall enforce configured file-size, page-count and job-resource limits before or during processing.</w:t>
            </w:r>
          </w:p>
        </w:tc>
      </w:tr>
      <w:tr>
        <w:tc>
          <w:tcPr>
            <w:tcW w:type="dxa" w:w="4997"/>
            <w:vAlign w:val="top"/>
          </w:tcPr>
          <w:p>
            <w:r/>
            <w:r>
              <w:rPr>
                <w:b w:val="0"/>
                <w:sz w:val="18"/>
              </w:rPr>
              <w:t>FR-GEN-004</w:t>
            </w:r>
          </w:p>
        </w:tc>
        <w:tc>
          <w:tcPr>
            <w:tcW w:type="dxa" w:w="4997"/>
            <w:vAlign w:val="top"/>
          </w:tcPr>
          <w:p>
            <w:r/>
            <w:r>
              <w:rPr>
                <w:b w:val="0"/>
                <w:sz w:val="18"/>
              </w:rPr>
              <w:t>The system shall indicate whether a selected operation is local or server-processed.</w:t>
            </w:r>
          </w:p>
        </w:tc>
      </w:tr>
      <w:tr>
        <w:tc>
          <w:tcPr>
            <w:tcW w:type="dxa" w:w="4997"/>
            <w:vAlign w:val="top"/>
          </w:tcPr>
          <w:p>
            <w:r/>
            <w:r>
              <w:rPr>
                <w:b w:val="0"/>
                <w:sz w:val="18"/>
              </w:rPr>
              <w:t>FR-GEN-005</w:t>
            </w:r>
          </w:p>
        </w:tc>
        <w:tc>
          <w:tcPr>
            <w:tcW w:type="dxa" w:w="4997"/>
            <w:vAlign w:val="top"/>
          </w:tcPr>
          <w:p>
            <w:r/>
            <w:r>
              <w:rPr>
                <w:b w:val="0"/>
                <w:sz w:val="18"/>
              </w:rPr>
              <w:t>The system shall present processing state as queued, uploading, processing, completed or failed as applicable.</w:t>
            </w:r>
          </w:p>
        </w:tc>
      </w:tr>
      <w:tr>
        <w:tc>
          <w:tcPr>
            <w:tcW w:type="dxa" w:w="4997"/>
            <w:vAlign w:val="top"/>
          </w:tcPr>
          <w:p>
            <w:r/>
            <w:r>
              <w:rPr>
                <w:b w:val="0"/>
                <w:sz w:val="18"/>
              </w:rPr>
              <w:t>FR-GEN-006</w:t>
            </w:r>
          </w:p>
        </w:tc>
        <w:tc>
          <w:tcPr>
            <w:tcW w:type="dxa" w:w="4997"/>
            <w:vAlign w:val="top"/>
          </w:tcPr>
          <w:p>
            <w:r/>
            <w:r>
              <w:rPr>
                <w:b w:val="0"/>
                <w:sz w:val="18"/>
              </w:rPr>
              <w:t>The system shall provide a download mechanism for successful outputs.</w:t>
            </w:r>
          </w:p>
        </w:tc>
      </w:tr>
      <w:tr>
        <w:tc>
          <w:tcPr>
            <w:tcW w:type="dxa" w:w="4997"/>
            <w:vAlign w:val="top"/>
          </w:tcPr>
          <w:p>
            <w:r/>
            <w:r>
              <w:rPr>
                <w:b w:val="0"/>
                <w:sz w:val="18"/>
              </w:rPr>
              <w:t>FR-GEN-007</w:t>
            </w:r>
          </w:p>
        </w:tc>
        <w:tc>
          <w:tcPr>
            <w:tcW w:type="dxa" w:w="4997"/>
            <w:vAlign w:val="top"/>
          </w:tcPr>
          <w:p>
            <w:r/>
            <w:r>
              <w:rPr>
                <w:b w:val="0"/>
                <w:sz w:val="18"/>
              </w:rPr>
              <w:t>The system shall not require an email address to download a normal MVP result.</w:t>
            </w:r>
          </w:p>
        </w:tc>
      </w:tr>
      <w:tr>
        <w:tc>
          <w:tcPr>
            <w:tcW w:type="dxa" w:w="4997"/>
            <w:vAlign w:val="top"/>
          </w:tcPr>
          <w:p>
            <w:r/>
            <w:r>
              <w:rPr>
                <w:b w:val="0"/>
                <w:sz w:val="18"/>
              </w:rPr>
              <w:t>FR-GEN-008</w:t>
            </w:r>
          </w:p>
        </w:tc>
        <w:tc>
          <w:tcPr>
            <w:tcW w:type="dxa" w:w="4997"/>
            <w:vAlign w:val="top"/>
          </w:tcPr>
          <w:p>
            <w:r/>
            <w:r>
              <w:rPr>
                <w:b w:val="0"/>
                <w:sz w:val="18"/>
              </w:rPr>
              <w:t>The system shall provide human-readable error messages and, when known, a recovery action.</w:t>
            </w:r>
          </w:p>
        </w:tc>
      </w:tr>
      <w:tr>
        <w:tc>
          <w:tcPr>
            <w:tcW w:type="dxa" w:w="4997"/>
            <w:vAlign w:val="top"/>
          </w:tcPr>
          <w:p>
            <w:r/>
            <w:r>
              <w:rPr>
                <w:b w:val="0"/>
                <w:sz w:val="18"/>
              </w:rPr>
              <w:t>FR-GEN-009</w:t>
            </w:r>
          </w:p>
        </w:tc>
        <w:tc>
          <w:tcPr>
            <w:tcW w:type="dxa" w:w="4997"/>
            <w:vAlign w:val="top"/>
          </w:tcPr>
          <w:p>
            <w:r/>
            <w:r>
              <w:rPr>
                <w:b w:val="0"/>
                <w:sz w:val="18"/>
              </w:rPr>
              <w:t>The system shall support cancellation before completion where the underlying operation can be safely cancelled.</w:t>
            </w:r>
          </w:p>
        </w:tc>
      </w:tr>
      <w:tr>
        <w:tc>
          <w:tcPr>
            <w:tcW w:type="dxa" w:w="4997"/>
            <w:vAlign w:val="top"/>
          </w:tcPr>
          <w:p>
            <w:r/>
            <w:r>
              <w:rPr>
                <w:b w:val="0"/>
                <w:sz w:val="18"/>
              </w:rPr>
              <w:t>FR-GEN-010</w:t>
            </w:r>
          </w:p>
        </w:tc>
        <w:tc>
          <w:tcPr>
            <w:tcW w:type="dxa" w:w="4997"/>
            <w:vAlign w:val="top"/>
          </w:tcPr>
          <w:p>
            <w:r/>
            <w:r>
              <w:rPr>
                <w:b w:val="0"/>
                <w:sz w:val="18"/>
              </w:rPr>
              <w:t>The system shall prevent accidental double-submission of the same active job from repeated primary-action clicks.</w:t>
            </w:r>
          </w:p>
        </w:tc>
      </w:tr>
      <w:tr>
        <w:tc>
          <w:tcPr>
            <w:tcW w:type="dxa" w:w="4997"/>
            <w:vAlign w:val="top"/>
          </w:tcPr>
          <w:p>
            <w:r/>
            <w:r>
              <w:rPr>
                <w:b w:val="0"/>
                <w:sz w:val="18"/>
              </w:rPr>
              <w:t>FR-GEN-011</w:t>
            </w:r>
          </w:p>
        </w:tc>
        <w:tc>
          <w:tcPr>
            <w:tcW w:type="dxa" w:w="4997"/>
            <w:vAlign w:val="top"/>
          </w:tcPr>
          <w:p>
            <w:r/>
            <w:r>
              <w:rPr>
                <w:b w:val="0"/>
                <w:sz w:val="18"/>
              </w:rPr>
              <w:t>The system shall provide related-tool navigation without obscuring the primary result/download action.</w:t>
            </w:r>
          </w:p>
        </w:tc>
      </w:tr>
    </w:tbl>
    <w:p/>
    <w:p>
      <w:pPr>
        <w:pStyle w:val="Heading1"/>
      </w:pPr>
      <w:r>
        <w:t>5. Tool-Specific Functional Requirements</w:t>
      </w:r>
    </w:p>
    <w:p>
      <w:pPr>
        <w:pStyle w:val="Heading2"/>
      </w:pPr>
      <w:r>
        <w:t>5.1 Merge PDF</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ID</w:t>
            </w:r>
          </w:p>
        </w:tc>
        <w:tc>
          <w:tcPr>
            <w:tcW w:type="dxa" w:w="4997"/>
            <w:shd w:fill="E9EEF5"/>
            <w:vAlign w:val="center"/>
          </w:tcPr>
          <w:p>
            <w:r/>
            <w:r>
              <w:rPr>
                <w:b/>
                <w:sz w:val="18"/>
              </w:rPr>
              <w:t>Requirement</w:t>
            </w:r>
          </w:p>
        </w:tc>
      </w:tr>
      <w:tr>
        <w:tc>
          <w:tcPr>
            <w:tcW w:type="dxa" w:w="4997"/>
            <w:vAlign w:val="top"/>
          </w:tcPr>
          <w:p>
            <w:r/>
            <w:r>
              <w:rPr>
                <w:b w:val="0"/>
                <w:sz w:val="18"/>
              </w:rPr>
              <w:t>FR-MRG-001</w:t>
            </w:r>
          </w:p>
        </w:tc>
        <w:tc>
          <w:tcPr>
            <w:tcW w:type="dxa" w:w="4997"/>
            <w:vAlign w:val="top"/>
          </w:tcPr>
          <w:p>
            <w:r/>
            <w:r>
              <w:rPr>
                <w:b w:val="0"/>
                <w:sz w:val="18"/>
              </w:rPr>
              <w:t>The system shall accept two or more supported PDF files for a merge operation.</w:t>
            </w:r>
          </w:p>
        </w:tc>
      </w:tr>
      <w:tr>
        <w:tc>
          <w:tcPr>
            <w:tcW w:type="dxa" w:w="4997"/>
            <w:vAlign w:val="top"/>
          </w:tcPr>
          <w:p>
            <w:r/>
            <w:r>
              <w:rPr>
                <w:b w:val="0"/>
                <w:sz w:val="18"/>
              </w:rPr>
              <w:t>FR-MRG-002</w:t>
            </w:r>
          </w:p>
        </w:tc>
        <w:tc>
          <w:tcPr>
            <w:tcW w:type="dxa" w:w="4997"/>
            <w:vAlign w:val="top"/>
          </w:tcPr>
          <w:p>
            <w:r/>
            <w:r>
              <w:rPr>
                <w:b w:val="0"/>
                <w:sz w:val="18"/>
              </w:rPr>
              <w:t>The user shall be able to change input-file order before processing.</w:t>
            </w:r>
          </w:p>
        </w:tc>
      </w:tr>
      <w:tr>
        <w:tc>
          <w:tcPr>
            <w:tcW w:type="dxa" w:w="4997"/>
            <w:vAlign w:val="top"/>
          </w:tcPr>
          <w:p>
            <w:r/>
            <w:r>
              <w:rPr>
                <w:b w:val="0"/>
                <w:sz w:val="18"/>
              </w:rPr>
              <w:t>FR-MRG-003</w:t>
            </w:r>
          </w:p>
        </w:tc>
        <w:tc>
          <w:tcPr>
            <w:tcW w:type="dxa" w:w="4997"/>
            <w:vAlign w:val="top"/>
          </w:tcPr>
          <w:p>
            <w:r/>
            <w:r>
              <w:rPr>
                <w:b w:val="0"/>
                <w:sz w:val="18"/>
              </w:rPr>
              <w:t>The output shall contain pages in the user-selected file/page order.</w:t>
            </w:r>
          </w:p>
        </w:tc>
      </w:tr>
      <w:tr>
        <w:tc>
          <w:tcPr>
            <w:tcW w:type="dxa" w:w="4997"/>
            <w:vAlign w:val="top"/>
          </w:tcPr>
          <w:p>
            <w:r/>
            <w:r>
              <w:rPr>
                <w:b w:val="0"/>
                <w:sz w:val="18"/>
              </w:rPr>
              <w:t>FR-MRG-004</w:t>
            </w:r>
          </w:p>
        </w:tc>
        <w:tc>
          <w:tcPr>
            <w:tcW w:type="dxa" w:w="4997"/>
            <w:vAlign w:val="top"/>
          </w:tcPr>
          <w:p>
            <w:r/>
            <w:r>
              <w:rPr>
                <w:b w:val="0"/>
                <w:sz w:val="18"/>
              </w:rPr>
              <w:t>The system shall produce one downloadable PDF when the merge succeeds.</w:t>
            </w:r>
          </w:p>
        </w:tc>
      </w:tr>
    </w:tbl>
    <w:p/>
    <w:p>
      <w:pPr>
        <w:pStyle w:val="Heading2"/>
      </w:pPr>
      <w:r>
        <w:t>5.2 Compress PDF</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ID</w:t>
            </w:r>
          </w:p>
        </w:tc>
        <w:tc>
          <w:tcPr>
            <w:tcW w:type="dxa" w:w="4997"/>
            <w:shd w:fill="E9EEF5"/>
            <w:vAlign w:val="center"/>
          </w:tcPr>
          <w:p>
            <w:r/>
            <w:r>
              <w:rPr>
                <w:b/>
                <w:sz w:val="18"/>
              </w:rPr>
              <w:t>Requirement</w:t>
            </w:r>
          </w:p>
        </w:tc>
      </w:tr>
      <w:tr>
        <w:tc>
          <w:tcPr>
            <w:tcW w:type="dxa" w:w="4997"/>
            <w:vAlign w:val="top"/>
          </w:tcPr>
          <w:p>
            <w:r/>
            <w:r>
              <w:rPr>
                <w:b w:val="0"/>
                <w:sz w:val="18"/>
              </w:rPr>
              <w:t>FR-CMP-001</w:t>
            </w:r>
          </w:p>
        </w:tc>
        <w:tc>
          <w:tcPr>
            <w:tcW w:type="dxa" w:w="4997"/>
            <w:vAlign w:val="top"/>
          </w:tcPr>
          <w:p>
            <w:r/>
            <w:r>
              <w:rPr>
                <w:b w:val="0"/>
                <w:sz w:val="18"/>
              </w:rPr>
              <w:t>The system shall accept a supported PDF and produce a valid PDF output when compression succeeds.</w:t>
            </w:r>
          </w:p>
        </w:tc>
      </w:tr>
      <w:tr>
        <w:tc>
          <w:tcPr>
            <w:tcW w:type="dxa" w:w="4997"/>
            <w:vAlign w:val="top"/>
          </w:tcPr>
          <w:p>
            <w:r/>
            <w:r>
              <w:rPr>
                <w:b w:val="0"/>
                <w:sz w:val="18"/>
              </w:rPr>
              <w:t>FR-CMP-002</w:t>
            </w:r>
          </w:p>
        </w:tc>
        <w:tc>
          <w:tcPr>
            <w:tcW w:type="dxa" w:w="4997"/>
            <w:vAlign w:val="top"/>
          </w:tcPr>
          <w:p>
            <w:r/>
            <w:r>
              <w:rPr>
                <w:b w:val="0"/>
                <w:sz w:val="18"/>
              </w:rPr>
              <w:t>The result view shall show original size, output size and percentage reduction when measurable.</w:t>
            </w:r>
          </w:p>
        </w:tc>
      </w:tr>
      <w:tr>
        <w:tc>
          <w:tcPr>
            <w:tcW w:type="dxa" w:w="4997"/>
            <w:vAlign w:val="top"/>
          </w:tcPr>
          <w:p>
            <w:r/>
            <w:r>
              <w:rPr>
                <w:b w:val="0"/>
                <w:sz w:val="18"/>
              </w:rPr>
              <w:t>FR-CMP-003</w:t>
            </w:r>
          </w:p>
        </w:tc>
        <w:tc>
          <w:tcPr>
            <w:tcW w:type="dxa" w:w="4997"/>
            <w:vAlign w:val="top"/>
          </w:tcPr>
          <w:p>
            <w:r/>
            <w:r>
              <w:rPr>
                <w:b w:val="0"/>
                <w:sz w:val="18"/>
              </w:rPr>
              <w:t>The system shall use a safe default compression profile.</w:t>
            </w:r>
          </w:p>
        </w:tc>
      </w:tr>
      <w:tr>
        <w:tc>
          <w:tcPr>
            <w:tcW w:type="dxa" w:w="4997"/>
            <w:vAlign w:val="top"/>
          </w:tcPr>
          <w:p>
            <w:r/>
            <w:r>
              <w:rPr>
                <w:b w:val="0"/>
                <w:sz w:val="18"/>
              </w:rPr>
              <w:t>FR-CMP-004</w:t>
            </w:r>
          </w:p>
        </w:tc>
        <w:tc>
          <w:tcPr>
            <w:tcW w:type="dxa" w:w="4997"/>
            <w:vAlign w:val="top"/>
          </w:tcPr>
          <w:p>
            <w:r/>
            <w:r>
              <w:rPr>
                <w:b w:val="0"/>
                <w:sz w:val="18"/>
              </w:rPr>
              <w:t>If stronger compression can materially reduce visual quality, the UI shall disclose the trade-off before or alongside the option.</w:t>
            </w:r>
          </w:p>
        </w:tc>
      </w:tr>
    </w:tbl>
    <w:p/>
    <w:p>
      <w:pPr>
        <w:pStyle w:val="Heading2"/>
      </w:pPr>
      <w:r>
        <w:t>5.3 Split PDF</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ID</w:t>
            </w:r>
          </w:p>
        </w:tc>
        <w:tc>
          <w:tcPr>
            <w:tcW w:type="dxa" w:w="4997"/>
            <w:shd w:fill="E9EEF5"/>
            <w:vAlign w:val="center"/>
          </w:tcPr>
          <w:p>
            <w:r/>
            <w:r>
              <w:rPr>
                <w:b/>
                <w:sz w:val="18"/>
              </w:rPr>
              <w:t>Requirement</w:t>
            </w:r>
          </w:p>
        </w:tc>
      </w:tr>
      <w:tr>
        <w:tc>
          <w:tcPr>
            <w:tcW w:type="dxa" w:w="4997"/>
            <w:vAlign w:val="top"/>
          </w:tcPr>
          <w:p>
            <w:r/>
            <w:r>
              <w:rPr>
                <w:b w:val="0"/>
                <w:sz w:val="18"/>
              </w:rPr>
              <w:t>FR-SPL-001</w:t>
            </w:r>
          </w:p>
        </w:tc>
        <w:tc>
          <w:tcPr>
            <w:tcW w:type="dxa" w:w="4997"/>
            <w:vAlign w:val="top"/>
          </w:tcPr>
          <w:p>
            <w:r/>
            <w:r>
              <w:rPr>
                <w:b w:val="0"/>
                <w:sz w:val="18"/>
              </w:rPr>
              <w:t>The user shall be able to specify page ranges or selected pages using the supported split modes.</w:t>
            </w:r>
          </w:p>
        </w:tc>
      </w:tr>
      <w:tr>
        <w:tc>
          <w:tcPr>
            <w:tcW w:type="dxa" w:w="4997"/>
            <w:vAlign w:val="top"/>
          </w:tcPr>
          <w:p>
            <w:r/>
            <w:r>
              <w:rPr>
                <w:b w:val="0"/>
                <w:sz w:val="18"/>
              </w:rPr>
              <w:t>FR-SPL-002</w:t>
            </w:r>
          </w:p>
        </w:tc>
        <w:tc>
          <w:tcPr>
            <w:tcW w:type="dxa" w:w="4997"/>
            <w:vAlign w:val="top"/>
          </w:tcPr>
          <w:p>
            <w:r/>
            <w:r>
              <w:rPr>
                <w:b w:val="0"/>
                <w:sz w:val="18"/>
              </w:rPr>
              <w:t>The system shall validate page selections against the source document page count.</w:t>
            </w:r>
          </w:p>
        </w:tc>
      </w:tr>
      <w:tr>
        <w:tc>
          <w:tcPr>
            <w:tcW w:type="dxa" w:w="4997"/>
            <w:vAlign w:val="top"/>
          </w:tcPr>
          <w:p>
            <w:r/>
            <w:r>
              <w:rPr>
                <w:b w:val="0"/>
                <w:sz w:val="18"/>
              </w:rPr>
              <w:t>FR-SPL-003</w:t>
            </w:r>
          </w:p>
        </w:tc>
        <w:tc>
          <w:tcPr>
            <w:tcW w:type="dxa" w:w="4997"/>
            <w:vAlign w:val="top"/>
          </w:tcPr>
          <w:p>
            <w:r/>
            <w:r>
              <w:rPr>
                <w:b w:val="0"/>
                <w:sz w:val="18"/>
              </w:rPr>
              <w:t>The system shall return one or more outputs representing the requested split.</w:t>
            </w:r>
          </w:p>
        </w:tc>
      </w:tr>
      <w:tr>
        <w:tc>
          <w:tcPr>
            <w:tcW w:type="dxa" w:w="4997"/>
            <w:vAlign w:val="top"/>
          </w:tcPr>
          <w:p>
            <w:r/>
            <w:r>
              <w:rPr>
                <w:b w:val="0"/>
                <w:sz w:val="18"/>
              </w:rPr>
              <w:t>FR-SPL-004</w:t>
            </w:r>
          </w:p>
        </w:tc>
        <w:tc>
          <w:tcPr>
            <w:tcW w:type="dxa" w:w="4997"/>
            <w:vAlign w:val="top"/>
          </w:tcPr>
          <w:p>
            <w:r/>
            <w:r>
              <w:rPr>
                <w:b w:val="0"/>
                <w:sz w:val="18"/>
              </w:rPr>
              <w:t>Multiple output files shall be offered through a convenient grouped download mechanism.</w:t>
            </w:r>
          </w:p>
        </w:tc>
      </w:tr>
    </w:tbl>
    <w:p/>
    <w:p>
      <w:pPr>
        <w:pStyle w:val="Heading2"/>
      </w:pPr>
      <w:r>
        <w:t>5.4 Images to PDF</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ID</w:t>
            </w:r>
          </w:p>
        </w:tc>
        <w:tc>
          <w:tcPr>
            <w:tcW w:type="dxa" w:w="4997"/>
            <w:shd w:fill="E9EEF5"/>
            <w:vAlign w:val="center"/>
          </w:tcPr>
          <w:p>
            <w:r/>
            <w:r>
              <w:rPr>
                <w:b/>
                <w:sz w:val="18"/>
              </w:rPr>
              <w:t>Requirement</w:t>
            </w:r>
          </w:p>
        </w:tc>
      </w:tr>
      <w:tr>
        <w:tc>
          <w:tcPr>
            <w:tcW w:type="dxa" w:w="4997"/>
            <w:vAlign w:val="top"/>
          </w:tcPr>
          <w:p>
            <w:r/>
            <w:r>
              <w:rPr>
                <w:b w:val="0"/>
                <w:sz w:val="18"/>
              </w:rPr>
              <w:t>FR-I2P-001</w:t>
            </w:r>
          </w:p>
        </w:tc>
        <w:tc>
          <w:tcPr>
            <w:tcW w:type="dxa" w:w="4997"/>
            <w:vAlign w:val="top"/>
          </w:tcPr>
          <w:p>
            <w:r/>
            <w:r>
              <w:rPr>
                <w:b w:val="0"/>
                <w:sz w:val="18"/>
              </w:rPr>
              <w:t>The system shall accept supported image formats including JPEG and PNG.</w:t>
            </w:r>
          </w:p>
        </w:tc>
      </w:tr>
      <w:tr>
        <w:tc>
          <w:tcPr>
            <w:tcW w:type="dxa" w:w="4997"/>
            <w:vAlign w:val="top"/>
          </w:tcPr>
          <w:p>
            <w:r/>
            <w:r>
              <w:rPr>
                <w:b w:val="0"/>
                <w:sz w:val="18"/>
              </w:rPr>
              <w:t>FR-I2P-002</w:t>
            </w:r>
          </w:p>
        </w:tc>
        <w:tc>
          <w:tcPr>
            <w:tcW w:type="dxa" w:w="4997"/>
            <w:vAlign w:val="top"/>
          </w:tcPr>
          <w:p>
            <w:r/>
            <w:r>
              <w:rPr>
                <w:b w:val="0"/>
                <w:sz w:val="18"/>
              </w:rPr>
              <w:t>The user shall be able to reorder selected images.</w:t>
            </w:r>
          </w:p>
        </w:tc>
      </w:tr>
      <w:tr>
        <w:tc>
          <w:tcPr>
            <w:tcW w:type="dxa" w:w="4997"/>
            <w:vAlign w:val="top"/>
          </w:tcPr>
          <w:p>
            <w:r/>
            <w:r>
              <w:rPr>
                <w:b w:val="0"/>
                <w:sz w:val="18"/>
              </w:rPr>
              <w:t>FR-I2P-003</w:t>
            </w:r>
          </w:p>
        </w:tc>
        <w:tc>
          <w:tcPr>
            <w:tcW w:type="dxa" w:w="4997"/>
            <w:vAlign w:val="top"/>
          </w:tcPr>
          <w:p>
            <w:r/>
            <w:r>
              <w:rPr>
                <w:b w:val="0"/>
                <w:sz w:val="18"/>
              </w:rPr>
              <w:t>The user shall be able to select from supported page-fit/page-size options.</w:t>
            </w:r>
          </w:p>
        </w:tc>
      </w:tr>
      <w:tr>
        <w:tc>
          <w:tcPr>
            <w:tcW w:type="dxa" w:w="4997"/>
            <w:vAlign w:val="top"/>
          </w:tcPr>
          <w:p>
            <w:r/>
            <w:r>
              <w:rPr>
                <w:b w:val="0"/>
                <w:sz w:val="18"/>
              </w:rPr>
              <w:t>FR-I2P-004</w:t>
            </w:r>
          </w:p>
        </w:tc>
        <w:tc>
          <w:tcPr>
            <w:tcW w:type="dxa" w:w="4997"/>
            <w:vAlign w:val="top"/>
          </w:tcPr>
          <w:p>
            <w:r/>
            <w:r>
              <w:rPr>
                <w:b w:val="0"/>
                <w:sz w:val="18"/>
              </w:rPr>
              <w:t>The system shall generate a valid PDF containing the selected images in order.</w:t>
            </w:r>
          </w:p>
        </w:tc>
      </w:tr>
    </w:tbl>
    <w:p/>
    <w:p>
      <w:pPr>
        <w:pStyle w:val="Heading2"/>
      </w:pPr>
      <w:r>
        <w:t>5.5 PDF to JPG</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ID</w:t>
            </w:r>
          </w:p>
        </w:tc>
        <w:tc>
          <w:tcPr>
            <w:tcW w:type="dxa" w:w="4997"/>
            <w:shd w:fill="E9EEF5"/>
            <w:vAlign w:val="center"/>
          </w:tcPr>
          <w:p>
            <w:r/>
            <w:r>
              <w:rPr>
                <w:b/>
                <w:sz w:val="18"/>
              </w:rPr>
              <w:t>Requirement</w:t>
            </w:r>
          </w:p>
        </w:tc>
      </w:tr>
      <w:tr>
        <w:tc>
          <w:tcPr>
            <w:tcW w:type="dxa" w:w="4997"/>
            <w:vAlign w:val="top"/>
          </w:tcPr>
          <w:p>
            <w:r/>
            <w:r>
              <w:rPr>
                <w:b w:val="0"/>
                <w:sz w:val="18"/>
              </w:rPr>
              <w:t>FR-P2I-001</w:t>
            </w:r>
          </w:p>
        </w:tc>
        <w:tc>
          <w:tcPr>
            <w:tcW w:type="dxa" w:w="4997"/>
            <w:vAlign w:val="top"/>
          </w:tcPr>
          <w:p>
            <w:r/>
            <w:r>
              <w:rPr>
                <w:b w:val="0"/>
                <w:sz w:val="18"/>
              </w:rPr>
              <w:t>The system shall render selected or all PDF pages to image outputs.</w:t>
            </w:r>
          </w:p>
        </w:tc>
      </w:tr>
      <w:tr>
        <w:tc>
          <w:tcPr>
            <w:tcW w:type="dxa" w:w="4997"/>
            <w:vAlign w:val="top"/>
          </w:tcPr>
          <w:p>
            <w:r/>
            <w:r>
              <w:rPr>
                <w:b w:val="0"/>
                <w:sz w:val="18"/>
              </w:rPr>
              <w:t>FR-P2I-002</w:t>
            </w:r>
          </w:p>
        </w:tc>
        <w:tc>
          <w:tcPr>
            <w:tcW w:type="dxa" w:w="4997"/>
            <w:vAlign w:val="top"/>
          </w:tcPr>
          <w:p>
            <w:r/>
            <w:r>
              <w:rPr>
                <w:b w:val="0"/>
                <w:sz w:val="18"/>
              </w:rPr>
              <w:t>The system shall provide a grouped download when more than one image is generated.</w:t>
            </w:r>
          </w:p>
        </w:tc>
      </w:tr>
      <w:tr>
        <w:tc>
          <w:tcPr>
            <w:tcW w:type="dxa" w:w="4997"/>
            <w:vAlign w:val="top"/>
          </w:tcPr>
          <w:p>
            <w:r/>
            <w:r>
              <w:rPr>
                <w:b w:val="0"/>
                <w:sz w:val="18"/>
              </w:rPr>
              <w:t>FR-P2I-003</w:t>
            </w:r>
          </w:p>
        </w:tc>
        <w:tc>
          <w:tcPr>
            <w:tcW w:type="dxa" w:w="4997"/>
            <w:vAlign w:val="top"/>
          </w:tcPr>
          <w:p>
            <w:r/>
            <w:r>
              <w:rPr>
                <w:b w:val="0"/>
                <w:sz w:val="18"/>
              </w:rPr>
              <w:t>The conversion shall preserve page orientation in the rendered image.</w:t>
            </w:r>
          </w:p>
        </w:tc>
      </w:tr>
    </w:tbl>
    <w:p/>
    <w:p>
      <w:pPr>
        <w:pStyle w:val="Heading2"/>
      </w:pPr>
      <w:r>
        <w:t>5.6 PDF to Word</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ID</w:t>
            </w:r>
          </w:p>
        </w:tc>
        <w:tc>
          <w:tcPr>
            <w:tcW w:type="dxa" w:w="4997"/>
            <w:shd w:fill="E9EEF5"/>
            <w:vAlign w:val="center"/>
          </w:tcPr>
          <w:p>
            <w:r/>
            <w:r>
              <w:rPr>
                <w:b/>
                <w:sz w:val="18"/>
              </w:rPr>
              <w:t>Requirement</w:t>
            </w:r>
          </w:p>
        </w:tc>
      </w:tr>
      <w:tr>
        <w:tc>
          <w:tcPr>
            <w:tcW w:type="dxa" w:w="4997"/>
            <w:vAlign w:val="top"/>
          </w:tcPr>
          <w:p>
            <w:r/>
            <w:r>
              <w:rPr>
                <w:b w:val="0"/>
                <w:sz w:val="18"/>
              </w:rPr>
              <w:t>FR-P2W-001</w:t>
            </w:r>
          </w:p>
        </w:tc>
        <w:tc>
          <w:tcPr>
            <w:tcW w:type="dxa" w:w="4997"/>
            <w:vAlign w:val="top"/>
          </w:tcPr>
          <w:p>
            <w:r/>
            <w:r>
              <w:rPr>
                <w:b w:val="0"/>
                <w:sz w:val="18"/>
              </w:rPr>
              <w:t>The system shall accept supported PDF input and attempt DOCX conversion using the configured server conversion engine.</w:t>
            </w:r>
          </w:p>
        </w:tc>
      </w:tr>
      <w:tr>
        <w:tc>
          <w:tcPr>
            <w:tcW w:type="dxa" w:w="4997"/>
            <w:vAlign w:val="top"/>
          </w:tcPr>
          <w:p>
            <w:r/>
            <w:r>
              <w:rPr>
                <w:b w:val="0"/>
                <w:sz w:val="18"/>
              </w:rPr>
              <w:t>FR-P2W-002</w:t>
            </w:r>
          </w:p>
        </w:tc>
        <w:tc>
          <w:tcPr>
            <w:tcW w:type="dxa" w:w="4997"/>
            <w:vAlign w:val="top"/>
          </w:tcPr>
          <w:p>
            <w:r/>
            <w:r>
              <w:rPr>
                <w:b w:val="0"/>
                <w:sz w:val="18"/>
              </w:rPr>
              <w:t>The UI shall disclose that layout fidelity can vary with source PDF structure.</w:t>
            </w:r>
          </w:p>
        </w:tc>
      </w:tr>
      <w:tr>
        <w:tc>
          <w:tcPr>
            <w:tcW w:type="dxa" w:w="4997"/>
            <w:vAlign w:val="top"/>
          </w:tcPr>
          <w:p>
            <w:r/>
            <w:r>
              <w:rPr>
                <w:b w:val="0"/>
                <w:sz w:val="18"/>
              </w:rPr>
              <w:t>FR-P2W-003</w:t>
            </w:r>
          </w:p>
        </w:tc>
        <w:tc>
          <w:tcPr>
            <w:tcW w:type="dxa" w:w="4997"/>
            <w:vAlign w:val="top"/>
          </w:tcPr>
          <w:p>
            <w:r/>
            <w:r>
              <w:rPr>
                <w:b w:val="0"/>
                <w:sz w:val="18"/>
              </w:rPr>
              <w:t>The system shall provide a DOCX download after successful conversion.</w:t>
            </w:r>
          </w:p>
        </w:tc>
      </w:tr>
      <w:tr>
        <w:tc>
          <w:tcPr>
            <w:tcW w:type="dxa" w:w="4997"/>
            <w:vAlign w:val="top"/>
          </w:tcPr>
          <w:p>
            <w:r/>
            <w:r>
              <w:rPr>
                <w:b w:val="0"/>
                <w:sz w:val="18"/>
              </w:rPr>
              <w:t>FR-P2W-004</w:t>
            </w:r>
          </w:p>
        </w:tc>
        <w:tc>
          <w:tcPr>
            <w:tcW w:type="dxa" w:w="4997"/>
            <w:vAlign w:val="top"/>
          </w:tcPr>
          <w:p>
            <w:r/>
            <w:r>
              <w:rPr>
                <w:b w:val="0"/>
                <w:sz w:val="18"/>
              </w:rPr>
              <w:t>Scanned/image-only PDFs shall not be represented as fully editable text unless OCR is actually performed.</w:t>
            </w:r>
          </w:p>
        </w:tc>
      </w:tr>
    </w:tbl>
    <w:p/>
    <w:p>
      <w:pPr>
        <w:pStyle w:val="Heading2"/>
      </w:pPr>
      <w:r>
        <w:t>5.7 Word to PDF</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ID</w:t>
            </w:r>
          </w:p>
        </w:tc>
        <w:tc>
          <w:tcPr>
            <w:tcW w:type="dxa" w:w="4997"/>
            <w:shd w:fill="E9EEF5"/>
            <w:vAlign w:val="center"/>
          </w:tcPr>
          <w:p>
            <w:r/>
            <w:r>
              <w:rPr>
                <w:b/>
                <w:sz w:val="18"/>
              </w:rPr>
              <w:t>Requirement</w:t>
            </w:r>
          </w:p>
        </w:tc>
      </w:tr>
      <w:tr>
        <w:tc>
          <w:tcPr>
            <w:tcW w:type="dxa" w:w="4997"/>
            <w:vAlign w:val="top"/>
          </w:tcPr>
          <w:p>
            <w:r/>
            <w:r>
              <w:rPr>
                <w:b w:val="0"/>
                <w:sz w:val="18"/>
              </w:rPr>
              <w:t>FR-W2P-001</w:t>
            </w:r>
          </w:p>
        </w:tc>
        <w:tc>
          <w:tcPr>
            <w:tcW w:type="dxa" w:w="4997"/>
            <w:vAlign w:val="top"/>
          </w:tcPr>
          <w:p>
            <w:r/>
            <w:r>
              <w:rPr>
                <w:b w:val="0"/>
                <w:sz w:val="18"/>
              </w:rPr>
              <w:t>The system shall accept supported DOCX input.</w:t>
            </w:r>
          </w:p>
        </w:tc>
      </w:tr>
      <w:tr>
        <w:tc>
          <w:tcPr>
            <w:tcW w:type="dxa" w:w="4997"/>
            <w:vAlign w:val="top"/>
          </w:tcPr>
          <w:p>
            <w:r/>
            <w:r>
              <w:rPr>
                <w:b w:val="0"/>
                <w:sz w:val="18"/>
              </w:rPr>
              <w:t>FR-W2P-002</w:t>
            </w:r>
          </w:p>
        </w:tc>
        <w:tc>
          <w:tcPr>
            <w:tcW w:type="dxa" w:w="4997"/>
            <w:vAlign w:val="top"/>
          </w:tcPr>
          <w:p>
            <w:r/>
            <w:r>
              <w:rPr>
                <w:b w:val="0"/>
                <w:sz w:val="18"/>
              </w:rPr>
              <w:t>The system shall produce a valid PDF when conversion succeeds.</w:t>
            </w:r>
          </w:p>
        </w:tc>
      </w:tr>
      <w:tr>
        <w:tc>
          <w:tcPr>
            <w:tcW w:type="dxa" w:w="4997"/>
            <w:vAlign w:val="top"/>
          </w:tcPr>
          <w:p>
            <w:r/>
            <w:r>
              <w:rPr>
                <w:b w:val="0"/>
                <w:sz w:val="18"/>
              </w:rPr>
              <w:t>FR-W2P-003</w:t>
            </w:r>
          </w:p>
        </w:tc>
        <w:tc>
          <w:tcPr>
            <w:tcW w:type="dxa" w:w="4997"/>
            <w:vAlign w:val="top"/>
          </w:tcPr>
          <w:p>
            <w:r/>
            <w:r>
              <w:rPr>
                <w:b w:val="0"/>
                <w:sz w:val="18"/>
              </w:rPr>
              <w:t>The UI shall disclose server processing before the file is uploaded.</w:t>
            </w:r>
          </w:p>
        </w:tc>
      </w:tr>
    </w:tbl>
    <w:p/>
    <w:p>
      <w:pPr>
        <w:pStyle w:val="Heading2"/>
      </w:pPr>
      <w:r>
        <w:t>5.8 Organize / Extract / Delete / Rotate</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ID</w:t>
            </w:r>
          </w:p>
        </w:tc>
        <w:tc>
          <w:tcPr>
            <w:tcW w:type="dxa" w:w="4997"/>
            <w:shd w:fill="E9EEF5"/>
            <w:vAlign w:val="center"/>
          </w:tcPr>
          <w:p>
            <w:r/>
            <w:r>
              <w:rPr>
                <w:b/>
                <w:sz w:val="18"/>
              </w:rPr>
              <w:t>Requirement</w:t>
            </w:r>
          </w:p>
        </w:tc>
      </w:tr>
      <w:tr>
        <w:tc>
          <w:tcPr>
            <w:tcW w:type="dxa" w:w="4997"/>
            <w:vAlign w:val="top"/>
          </w:tcPr>
          <w:p>
            <w:r/>
            <w:r>
              <w:rPr>
                <w:b w:val="0"/>
                <w:sz w:val="18"/>
              </w:rPr>
              <w:t>FR-ORG-001</w:t>
            </w:r>
          </w:p>
        </w:tc>
        <w:tc>
          <w:tcPr>
            <w:tcW w:type="dxa" w:w="4997"/>
            <w:vAlign w:val="top"/>
          </w:tcPr>
          <w:p>
            <w:r/>
            <w:r>
              <w:rPr>
                <w:b w:val="0"/>
                <w:sz w:val="18"/>
              </w:rPr>
              <w:t>The system shall display page representations sufficient for page selection and ordering.</w:t>
            </w:r>
          </w:p>
        </w:tc>
      </w:tr>
      <w:tr>
        <w:tc>
          <w:tcPr>
            <w:tcW w:type="dxa" w:w="4997"/>
            <w:vAlign w:val="top"/>
          </w:tcPr>
          <w:p>
            <w:r/>
            <w:r>
              <w:rPr>
                <w:b w:val="0"/>
                <w:sz w:val="18"/>
              </w:rPr>
              <w:t>FR-ORG-002</w:t>
            </w:r>
          </w:p>
        </w:tc>
        <w:tc>
          <w:tcPr>
            <w:tcW w:type="dxa" w:w="4997"/>
            <w:vAlign w:val="top"/>
          </w:tcPr>
          <w:p>
            <w:r/>
            <w:r>
              <w:rPr>
                <w:b w:val="0"/>
                <w:sz w:val="18"/>
              </w:rPr>
              <w:t>The user shall be able to reorder pages before export.</w:t>
            </w:r>
          </w:p>
        </w:tc>
      </w:tr>
      <w:tr>
        <w:tc>
          <w:tcPr>
            <w:tcW w:type="dxa" w:w="4997"/>
            <w:vAlign w:val="top"/>
          </w:tcPr>
          <w:p>
            <w:r/>
            <w:r>
              <w:rPr>
                <w:b w:val="0"/>
                <w:sz w:val="18"/>
              </w:rPr>
              <w:t>FR-EXT-001</w:t>
            </w:r>
          </w:p>
        </w:tc>
        <w:tc>
          <w:tcPr>
            <w:tcW w:type="dxa" w:w="4997"/>
            <w:vAlign w:val="top"/>
          </w:tcPr>
          <w:p>
            <w:r/>
            <w:r>
              <w:rPr>
                <w:b w:val="0"/>
                <w:sz w:val="18"/>
              </w:rPr>
              <w:t>The user shall be able to export selected pages as a new PDF.</w:t>
            </w:r>
          </w:p>
        </w:tc>
      </w:tr>
      <w:tr>
        <w:tc>
          <w:tcPr>
            <w:tcW w:type="dxa" w:w="4997"/>
            <w:vAlign w:val="top"/>
          </w:tcPr>
          <w:p>
            <w:r/>
            <w:r>
              <w:rPr>
                <w:b w:val="0"/>
                <w:sz w:val="18"/>
              </w:rPr>
              <w:t>FR-DEL-001</w:t>
            </w:r>
          </w:p>
        </w:tc>
        <w:tc>
          <w:tcPr>
            <w:tcW w:type="dxa" w:w="4997"/>
            <w:vAlign w:val="top"/>
          </w:tcPr>
          <w:p>
            <w:r/>
            <w:r>
              <w:rPr>
                <w:b w:val="0"/>
                <w:sz w:val="18"/>
              </w:rPr>
              <w:t>The user shall be able to remove selected pages and export the remaining pages, provided at least one page remains.</w:t>
            </w:r>
          </w:p>
        </w:tc>
      </w:tr>
      <w:tr>
        <w:tc>
          <w:tcPr>
            <w:tcW w:type="dxa" w:w="4997"/>
            <w:vAlign w:val="top"/>
          </w:tcPr>
          <w:p>
            <w:r/>
            <w:r>
              <w:rPr>
                <w:b w:val="0"/>
                <w:sz w:val="18"/>
              </w:rPr>
              <w:t>FR-ROT-001</w:t>
            </w:r>
          </w:p>
        </w:tc>
        <w:tc>
          <w:tcPr>
            <w:tcW w:type="dxa" w:w="4997"/>
            <w:vAlign w:val="top"/>
          </w:tcPr>
          <w:p>
            <w:r/>
            <w:r>
              <w:rPr>
                <w:b w:val="0"/>
                <w:sz w:val="18"/>
              </w:rPr>
              <w:t>The user shall be able to rotate selected or all pages in supported increments.</w:t>
            </w:r>
          </w:p>
        </w:tc>
      </w:tr>
      <w:tr>
        <w:tc>
          <w:tcPr>
            <w:tcW w:type="dxa" w:w="4997"/>
            <w:vAlign w:val="top"/>
          </w:tcPr>
          <w:p>
            <w:r/>
            <w:r>
              <w:rPr>
                <w:b w:val="0"/>
                <w:sz w:val="18"/>
              </w:rPr>
              <w:t>FR-ROT-002</w:t>
            </w:r>
          </w:p>
        </w:tc>
        <w:tc>
          <w:tcPr>
            <w:tcW w:type="dxa" w:w="4997"/>
            <w:vAlign w:val="top"/>
          </w:tcPr>
          <w:p>
            <w:r/>
            <w:r>
              <w:rPr>
                <w:b w:val="0"/>
                <w:sz w:val="18"/>
              </w:rPr>
              <w:t>The exported PDF shall preserve the requested page rotations.</w:t>
            </w:r>
          </w:p>
        </w:tc>
      </w:tr>
    </w:tbl>
    <w:p/>
    <w:p>
      <w:pPr>
        <w:pStyle w:val="Heading2"/>
      </w:pPr>
      <w:r>
        <w:t>5.9 Remove Metadata</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ID</w:t>
            </w:r>
          </w:p>
        </w:tc>
        <w:tc>
          <w:tcPr>
            <w:tcW w:type="dxa" w:w="4997"/>
            <w:shd w:fill="E9EEF5"/>
            <w:vAlign w:val="center"/>
          </w:tcPr>
          <w:p>
            <w:r/>
            <w:r>
              <w:rPr>
                <w:b/>
                <w:sz w:val="18"/>
              </w:rPr>
              <w:t>Requirement</w:t>
            </w:r>
          </w:p>
        </w:tc>
      </w:tr>
      <w:tr>
        <w:tc>
          <w:tcPr>
            <w:tcW w:type="dxa" w:w="4997"/>
            <w:vAlign w:val="top"/>
          </w:tcPr>
          <w:p>
            <w:r/>
            <w:r>
              <w:rPr>
                <w:b w:val="0"/>
                <w:sz w:val="18"/>
              </w:rPr>
              <w:t>FR-META-001</w:t>
            </w:r>
          </w:p>
        </w:tc>
        <w:tc>
          <w:tcPr>
            <w:tcW w:type="dxa" w:w="4997"/>
            <w:vAlign w:val="top"/>
          </w:tcPr>
          <w:p>
            <w:r/>
            <w:r>
              <w:rPr>
                <w:b w:val="0"/>
                <w:sz w:val="18"/>
              </w:rPr>
              <w:t>The system shall remove supported document metadata fields from the generated output.</w:t>
            </w:r>
          </w:p>
        </w:tc>
      </w:tr>
      <w:tr>
        <w:tc>
          <w:tcPr>
            <w:tcW w:type="dxa" w:w="4997"/>
            <w:vAlign w:val="top"/>
          </w:tcPr>
          <w:p>
            <w:r/>
            <w:r>
              <w:rPr>
                <w:b w:val="0"/>
                <w:sz w:val="18"/>
              </w:rPr>
              <w:t>FR-META-002</w:t>
            </w:r>
          </w:p>
        </w:tc>
        <w:tc>
          <w:tcPr>
            <w:tcW w:type="dxa" w:w="4997"/>
            <w:vAlign w:val="top"/>
          </w:tcPr>
          <w:p>
            <w:r/>
            <w:r>
              <w:rPr>
                <w:b w:val="0"/>
                <w:sz w:val="18"/>
              </w:rPr>
              <w:t>The UI shall explain that metadata removal does not guarantee removal of sensitive content visibly or structurally embedded in page content.</w:t>
            </w:r>
          </w:p>
        </w:tc>
      </w:tr>
      <w:tr>
        <w:tc>
          <w:tcPr>
            <w:tcW w:type="dxa" w:w="4997"/>
            <w:vAlign w:val="top"/>
          </w:tcPr>
          <w:p>
            <w:r/>
            <w:r>
              <w:rPr>
                <w:b w:val="0"/>
                <w:sz w:val="18"/>
              </w:rPr>
              <w:t>FR-META-003</w:t>
            </w:r>
          </w:p>
        </w:tc>
        <w:tc>
          <w:tcPr>
            <w:tcW w:type="dxa" w:w="4997"/>
            <w:vAlign w:val="top"/>
          </w:tcPr>
          <w:p>
            <w:r/>
            <w:r>
              <w:rPr>
                <w:b w:val="0"/>
                <w:sz w:val="18"/>
              </w:rPr>
              <w:t>The result shall be a new downloadable PDF rather than silently overwriting the source file.</w:t>
            </w:r>
          </w:p>
        </w:tc>
      </w:tr>
    </w:tbl>
    <w:p/>
    <w:p>
      <w:pPr>
        <w:pStyle w:val="Heading2"/>
      </w:pPr>
      <w:r>
        <w:t>5.10 PDF to Text</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ID</w:t>
            </w:r>
          </w:p>
        </w:tc>
        <w:tc>
          <w:tcPr>
            <w:tcW w:type="dxa" w:w="4997"/>
            <w:shd w:fill="E9EEF5"/>
            <w:vAlign w:val="center"/>
          </w:tcPr>
          <w:p>
            <w:r/>
            <w:r>
              <w:rPr>
                <w:b/>
                <w:sz w:val="18"/>
              </w:rPr>
              <w:t>Requirement</w:t>
            </w:r>
          </w:p>
        </w:tc>
      </w:tr>
      <w:tr>
        <w:tc>
          <w:tcPr>
            <w:tcW w:type="dxa" w:w="4997"/>
            <w:vAlign w:val="top"/>
          </w:tcPr>
          <w:p>
            <w:r/>
            <w:r>
              <w:rPr>
                <w:b w:val="0"/>
                <w:sz w:val="18"/>
              </w:rPr>
              <w:t>FR-TXT-001</w:t>
            </w:r>
          </w:p>
        </w:tc>
        <w:tc>
          <w:tcPr>
            <w:tcW w:type="dxa" w:w="4997"/>
            <w:vAlign w:val="top"/>
          </w:tcPr>
          <w:p>
            <w:r/>
            <w:r>
              <w:rPr>
                <w:b w:val="0"/>
                <w:sz w:val="18"/>
              </w:rPr>
              <w:t>The system shall extract available text from text-based PDF pages.</w:t>
            </w:r>
          </w:p>
        </w:tc>
      </w:tr>
      <w:tr>
        <w:tc>
          <w:tcPr>
            <w:tcW w:type="dxa" w:w="4997"/>
            <w:vAlign w:val="top"/>
          </w:tcPr>
          <w:p>
            <w:r/>
            <w:r>
              <w:rPr>
                <w:b w:val="0"/>
                <w:sz w:val="18"/>
              </w:rPr>
              <w:t>FR-TXT-002</w:t>
            </w:r>
          </w:p>
        </w:tc>
        <w:tc>
          <w:tcPr>
            <w:tcW w:type="dxa" w:w="4997"/>
            <w:vAlign w:val="top"/>
          </w:tcPr>
          <w:p>
            <w:r/>
            <w:r>
              <w:rPr>
                <w:b w:val="0"/>
                <w:sz w:val="18"/>
              </w:rPr>
              <w:t>The system shall preserve a sensible page/read order where the source permits.</w:t>
            </w:r>
          </w:p>
        </w:tc>
      </w:tr>
      <w:tr>
        <w:tc>
          <w:tcPr>
            <w:tcW w:type="dxa" w:w="4997"/>
            <w:vAlign w:val="top"/>
          </w:tcPr>
          <w:p>
            <w:r/>
            <w:r>
              <w:rPr>
                <w:b w:val="0"/>
                <w:sz w:val="18"/>
              </w:rPr>
              <w:t>FR-TXT-003</w:t>
            </w:r>
          </w:p>
        </w:tc>
        <w:tc>
          <w:tcPr>
            <w:tcW w:type="dxa" w:w="4997"/>
            <w:vAlign w:val="top"/>
          </w:tcPr>
          <w:p>
            <w:r/>
            <w:r>
              <w:rPr>
                <w:b w:val="0"/>
                <w:sz w:val="18"/>
              </w:rPr>
              <w:t>When no meaningful text layer is detected, the system shall explain that OCR may be required.</w:t>
            </w:r>
          </w:p>
        </w:tc>
      </w:tr>
      <w:tr>
        <w:tc>
          <w:tcPr>
            <w:tcW w:type="dxa" w:w="4997"/>
            <w:vAlign w:val="top"/>
          </w:tcPr>
          <w:p>
            <w:r/>
            <w:r>
              <w:rPr>
                <w:b w:val="0"/>
                <w:sz w:val="18"/>
              </w:rPr>
              <w:t>FR-TXT-004</w:t>
            </w:r>
          </w:p>
        </w:tc>
        <w:tc>
          <w:tcPr>
            <w:tcW w:type="dxa" w:w="4997"/>
            <w:vAlign w:val="top"/>
          </w:tcPr>
          <w:p>
            <w:r/>
            <w:r>
              <w:rPr>
                <w:b w:val="0"/>
                <w:sz w:val="18"/>
              </w:rPr>
              <w:t>The user shall be able to download or copy the extracted text using supported output controls.</w:t>
            </w:r>
          </w:p>
        </w:tc>
      </w:tr>
    </w:tbl>
    <w:p/>
    <w:p>
      <w:pPr>
        <w:pStyle w:val="Heading1"/>
      </w:pPr>
      <w:r>
        <w:t>6. Privacy and Data Lifecycle Requirements</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ID</w:t>
            </w:r>
          </w:p>
        </w:tc>
        <w:tc>
          <w:tcPr>
            <w:tcW w:type="dxa" w:w="4997"/>
            <w:shd w:fill="E9EEF5"/>
            <w:vAlign w:val="center"/>
          </w:tcPr>
          <w:p>
            <w:r/>
            <w:r>
              <w:rPr>
                <w:b/>
                <w:sz w:val="18"/>
              </w:rPr>
              <w:t>Requirement</w:t>
            </w:r>
          </w:p>
        </w:tc>
      </w:tr>
      <w:tr>
        <w:tc>
          <w:tcPr>
            <w:tcW w:type="dxa" w:w="4997"/>
            <w:vAlign w:val="top"/>
          </w:tcPr>
          <w:p>
            <w:r/>
            <w:r>
              <w:rPr>
                <w:b w:val="0"/>
                <w:sz w:val="18"/>
              </w:rPr>
              <w:t>FR-PRV-001</w:t>
            </w:r>
          </w:p>
        </w:tc>
        <w:tc>
          <w:tcPr>
            <w:tcW w:type="dxa" w:w="4997"/>
            <w:vAlign w:val="top"/>
          </w:tcPr>
          <w:p>
            <w:r/>
            <w:r>
              <w:rPr>
                <w:b w:val="0"/>
                <w:sz w:val="18"/>
              </w:rPr>
              <w:t>For operations designated local, document bytes shall not be transmitted to the application processing backend.</w:t>
            </w:r>
          </w:p>
        </w:tc>
      </w:tr>
      <w:tr>
        <w:tc>
          <w:tcPr>
            <w:tcW w:type="dxa" w:w="4997"/>
            <w:vAlign w:val="top"/>
          </w:tcPr>
          <w:p>
            <w:r/>
            <w:r>
              <w:rPr>
                <w:b w:val="0"/>
                <w:sz w:val="18"/>
              </w:rPr>
              <w:t>FR-PRV-002</w:t>
            </w:r>
          </w:p>
        </w:tc>
        <w:tc>
          <w:tcPr>
            <w:tcW w:type="dxa" w:w="4997"/>
            <w:vAlign w:val="top"/>
          </w:tcPr>
          <w:p>
            <w:r/>
            <w:r>
              <w:rPr>
                <w:b w:val="0"/>
                <w:sz w:val="18"/>
              </w:rPr>
              <w:t>The UI shall disclose server upload before initiating a server-required operation.</w:t>
            </w:r>
          </w:p>
        </w:tc>
      </w:tr>
      <w:tr>
        <w:tc>
          <w:tcPr>
            <w:tcW w:type="dxa" w:w="4997"/>
            <w:vAlign w:val="top"/>
          </w:tcPr>
          <w:p>
            <w:r/>
            <w:r>
              <w:rPr>
                <w:b w:val="0"/>
                <w:sz w:val="18"/>
              </w:rPr>
              <w:t>FR-PRV-003</w:t>
            </w:r>
          </w:p>
        </w:tc>
        <w:tc>
          <w:tcPr>
            <w:tcW w:type="dxa" w:w="4997"/>
            <w:vAlign w:val="top"/>
          </w:tcPr>
          <w:p>
            <w:r/>
            <w:r>
              <w:rPr>
                <w:b w:val="0"/>
                <w:sz w:val="18"/>
              </w:rPr>
              <w:t>Server-side temporary document objects shall have an automatic deletion mechanism independent of normal successful application flow.</w:t>
            </w:r>
          </w:p>
        </w:tc>
      </w:tr>
      <w:tr>
        <w:tc>
          <w:tcPr>
            <w:tcW w:type="dxa" w:w="4997"/>
            <w:vAlign w:val="top"/>
          </w:tcPr>
          <w:p>
            <w:r/>
            <w:r>
              <w:rPr>
                <w:b w:val="0"/>
                <w:sz w:val="18"/>
              </w:rPr>
              <w:t>FR-PRV-004</w:t>
            </w:r>
          </w:p>
        </w:tc>
        <w:tc>
          <w:tcPr>
            <w:tcW w:type="dxa" w:w="4997"/>
            <w:vAlign w:val="top"/>
          </w:tcPr>
          <w:p>
            <w:r/>
            <w:r>
              <w:rPr>
                <w:b w:val="0"/>
                <w:sz w:val="18"/>
              </w:rPr>
              <w:t>The system shall attempt immediate cleanup of temporary input/output files after job completion or terminal failure when safe to do so.</w:t>
            </w:r>
          </w:p>
        </w:tc>
      </w:tr>
      <w:tr>
        <w:tc>
          <w:tcPr>
            <w:tcW w:type="dxa" w:w="4997"/>
            <w:vAlign w:val="top"/>
          </w:tcPr>
          <w:p>
            <w:r/>
            <w:r>
              <w:rPr>
                <w:b w:val="0"/>
                <w:sz w:val="18"/>
              </w:rPr>
              <w:t>FR-PRV-005</w:t>
            </w:r>
          </w:p>
        </w:tc>
        <w:tc>
          <w:tcPr>
            <w:tcW w:type="dxa" w:w="4997"/>
            <w:vAlign w:val="top"/>
          </w:tcPr>
          <w:p>
            <w:r/>
            <w:r>
              <w:rPr>
                <w:b w:val="0"/>
                <w:sz w:val="18"/>
              </w:rPr>
              <w:t>Application logs shall not record document contents or extracted text by default.</w:t>
            </w:r>
          </w:p>
        </w:tc>
      </w:tr>
      <w:tr>
        <w:tc>
          <w:tcPr>
            <w:tcW w:type="dxa" w:w="4997"/>
            <w:vAlign w:val="top"/>
          </w:tcPr>
          <w:p>
            <w:r/>
            <w:r>
              <w:rPr>
                <w:b w:val="0"/>
                <w:sz w:val="18"/>
              </w:rPr>
              <w:t>FR-PRV-006</w:t>
            </w:r>
          </w:p>
        </w:tc>
        <w:tc>
          <w:tcPr>
            <w:tcW w:type="dxa" w:w="4997"/>
            <w:vAlign w:val="top"/>
          </w:tcPr>
          <w:p>
            <w:r/>
            <w:r>
              <w:rPr>
                <w:b w:val="0"/>
                <w:sz w:val="18"/>
              </w:rPr>
              <w:t>Analytics events shall not contain document contents and shall avoid raw sensitive filenames.</w:t>
            </w:r>
          </w:p>
        </w:tc>
      </w:tr>
      <w:tr>
        <w:tc>
          <w:tcPr>
            <w:tcW w:type="dxa" w:w="4997"/>
            <w:vAlign w:val="top"/>
          </w:tcPr>
          <w:p>
            <w:r/>
            <w:r>
              <w:rPr>
                <w:b w:val="0"/>
                <w:sz w:val="18"/>
              </w:rPr>
              <w:t>FR-PRV-007</w:t>
            </w:r>
          </w:p>
        </w:tc>
        <w:tc>
          <w:tcPr>
            <w:tcW w:type="dxa" w:w="4997"/>
            <w:vAlign w:val="top"/>
          </w:tcPr>
          <w:p>
            <w:r/>
            <w:r>
              <w:rPr>
                <w:b w:val="0"/>
                <w:sz w:val="18"/>
              </w:rPr>
              <w:t>Temporary download URLs shall be time-limited or otherwise access-controlled.</w:t>
            </w:r>
          </w:p>
        </w:tc>
      </w:tr>
      <w:tr>
        <w:tc>
          <w:tcPr>
            <w:tcW w:type="dxa" w:w="4997"/>
            <w:vAlign w:val="top"/>
          </w:tcPr>
          <w:p>
            <w:r/>
            <w:r>
              <w:rPr>
                <w:b w:val="0"/>
                <w:sz w:val="18"/>
              </w:rPr>
              <w:t>FR-PRV-008</w:t>
            </w:r>
          </w:p>
        </w:tc>
        <w:tc>
          <w:tcPr>
            <w:tcW w:type="dxa" w:w="4997"/>
            <w:vAlign w:val="top"/>
          </w:tcPr>
          <w:p>
            <w:r/>
            <w:r>
              <w:rPr>
                <w:b w:val="0"/>
                <w:sz w:val="18"/>
              </w:rPr>
              <w:t>The final retention duration shall be documented consistently in UI/privacy documentation and infrastructure configuration.</w:t>
            </w:r>
          </w:p>
        </w:tc>
      </w:tr>
    </w:tbl>
    <w:p/>
    <w:p>
      <w:pPr>
        <w:pStyle w:val="Heading1"/>
      </w:pPr>
      <w:r>
        <w:t>7. Security Requirements</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ID</w:t>
            </w:r>
          </w:p>
        </w:tc>
        <w:tc>
          <w:tcPr>
            <w:tcW w:type="dxa" w:w="4997"/>
            <w:shd w:fill="E9EEF5"/>
            <w:vAlign w:val="center"/>
          </w:tcPr>
          <w:p>
            <w:r/>
            <w:r>
              <w:rPr>
                <w:b/>
                <w:sz w:val="18"/>
              </w:rPr>
              <w:t>Requirement</w:t>
            </w:r>
          </w:p>
        </w:tc>
      </w:tr>
      <w:tr>
        <w:tc>
          <w:tcPr>
            <w:tcW w:type="dxa" w:w="4997"/>
            <w:vAlign w:val="top"/>
          </w:tcPr>
          <w:p>
            <w:r/>
            <w:r>
              <w:rPr>
                <w:b w:val="0"/>
                <w:sz w:val="18"/>
              </w:rPr>
              <w:t>NFR-SEC-001</w:t>
            </w:r>
          </w:p>
        </w:tc>
        <w:tc>
          <w:tcPr>
            <w:tcW w:type="dxa" w:w="4997"/>
            <w:vAlign w:val="top"/>
          </w:tcPr>
          <w:p>
            <w:r/>
            <w:r>
              <w:rPr>
                <w:b w:val="0"/>
                <w:sz w:val="18"/>
              </w:rPr>
              <w:t>All production client-server traffic shall use HTTPS.</w:t>
            </w:r>
          </w:p>
        </w:tc>
      </w:tr>
      <w:tr>
        <w:tc>
          <w:tcPr>
            <w:tcW w:type="dxa" w:w="4997"/>
            <w:vAlign w:val="top"/>
          </w:tcPr>
          <w:p>
            <w:r/>
            <w:r>
              <w:rPr>
                <w:b w:val="0"/>
                <w:sz w:val="18"/>
              </w:rPr>
              <w:t>NFR-SEC-002</w:t>
            </w:r>
          </w:p>
        </w:tc>
        <w:tc>
          <w:tcPr>
            <w:tcW w:type="dxa" w:w="4997"/>
            <w:vAlign w:val="top"/>
          </w:tcPr>
          <w:p>
            <w:r/>
            <w:r>
              <w:rPr>
                <w:b w:val="0"/>
                <w:sz w:val="18"/>
              </w:rPr>
              <w:t>Server-side document inputs shall be treated as untrusted and validated before invoking processing engines.</w:t>
            </w:r>
          </w:p>
        </w:tc>
      </w:tr>
      <w:tr>
        <w:tc>
          <w:tcPr>
            <w:tcW w:type="dxa" w:w="4997"/>
            <w:vAlign w:val="top"/>
          </w:tcPr>
          <w:p>
            <w:r/>
            <w:r>
              <w:rPr>
                <w:b w:val="0"/>
                <w:sz w:val="18"/>
              </w:rPr>
              <w:t>NFR-SEC-003</w:t>
            </w:r>
          </w:p>
        </w:tc>
        <w:tc>
          <w:tcPr>
            <w:tcW w:type="dxa" w:w="4997"/>
            <w:vAlign w:val="top"/>
          </w:tcPr>
          <w:p>
            <w:r/>
            <w:r>
              <w:rPr>
                <w:b w:val="0"/>
                <w:sz w:val="18"/>
              </w:rPr>
              <w:t>Heavy document processing shall execute with resource limits that constrain CPU, memory, execution time and output growth.</w:t>
            </w:r>
          </w:p>
        </w:tc>
      </w:tr>
      <w:tr>
        <w:tc>
          <w:tcPr>
            <w:tcW w:type="dxa" w:w="4997"/>
            <w:vAlign w:val="top"/>
          </w:tcPr>
          <w:p>
            <w:r/>
            <w:r>
              <w:rPr>
                <w:b w:val="0"/>
                <w:sz w:val="18"/>
              </w:rPr>
              <w:t>NFR-SEC-004</w:t>
            </w:r>
          </w:p>
        </w:tc>
        <w:tc>
          <w:tcPr>
            <w:tcW w:type="dxa" w:w="4997"/>
            <w:vAlign w:val="top"/>
          </w:tcPr>
          <w:p>
            <w:r/>
            <w:r>
              <w:rPr>
                <w:b w:val="0"/>
                <w:sz w:val="18"/>
              </w:rPr>
              <w:t>Processing workers shall run with least privilege and without unnecessary access to application secrets or unrelated user files.</w:t>
            </w:r>
          </w:p>
        </w:tc>
      </w:tr>
      <w:tr>
        <w:tc>
          <w:tcPr>
            <w:tcW w:type="dxa" w:w="4997"/>
            <w:vAlign w:val="top"/>
          </w:tcPr>
          <w:p>
            <w:r/>
            <w:r>
              <w:rPr>
                <w:b w:val="0"/>
                <w:sz w:val="18"/>
              </w:rPr>
              <w:t>NFR-SEC-005</w:t>
            </w:r>
          </w:p>
        </w:tc>
        <w:tc>
          <w:tcPr>
            <w:tcW w:type="dxa" w:w="4997"/>
            <w:vAlign w:val="top"/>
          </w:tcPr>
          <w:p>
            <w:r/>
            <w:r>
              <w:rPr>
                <w:b w:val="0"/>
                <w:sz w:val="18"/>
              </w:rPr>
              <w:t>User-supplied filenames shall not be used directly as trusted filesystem paths or object keys.</w:t>
            </w:r>
          </w:p>
        </w:tc>
      </w:tr>
      <w:tr>
        <w:tc>
          <w:tcPr>
            <w:tcW w:type="dxa" w:w="4997"/>
            <w:vAlign w:val="top"/>
          </w:tcPr>
          <w:p>
            <w:r/>
            <w:r>
              <w:rPr>
                <w:b w:val="0"/>
                <w:sz w:val="18"/>
              </w:rPr>
              <w:t>NFR-SEC-006</w:t>
            </w:r>
          </w:p>
        </w:tc>
        <w:tc>
          <w:tcPr>
            <w:tcW w:type="dxa" w:w="4997"/>
            <w:vAlign w:val="top"/>
          </w:tcPr>
          <w:p>
            <w:r/>
            <w:r>
              <w:rPr>
                <w:b w:val="0"/>
                <w:sz w:val="18"/>
              </w:rPr>
              <w:t>Temporary objects shall use non-guessable identifiers and access controls appropriate to the storage mechanism.</w:t>
            </w:r>
          </w:p>
        </w:tc>
      </w:tr>
      <w:tr>
        <w:tc>
          <w:tcPr>
            <w:tcW w:type="dxa" w:w="4997"/>
            <w:vAlign w:val="top"/>
          </w:tcPr>
          <w:p>
            <w:r/>
            <w:r>
              <w:rPr>
                <w:b w:val="0"/>
                <w:sz w:val="18"/>
              </w:rPr>
              <w:t>NFR-SEC-007</w:t>
            </w:r>
          </w:p>
        </w:tc>
        <w:tc>
          <w:tcPr>
            <w:tcW w:type="dxa" w:w="4997"/>
            <w:vAlign w:val="top"/>
          </w:tcPr>
          <w:p>
            <w:r/>
            <w:r>
              <w:rPr>
                <w:b w:val="0"/>
                <w:sz w:val="18"/>
              </w:rPr>
              <w:t>Secrets shall not be committed to source control and shall be injected through environment/secret management.</w:t>
            </w:r>
          </w:p>
        </w:tc>
      </w:tr>
      <w:tr>
        <w:tc>
          <w:tcPr>
            <w:tcW w:type="dxa" w:w="4997"/>
            <w:vAlign w:val="top"/>
          </w:tcPr>
          <w:p>
            <w:r/>
            <w:r>
              <w:rPr>
                <w:b w:val="0"/>
                <w:sz w:val="18"/>
              </w:rPr>
              <w:t>NFR-SEC-008</w:t>
            </w:r>
          </w:p>
        </w:tc>
        <w:tc>
          <w:tcPr>
            <w:tcW w:type="dxa" w:w="4997"/>
            <w:vAlign w:val="top"/>
          </w:tcPr>
          <w:p>
            <w:r/>
            <w:r>
              <w:rPr>
                <w:b w:val="0"/>
                <w:sz w:val="18"/>
              </w:rPr>
              <w:t>The system shall implement request/job rate controls appropriate to abuse and cost risk before public launch.</w:t>
            </w:r>
          </w:p>
        </w:tc>
      </w:tr>
      <w:tr>
        <w:tc>
          <w:tcPr>
            <w:tcW w:type="dxa" w:w="4997"/>
            <w:vAlign w:val="top"/>
          </w:tcPr>
          <w:p>
            <w:r/>
            <w:r>
              <w:rPr>
                <w:b w:val="0"/>
                <w:sz w:val="18"/>
              </w:rPr>
              <w:t>NFR-SEC-009</w:t>
            </w:r>
          </w:p>
        </w:tc>
        <w:tc>
          <w:tcPr>
            <w:tcW w:type="dxa" w:w="4997"/>
            <w:vAlign w:val="top"/>
          </w:tcPr>
          <w:p>
            <w:r/>
            <w:r>
              <w:rPr>
                <w:b w:val="0"/>
                <w:sz w:val="18"/>
              </w:rPr>
              <w:t>Dependencies and container images shall be checked for known vulnerabilities as part of the delivery process.</w:t>
            </w:r>
          </w:p>
        </w:tc>
      </w:tr>
      <w:tr>
        <w:tc>
          <w:tcPr>
            <w:tcW w:type="dxa" w:w="4997"/>
            <w:vAlign w:val="top"/>
          </w:tcPr>
          <w:p>
            <w:r/>
            <w:r>
              <w:rPr>
                <w:b w:val="0"/>
                <w:sz w:val="18"/>
              </w:rPr>
              <w:t>NFR-SEC-010</w:t>
            </w:r>
          </w:p>
        </w:tc>
        <w:tc>
          <w:tcPr>
            <w:tcW w:type="dxa" w:w="4997"/>
            <w:vAlign w:val="top"/>
          </w:tcPr>
          <w:p>
            <w:r/>
            <w:r>
              <w:rPr>
                <w:b w:val="0"/>
                <w:sz w:val="18"/>
              </w:rPr>
              <w:t>The application shall not render untrusted document-derived HTML as executable page content without sanitization.</w:t>
            </w:r>
          </w:p>
        </w:tc>
      </w:tr>
    </w:tbl>
    <w:p/>
    <w:p>
      <w:pPr>
        <w:pStyle w:val="Heading1"/>
      </w:pPr>
      <w:r>
        <w:t>8. Performance and Scalability Requirements</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ID</w:t>
            </w:r>
          </w:p>
        </w:tc>
        <w:tc>
          <w:tcPr>
            <w:tcW w:type="dxa" w:w="4997"/>
            <w:shd w:fill="E9EEF5"/>
            <w:vAlign w:val="center"/>
          </w:tcPr>
          <w:p>
            <w:r/>
            <w:r>
              <w:rPr>
                <w:b/>
                <w:sz w:val="18"/>
              </w:rPr>
              <w:t>Requirement</w:t>
            </w:r>
          </w:p>
        </w:tc>
      </w:tr>
      <w:tr>
        <w:tc>
          <w:tcPr>
            <w:tcW w:type="dxa" w:w="4997"/>
            <w:vAlign w:val="top"/>
          </w:tcPr>
          <w:p>
            <w:r/>
            <w:r>
              <w:rPr>
                <w:b w:val="0"/>
                <w:sz w:val="18"/>
              </w:rPr>
              <w:t>NFR-PERF-001</w:t>
            </w:r>
          </w:p>
        </w:tc>
        <w:tc>
          <w:tcPr>
            <w:tcW w:type="dxa" w:w="4997"/>
            <w:vAlign w:val="top"/>
          </w:tcPr>
          <w:p>
            <w:r/>
            <w:r>
              <w:rPr>
                <w:b w:val="0"/>
                <w:sz w:val="18"/>
              </w:rPr>
              <w:t>Tool landing pages shall be engineered to meet current Core Web Vitals targets on representative mobile and desktop conditions.</w:t>
            </w:r>
          </w:p>
        </w:tc>
      </w:tr>
      <w:tr>
        <w:tc>
          <w:tcPr>
            <w:tcW w:type="dxa" w:w="4997"/>
            <w:vAlign w:val="top"/>
          </w:tcPr>
          <w:p>
            <w:r/>
            <w:r>
              <w:rPr>
                <w:b w:val="0"/>
                <w:sz w:val="18"/>
              </w:rPr>
              <w:t>NFR-PERF-002</w:t>
            </w:r>
          </w:p>
        </w:tc>
        <w:tc>
          <w:tcPr>
            <w:tcW w:type="dxa" w:w="4997"/>
            <w:vAlign w:val="top"/>
          </w:tcPr>
          <w:p>
            <w:r/>
            <w:r>
              <w:rPr>
                <w:b w:val="0"/>
                <w:sz w:val="18"/>
              </w:rPr>
              <w:t>Local operations shall begin processing without a server round trip after required assets are available.</w:t>
            </w:r>
          </w:p>
        </w:tc>
      </w:tr>
      <w:tr>
        <w:tc>
          <w:tcPr>
            <w:tcW w:type="dxa" w:w="4997"/>
            <w:vAlign w:val="top"/>
          </w:tcPr>
          <w:p>
            <w:r/>
            <w:r>
              <w:rPr>
                <w:b w:val="0"/>
                <w:sz w:val="18"/>
              </w:rPr>
              <w:t>NFR-PERF-003</w:t>
            </w:r>
          </w:p>
        </w:tc>
        <w:tc>
          <w:tcPr>
            <w:tcW w:type="dxa" w:w="4997"/>
            <w:vAlign w:val="top"/>
          </w:tcPr>
          <w:p>
            <w:r/>
            <w:r>
              <w:rPr>
                <w:b w:val="0"/>
                <w:sz w:val="18"/>
              </w:rPr>
              <w:t>Large processing libraries/WASM modules shall be loaded lazily when practical so unrelated tool pages do not pay their full cost.</w:t>
            </w:r>
          </w:p>
        </w:tc>
      </w:tr>
      <w:tr>
        <w:tc>
          <w:tcPr>
            <w:tcW w:type="dxa" w:w="4997"/>
            <w:vAlign w:val="top"/>
          </w:tcPr>
          <w:p>
            <w:r/>
            <w:r>
              <w:rPr>
                <w:b w:val="0"/>
                <w:sz w:val="18"/>
              </w:rPr>
              <w:t>NFR-PERF-004</w:t>
            </w:r>
          </w:p>
        </w:tc>
        <w:tc>
          <w:tcPr>
            <w:tcW w:type="dxa" w:w="4997"/>
            <w:vAlign w:val="top"/>
          </w:tcPr>
          <w:p>
            <w:r/>
            <w:r>
              <w:rPr>
                <w:b w:val="0"/>
                <w:sz w:val="18"/>
              </w:rPr>
              <w:t>Server jobs shall enforce configurable timeouts and shall fail cleanly rather than consume unbounded resources.</w:t>
            </w:r>
          </w:p>
        </w:tc>
      </w:tr>
      <w:tr>
        <w:tc>
          <w:tcPr>
            <w:tcW w:type="dxa" w:w="4997"/>
            <w:vAlign w:val="top"/>
          </w:tcPr>
          <w:p>
            <w:r/>
            <w:r>
              <w:rPr>
                <w:b w:val="0"/>
                <w:sz w:val="18"/>
              </w:rPr>
              <w:t>NFR-PERF-005</w:t>
            </w:r>
          </w:p>
        </w:tc>
        <w:tc>
          <w:tcPr>
            <w:tcW w:type="dxa" w:w="4997"/>
            <w:vAlign w:val="top"/>
          </w:tcPr>
          <w:p>
            <w:r/>
            <w:r>
              <w:rPr>
                <w:b w:val="0"/>
                <w:sz w:val="18"/>
              </w:rPr>
              <w:t>The architecture shall allow processing workers to scale independently from the web frontend.</w:t>
            </w:r>
          </w:p>
        </w:tc>
      </w:tr>
      <w:tr>
        <w:tc>
          <w:tcPr>
            <w:tcW w:type="dxa" w:w="4997"/>
            <w:vAlign w:val="top"/>
          </w:tcPr>
          <w:p>
            <w:r/>
            <w:r>
              <w:rPr>
                <w:b w:val="0"/>
                <w:sz w:val="18"/>
              </w:rPr>
              <w:t>NFR-PERF-006</w:t>
            </w:r>
          </w:p>
        </w:tc>
        <w:tc>
          <w:tcPr>
            <w:tcW w:type="dxa" w:w="4997"/>
            <w:vAlign w:val="top"/>
          </w:tcPr>
          <w:p>
            <w:r/>
            <w:r>
              <w:rPr>
                <w:b w:val="0"/>
                <w:sz w:val="18"/>
              </w:rPr>
              <w:t>Static/tool/guide content shall be cacheable through a CDN where safe.</w:t>
            </w:r>
          </w:p>
        </w:tc>
      </w:tr>
      <w:tr>
        <w:tc>
          <w:tcPr>
            <w:tcW w:type="dxa" w:w="4997"/>
            <w:vAlign w:val="top"/>
          </w:tcPr>
          <w:p>
            <w:r/>
            <w:r>
              <w:rPr>
                <w:b w:val="0"/>
                <w:sz w:val="18"/>
              </w:rPr>
              <w:t>NFR-PERF-007</w:t>
            </w:r>
          </w:p>
        </w:tc>
        <w:tc>
          <w:tcPr>
            <w:tcW w:type="dxa" w:w="4997"/>
            <w:vAlign w:val="top"/>
          </w:tcPr>
          <w:p>
            <w:r/>
            <w:r>
              <w:rPr>
                <w:b w:val="0"/>
                <w:sz w:val="18"/>
              </w:rPr>
              <w:t>Numeric file/page limits and latency targets shall be finalized after benchmark testing on the chosen engines and lowest-cost deployment class.</w:t>
            </w:r>
          </w:p>
        </w:tc>
      </w:tr>
    </w:tbl>
    <w:p/>
    <w:p>
      <w:pPr>
        <w:pStyle w:val="Heading1"/>
      </w:pPr>
      <w:r>
        <w:t>9. Reliability and Error Handling Requirements</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ID</w:t>
            </w:r>
          </w:p>
        </w:tc>
        <w:tc>
          <w:tcPr>
            <w:tcW w:type="dxa" w:w="4997"/>
            <w:shd w:fill="E9EEF5"/>
            <w:vAlign w:val="center"/>
          </w:tcPr>
          <w:p>
            <w:r/>
            <w:r>
              <w:rPr>
                <w:b/>
                <w:sz w:val="18"/>
              </w:rPr>
              <w:t>Requirement</w:t>
            </w:r>
          </w:p>
        </w:tc>
      </w:tr>
      <w:tr>
        <w:tc>
          <w:tcPr>
            <w:tcW w:type="dxa" w:w="4997"/>
            <w:vAlign w:val="top"/>
          </w:tcPr>
          <w:p>
            <w:r/>
            <w:r>
              <w:rPr>
                <w:b w:val="0"/>
                <w:sz w:val="18"/>
              </w:rPr>
              <w:t>NFR-REL-001</w:t>
            </w:r>
          </w:p>
        </w:tc>
        <w:tc>
          <w:tcPr>
            <w:tcW w:type="dxa" w:w="4997"/>
            <w:vAlign w:val="top"/>
          </w:tcPr>
          <w:p>
            <w:r/>
            <w:r>
              <w:rPr>
                <w:b w:val="0"/>
                <w:sz w:val="18"/>
              </w:rPr>
              <w:t>A failed document job shall not cause the entire web application to become unavailable.</w:t>
            </w:r>
          </w:p>
        </w:tc>
      </w:tr>
      <w:tr>
        <w:tc>
          <w:tcPr>
            <w:tcW w:type="dxa" w:w="4997"/>
            <w:vAlign w:val="top"/>
          </w:tcPr>
          <w:p>
            <w:r/>
            <w:r>
              <w:rPr>
                <w:b w:val="0"/>
                <w:sz w:val="18"/>
              </w:rPr>
              <w:t>NFR-REL-002</w:t>
            </w:r>
          </w:p>
        </w:tc>
        <w:tc>
          <w:tcPr>
            <w:tcW w:type="dxa" w:w="4997"/>
            <w:vAlign w:val="top"/>
          </w:tcPr>
          <w:p>
            <w:r/>
            <w:r>
              <w:rPr>
                <w:b w:val="0"/>
                <w:sz w:val="18"/>
              </w:rPr>
              <w:t>Processing failures shall map to stable error categories for monitoring and user messaging.</w:t>
            </w:r>
          </w:p>
        </w:tc>
      </w:tr>
      <w:tr>
        <w:tc>
          <w:tcPr>
            <w:tcW w:type="dxa" w:w="4997"/>
            <w:vAlign w:val="top"/>
          </w:tcPr>
          <w:p>
            <w:r/>
            <w:r>
              <w:rPr>
                <w:b w:val="0"/>
                <w:sz w:val="18"/>
              </w:rPr>
              <w:t>NFR-REL-003</w:t>
            </w:r>
          </w:p>
        </w:tc>
        <w:tc>
          <w:tcPr>
            <w:tcW w:type="dxa" w:w="4997"/>
            <w:vAlign w:val="top"/>
          </w:tcPr>
          <w:p>
            <w:r/>
            <w:r>
              <w:rPr>
                <w:b w:val="0"/>
                <w:sz w:val="18"/>
              </w:rPr>
              <w:t>Temporary artifacts from failed jobs shall be eligible for automatic cleanup.</w:t>
            </w:r>
          </w:p>
        </w:tc>
      </w:tr>
      <w:tr>
        <w:tc>
          <w:tcPr>
            <w:tcW w:type="dxa" w:w="4997"/>
            <w:vAlign w:val="top"/>
          </w:tcPr>
          <w:p>
            <w:r/>
            <w:r>
              <w:rPr>
                <w:b w:val="0"/>
                <w:sz w:val="18"/>
              </w:rPr>
              <w:t>NFR-REL-004</w:t>
            </w:r>
          </w:p>
        </w:tc>
        <w:tc>
          <w:tcPr>
            <w:tcW w:type="dxa" w:w="4997"/>
            <w:vAlign w:val="top"/>
          </w:tcPr>
          <w:p>
            <w:r/>
            <w:r>
              <w:rPr>
                <w:b w:val="0"/>
                <w:sz w:val="18"/>
              </w:rPr>
              <w:t>The production deployment shall support rollback to a known-good application version.</w:t>
            </w:r>
          </w:p>
        </w:tc>
      </w:tr>
      <w:tr>
        <w:tc>
          <w:tcPr>
            <w:tcW w:type="dxa" w:w="4997"/>
            <w:vAlign w:val="top"/>
          </w:tcPr>
          <w:p>
            <w:r/>
            <w:r>
              <w:rPr>
                <w:b w:val="0"/>
                <w:sz w:val="18"/>
              </w:rPr>
              <w:t>NFR-REL-005</w:t>
            </w:r>
          </w:p>
        </w:tc>
        <w:tc>
          <w:tcPr>
            <w:tcW w:type="dxa" w:w="4997"/>
            <w:vAlign w:val="top"/>
          </w:tcPr>
          <w:p>
            <w:r/>
            <w:r>
              <w:rPr>
                <w:b w:val="0"/>
                <w:sz w:val="18"/>
              </w:rPr>
              <w:t>Critical service health and error-rate signals shall be observable before launch.</w:t>
            </w:r>
          </w:p>
        </w:tc>
      </w:tr>
    </w:tbl>
    <w:p/>
    <w:p>
      <w:pPr>
        <w:pStyle w:val="Heading1"/>
      </w:pPr>
      <w:r>
        <w:t>10. Accessibility and UX Requirements</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ID</w:t>
            </w:r>
          </w:p>
        </w:tc>
        <w:tc>
          <w:tcPr>
            <w:tcW w:type="dxa" w:w="4997"/>
            <w:shd w:fill="E9EEF5"/>
            <w:vAlign w:val="center"/>
          </w:tcPr>
          <w:p>
            <w:r/>
            <w:r>
              <w:rPr>
                <w:b/>
                <w:sz w:val="18"/>
              </w:rPr>
              <w:t>Requirement</w:t>
            </w:r>
          </w:p>
        </w:tc>
      </w:tr>
      <w:tr>
        <w:tc>
          <w:tcPr>
            <w:tcW w:type="dxa" w:w="4997"/>
            <w:vAlign w:val="top"/>
          </w:tcPr>
          <w:p>
            <w:r/>
            <w:r>
              <w:rPr>
                <w:b w:val="0"/>
                <w:sz w:val="18"/>
              </w:rPr>
              <w:t>NFR-A11Y-001</w:t>
            </w:r>
          </w:p>
        </w:tc>
        <w:tc>
          <w:tcPr>
            <w:tcW w:type="dxa" w:w="4997"/>
            <w:vAlign w:val="top"/>
          </w:tcPr>
          <w:p>
            <w:r/>
            <w:r>
              <w:rPr>
                <w:b w:val="0"/>
                <w:sz w:val="18"/>
              </w:rPr>
              <w:t>Core workflows shall be operable by keyboard without requiring drag-and-drop as the only interaction method.</w:t>
            </w:r>
          </w:p>
        </w:tc>
      </w:tr>
      <w:tr>
        <w:tc>
          <w:tcPr>
            <w:tcW w:type="dxa" w:w="4997"/>
            <w:vAlign w:val="top"/>
          </w:tcPr>
          <w:p>
            <w:r/>
            <w:r>
              <w:rPr>
                <w:b w:val="0"/>
                <w:sz w:val="18"/>
              </w:rPr>
              <w:t>NFR-A11Y-002</w:t>
            </w:r>
          </w:p>
        </w:tc>
        <w:tc>
          <w:tcPr>
            <w:tcW w:type="dxa" w:w="4997"/>
            <w:vAlign w:val="top"/>
          </w:tcPr>
          <w:p>
            <w:r/>
            <w:r>
              <w:rPr>
                <w:b w:val="0"/>
                <w:sz w:val="18"/>
              </w:rPr>
              <w:t>Interactive controls shall have programmatic labels and visible focus states.</w:t>
            </w:r>
          </w:p>
        </w:tc>
      </w:tr>
      <w:tr>
        <w:tc>
          <w:tcPr>
            <w:tcW w:type="dxa" w:w="4997"/>
            <w:vAlign w:val="top"/>
          </w:tcPr>
          <w:p>
            <w:r/>
            <w:r>
              <w:rPr>
                <w:b w:val="0"/>
                <w:sz w:val="18"/>
              </w:rPr>
              <w:t>NFR-A11Y-003</w:t>
            </w:r>
          </w:p>
        </w:tc>
        <w:tc>
          <w:tcPr>
            <w:tcW w:type="dxa" w:w="4997"/>
            <w:vAlign w:val="top"/>
          </w:tcPr>
          <w:p>
            <w:r/>
            <w:r>
              <w:rPr>
                <w:b w:val="0"/>
                <w:sz w:val="18"/>
              </w:rPr>
              <w:t>Color shall not be the sole means of conveying processing status or errors.</w:t>
            </w:r>
          </w:p>
        </w:tc>
      </w:tr>
      <w:tr>
        <w:tc>
          <w:tcPr>
            <w:tcW w:type="dxa" w:w="4997"/>
            <w:vAlign w:val="top"/>
          </w:tcPr>
          <w:p>
            <w:r/>
            <w:r>
              <w:rPr>
                <w:b w:val="0"/>
                <w:sz w:val="18"/>
              </w:rPr>
              <w:t>NFR-A11Y-004</w:t>
            </w:r>
          </w:p>
        </w:tc>
        <w:tc>
          <w:tcPr>
            <w:tcW w:type="dxa" w:w="4997"/>
            <w:vAlign w:val="top"/>
          </w:tcPr>
          <w:p>
            <w:r/>
            <w:r>
              <w:rPr>
                <w:b w:val="0"/>
                <w:sz w:val="18"/>
              </w:rPr>
              <w:t>Error messages shall identify the problem and, when possible, the corrective action.</w:t>
            </w:r>
          </w:p>
        </w:tc>
      </w:tr>
      <w:tr>
        <w:tc>
          <w:tcPr>
            <w:tcW w:type="dxa" w:w="4997"/>
            <w:vAlign w:val="top"/>
          </w:tcPr>
          <w:p>
            <w:r/>
            <w:r>
              <w:rPr>
                <w:b w:val="0"/>
                <w:sz w:val="18"/>
              </w:rPr>
              <w:t>NFR-A11Y-005</w:t>
            </w:r>
          </w:p>
        </w:tc>
        <w:tc>
          <w:tcPr>
            <w:tcW w:type="dxa" w:w="4997"/>
            <w:vAlign w:val="top"/>
          </w:tcPr>
          <w:p>
            <w:r/>
            <w:r>
              <w:rPr>
                <w:b w:val="0"/>
                <w:sz w:val="18"/>
              </w:rPr>
              <w:t>The interface shall support responsive layouts suitable for common mobile viewport sizes.</w:t>
            </w:r>
          </w:p>
        </w:tc>
      </w:tr>
      <w:tr>
        <w:tc>
          <w:tcPr>
            <w:tcW w:type="dxa" w:w="4997"/>
            <w:vAlign w:val="top"/>
          </w:tcPr>
          <w:p>
            <w:r/>
            <w:r>
              <w:rPr>
                <w:b w:val="0"/>
                <w:sz w:val="18"/>
              </w:rPr>
              <w:t>NFR-A11Y-006</w:t>
            </w:r>
          </w:p>
        </w:tc>
        <w:tc>
          <w:tcPr>
            <w:tcW w:type="dxa" w:w="4997"/>
            <w:vAlign w:val="top"/>
          </w:tcPr>
          <w:p>
            <w:r/>
            <w:r>
              <w:rPr>
                <w:b w:val="0"/>
                <w:sz w:val="18"/>
              </w:rPr>
              <w:t>Accessibility acceptance shall target WCAG 2.2 AA for the core user journeys.</w:t>
            </w:r>
          </w:p>
        </w:tc>
      </w:tr>
    </w:tbl>
    <w:p/>
    <w:p>
      <w:pPr>
        <w:pStyle w:val="Heading1"/>
      </w:pPr>
      <w:r>
        <w:t>11. SEO and Content Requirements</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ID</w:t>
            </w:r>
          </w:p>
        </w:tc>
        <w:tc>
          <w:tcPr>
            <w:tcW w:type="dxa" w:w="4997"/>
            <w:shd w:fill="E9EEF5"/>
            <w:vAlign w:val="center"/>
          </w:tcPr>
          <w:p>
            <w:r/>
            <w:r>
              <w:rPr>
                <w:b/>
                <w:sz w:val="18"/>
              </w:rPr>
              <w:t>Requirement</w:t>
            </w:r>
          </w:p>
        </w:tc>
      </w:tr>
      <w:tr>
        <w:tc>
          <w:tcPr>
            <w:tcW w:type="dxa" w:w="4997"/>
            <w:vAlign w:val="top"/>
          </w:tcPr>
          <w:p>
            <w:r/>
            <w:r>
              <w:rPr>
                <w:b w:val="0"/>
                <w:sz w:val="18"/>
              </w:rPr>
              <w:t>NFR-SEO-001</w:t>
            </w:r>
          </w:p>
        </w:tc>
        <w:tc>
          <w:tcPr>
            <w:tcW w:type="dxa" w:w="4997"/>
            <w:vAlign w:val="top"/>
          </w:tcPr>
          <w:p>
            <w:r/>
            <w:r>
              <w:rPr>
                <w:b w:val="0"/>
                <w:sz w:val="18"/>
              </w:rPr>
              <w:t>Each primary tool shall have a stable canonical URL.</w:t>
            </w:r>
          </w:p>
        </w:tc>
      </w:tr>
      <w:tr>
        <w:tc>
          <w:tcPr>
            <w:tcW w:type="dxa" w:w="4997"/>
            <w:vAlign w:val="top"/>
          </w:tcPr>
          <w:p>
            <w:r/>
            <w:r>
              <w:rPr>
                <w:b w:val="0"/>
                <w:sz w:val="18"/>
              </w:rPr>
              <w:t>NFR-SEO-002</w:t>
            </w:r>
          </w:p>
        </w:tc>
        <w:tc>
          <w:tcPr>
            <w:tcW w:type="dxa" w:w="4997"/>
            <w:vAlign w:val="top"/>
          </w:tcPr>
          <w:p>
            <w:r/>
            <w:r>
              <w:rPr>
                <w:b w:val="0"/>
                <w:sz w:val="18"/>
              </w:rPr>
              <w:t>Primary tool pages shall render indexable titles, descriptions, headings and meaningful content without requiring client-side processing to reveal all descriptive text.</w:t>
            </w:r>
          </w:p>
        </w:tc>
      </w:tr>
      <w:tr>
        <w:tc>
          <w:tcPr>
            <w:tcW w:type="dxa" w:w="4997"/>
            <w:vAlign w:val="top"/>
          </w:tcPr>
          <w:p>
            <w:r/>
            <w:r>
              <w:rPr>
                <w:b w:val="0"/>
                <w:sz w:val="18"/>
              </w:rPr>
              <w:t>NFR-SEO-003</w:t>
            </w:r>
          </w:p>
        </w:tc>
        <w:tc>
          <w:tcPr>
            <w:tcW w:type="dxa" w:w="4997"/>
            <w:vAlign w:val="top"/>
          </w:tcPr>
          <w:p>
            <w:r/>
            <w:r>
              <w:rPr>
                <w:b w:val="0"/>
                <w:sz w:val="18"/>
              </w:rPr>
              <w:t>The site shall provide XML sitemap generation and a controlled robots.txt.</w:t>
            </w:r>
          </w:p>
        </w:tc>
      </w:tr>
      <w:tr>
        <w:tc>
          <w:tcPr>
            <w:tcW w:type="dxa" w:w="4997"/>
            <w:vAlign w:val="top"/>
          </w:tcPr>
          <w:p>
            <w:r/>
            <w:r>
              <w:rPr>
                <w:b w:val="0"/>
                <w:sz w:val="18"/>
              </w:rPr>
              <w:t>NFR-SEO-004</w:t>
            </w:r>
          </w:p>
        </w:tc>
        <w:tc>
          <w:tcPr>
            <w:tcW w:type="dxa" w:w="4997"/>
            <w:vAlign w:val="top"/>
          </w:tcPr>
          <w:p>
            <w:r/>
            <w:r>
              <w:rPr>
                <w:b w:val="0"/>
                <w:sz w:val="18"/>
              </w:rPr>
              <w:t>Duplicate/parameterized states shall not create uncontrolled indexable duplicates.</w:t>
            </w:r>
          </w:p>
        </w:tc>
      </w:tr>
      <w:tr>
        <w:tc>
          <w:tcPr>
            <w:tcW w:type="dxa" w:w="4997"/>
            <w:vAlign w:val="top"/>
          </w:tcPr>
          <w:p>
            <w:r/>
            <w:r>
              <w:rPr>
                <w:b w:val="0"/>
                <w:sz w:val="18"/>
              </w:rPr>
              <w:t>NFR-SEO-005</w:t>
            </w:r>
          </w:p>
        </w:tc>
        <w:tc>
          <w:tcPr>
            <w:tcW w:type="dxa" w:w="4997"/>
            <w:vAlign w:val="top"/>
          </w:tcPr>
          <w:p>
            <w:r/>
            <w:r>
              <w:rPr>
                <w:b w:val="0"/>
                <w:sz w:val="18"/>
              </w:rPr>
              <w:t>Tool pages shall contain actual working functionality and shall not be created solely to target keyword variants.</w:t>
            </w:r>
          </w:p>
        </w:tc>
      </w:tr>
      <w:tr>
        <w:tc>
          <w:tcPr>
            <w:tcW w:type="dxa" w:w="4997"/>
            <w:vAlign w:val="top"/>
          </w:tcPr>
          <w:p>
            <w:r/>
            <w:r>
              <w:rPr>
                <w:b w:val="0"/>
                <w:sz w:val="18"/>
              </w:rPr>
              <w:t>NFR-SEO-006</w:t>
            </w:r>
          </w:p>
        </w:tc>
        <w:tc>
          <w:tcPr>
            <w:tcW w:type="dxa" w:w="4997"/>
            <w:vAlign w:val="top"/>
          </w:tcPr>
          <w:p>
            <w:r/>
            <w:r>
              <w:rPr>
                <w:b w:val="0"/>
                <w:sz w:val="18"/>
              </w:rPr>
              <w:t>Guide content shall be original, useful and linked to relevant tools where contextually appropriate.</w:t>
            </w:r>
          </w:p>
        </w:tc>
      </w:tr>
    </w:tbl>
    <w:p/>
    <w:p>
      <w:pPr>
        <w:pStyle w:val="Heading1"/>
      </w:pPr>
      <w:r>
        <w:t>12. Advertising Requirements</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ID</w:t>
            </w:r>
          </w:p>
        </w:tc>
        <w:tc>
          <w:tcPr>
            <w:tcW w:type="dxa" w:w="4997"/>
            <w:shd w:fill="E9EEF5"/>
            <w:vAlign w:val="center"/>
          </w:tcPr>
          <w:p>
            <w:r/>
            <w:r>
              <w:rPr>
                <w:b/>
                <w:sz w:val="18"/>
              </w:rPr>
              <w:t>Requirement</w:t>
            </w:r>
          </w:p>
        </w:tc>
      </w:tr>
      <w:tr>
        <w:tc>
          <w:tcPr>
            <w:tcW w:type="dxa" w:w="4997"/>
            <w:vAlign w:val="top"/>
          </w:tcPr>
          <w:p>
            <w:r/>
            <w:r>
              <w:rPr>
                <w:b w:val="0"/>
                <w:sz w:val="18"/>
              </w:rPr>
              <w:t>NFR-ADS-001</w:t>
            </w:r>
          </w:p>
        </w:tc>
        <w:tc>
          <w:tcPr>
            <w:tcW w:type="dxa" w:w="4997"/>
            <w:vAlign w:val="top"/>
          </w:tcPr>
          <w:p>
            <w:r/>
            <w:r>
              <w:rPr>
                <w:b w:val="0"/>
                <w:sz w:val="18"/>
              </w:rPr>
              <w:t>Ad components shall be logically separable from tool controls and processing components.</w:t>
            </w:r>
          </w:p>
        </w:tc>
      </w:tr>
      <w:tr>
        <w:tc>
          <w:tcPr>
            <w:tcW w:type="dxa" w:w="4997"/>
            <w:vAlign w:val="top"/>
          </w:tcPr>
          <w:p>
            <w:r/>
            <w:r>
              <w:rPr>
                <w:b w:val="0"/>
                <w:sz w:val="18"/>
              </w:rPr>
              <w:t>NFR-ADS-002</w:t>
            </w:r>
          </w:p>
        </w:tc>
        <w:tc>
          <w:tcPr>
            <w:tcW w:type="dxa" w:w="4997"/>
            <w:vAlign w:val="top"/>
          </w:tcPr>
          <w:p>
            <w:r/>
            <w:r>
              <w:rPr>
                <w:b w:val="0"/>
                <w:sz w:val="18"/>
              </w:rPr>
              <w:t>Ads shall not be styled or positioned so they can reasonably be mistaken for download, upload, navigation or primary action controls.</w:t>
            </w:r>
          </w:p>
        </w:tc>
      </w:tr>
      <w:tr>
        <w:tc>
          <w:tcPr>
            <w:tcW w:type="dxa" w:w="4997"/>
            <w:vAlign w:val="top"/>
          </w:tcPr>
          <w:p>
            <w:r/>
            <w:r>
              <w:rPr>
                <w:b w:val="0"/>
                <w:sz w:val="18"/>
              </w:rPr>
              <w:t>NFR-ADS-003</w:t>
            </w:r>
          </w:p>
        </w:tc>
        <w:tc>
          <w:tcPr>
            <w:tcW w:type="dxa" w:w="4997"/>
            <w:vAlign w:val="top"/>
          </w:tcPr>
          <w:p>
            <w:r/>
            <w:r>
              <w:rPr>
                <w:b w:val="0"/>
                <w:sz w:val="18"/>
              </w:rPr>
              <w:t>Ads shall not overlay or materially obstruct the interactive processing workflow.</w:t>
            </w:r>
          </w:p>
        </w:tc>
      </w:tr>
      <w:tr>
        <w:tc>
          <w:tcPr>
            <w:tcW w:type="dxa" w:w="4997"/>
            <w:vAlign w:val="top"/>
          </w:tcPr>
          <w:p>
            <w:r/>
            <w:r>
              <w:rPr>
                <w:b w:val="0"/>
                <w:sz w:val="18"/>
              </w:rPr>
              <w:t>NFR-ADS-004</w:t>
            </w:r>
          </w:p>
        </w:tc>
        <w:tc>
          <w:tcPr>
            <w:tcW w:type="dxa" w:w="4997"/>
            <w:vAlign w:val="top"/>
          </w:tcPr>
          <w:p>
            <w:r/>
            <w:r>
              <w:rPr>
                <w:b w:val="0"/>
                <w:sz w:val="18"/>
              </w:rPr>
              <w:t>The application shall remain functional when advertising is disabled or unavailable.</w:t>
            </w:r>
          </w:p>
        </w:tc>
      </w:tr>
      <w:tr>
        <w:tc>
          <w:tcPr>
            <w:tcW w:type="dxa" w:w="4997"/>
            <w:vAlign w:val="top"/>
          </w:tcPr>
          <w:p>
            <w:r/>
            <w:r>
              <w:rPr>
                <w:b w:val="0"/>
                <w:sz w:val="18"/>
              </w:rPr>
              <w:t>NFR-ADS-005</w:t>
            </w:r>
          </w:p>
        </w:tc>
        <w:tc>
          <w:tcPr>
            <w:tcW w:type="dxa" w:w="4997"/>
            <w:vAlign w:val="top"/>
          </w:tcPr>
          <w:p>
            <w:r/>
            <w:r>
              <w:rPr>
                <w:b w:val="0"/>
                <w:sz w:val="18"/>
              </w:rPr>
              <w:t>No application behavior shall encourage users to click or view ads to complete a document operation.</w:t>
            </w:r>
          </w:p>
        </w:tc>
      </w:tr>
    </w:tbl>
    <w:p/>
    <w:p>
      <w:pPr>
        <w:pStyle w:val="Heading1"/>
      </w:pPr>
      <w:r>
        <w:t>13. Observability and Analytics Requirements</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ID</w:t>
            </w:r>
          </w:p>
        </w:tc>
        <w:tc>
          <w:tcPr>
            <w:tcW w:type="dxa" w:w="4997"/>
            <w:shd w:fill="E9EEF5"/>
            <w:vAlign w:val="center"/>
          </w:tcPr>
          <w:p>
            <w:r/>
            <w:r>
              <w:rPr>
                <w:b/>
                <w:sz w:val="18"/>
              </w:rPr>
              <w:t>Requirement</w:t>
            </w:r>
          </w:p>
        </w:tc>
      </w:tr>
      <w:tr>
        <w:tc>
          <w:tcPr>
            <w:tcW w:type="dxa" w:w="4997"/>
            <w:vAlign w:val="top"/>
          </w:tcPr>
          <w:p>
            <w:r/>
            <w:r>
              <w:rPr>
                <w:b w:val="0"/>
                <w:sz w:val="18"/>
              </w:rPr>
              <w:t>NFR-OBS-001</w:t>
            </w:r>
          </w:p>
        </w:tc>
        <w:tc>
          <w:tcPr>
            <w:tcW w:type="dxa" w:w="4997"/>
            <w:vAlign w:val="top"/>
          </w:tcPr>
          <w:p>
            <w:r/>
            <w:r>
              <w:rPr>
                <w:b w:val="0"/>
                <w:sz w:val="18"/>
              </w:rPr>
              <w:t>The system shall record aggregate counts of tool views, processing starts, completions, failures and downloads.</w:t>
            </w:r>
          </w:p>
        </w:tc>
      </w:tr>
      <w:tr>
        <w:tc>
          <w:tcPr>
            <w:tcW w:type="dxa" w:w="4997"/>
            <w:vAlign w:val="top"/>
          </w:tcPr>
          <w:p>
            <w:r/>
            <w:r>
              <w:rPr>
                <w:b w:val="0"/>
                <w:sz w:val="18"/>
              </w:rPr>
              <w:t>NFR-OBS-002</w:t>
            </w:r>
          </w:p>
        </w:tc>
        <w:tc>
          <w:tcPr>
            <w:tcW w:type="dxa" w:w="4997"/>
            <w:vAlign w:val="top"/>
          </w:tcPr>
          <w:p>
            <w:r/>
            <w:r>
              <w:rPr>
                <w:b w:val="0"/>
                <w:sz w:val="18"/>
              </w:rPr>
              <w:t>Processing telemetry shall include safe operational metadata such as duration, error category and coarse size/page buckets where useful.</w:t>
            </w:r>
          </w:p>
        </w:tc>
      </w:tr>
      <w:tr>
        <w:tc>
          <w:tcPr>
            <w:tcW w:type="dxa" w:w="4997"/>
            <w:vAlign w:val="top"/>
          </w:tcPr>
          <w:p>
            <w:r/>
            <w:r>
              <w:rPr>
                <w:b w:val="0"/>
                <w:sz w:val="18"/>
              </w:rPr>
              <w:t>NFR-OBS-003</w:t>
            </w:r>
          </w:p>
        </w:tc>
        <w:tc>
          <w:tcPr>
            <w:tcW w:type="dxa" w:w="4997"/>
            <w:vAlign w:val="top"/>
          </w:tcPr>
          <w:p>
            <w:r/>
            <w:r>
              <w:rPr>
                <w:b w:val="0"/>
                <w:sz w:val="18"/>
              </w:rPr>
              <w:t>Server errors shall include a correlation/job identifier that does not expose document content.</w:t>
            </w:r>
          </w:p>
        </w:tc>
      </w:tr>
      <w:tr>
        <w:tc>
          <w:tcPr>
            <w:tcW w:type="dxa" w:w="4997"/>
            <w:vAlign w:val="top"/>
          </w:tcPr>
          <w:p>
            <w:r/>
            <w:r>
              <w:rPr>
                <w:b w:val="0"/>
                <w:sz w:val="18"/>
              </w:rPr>
              <w:t>NFR-OBS-004</w:t>
            </w:r>
          </w:p>
        </w:tc>
        <w:tc>
          <w:tcPr>
            <w:tcW w:type="dxa" w:w="4997"/>
            <w:vAlign w:val="top"/>
          </w:tcPr>
          <w:p>
            <w:r/>
            <w:r>
              <w:rPr>
                <w:b w:val="0"/>
                <w:sz w:val="18"/>
              </w:rPr>
              <w:t>Monitoring shall distinguish web application failures from processing-worker failures.</w:t>
            </w:r>
          </w:p>
        </w:tc>
      </w:tr>
      <w:tr>
        <w:tc>
          <w:tcPr>
            <w:tcW w:type="dxa" w:w="4997"/>
            <w:vAlign w:val="top"/>
          </w:tcPr>
          <w:p>
            <w:r/>
            <w:r>
              <w:rPr>
                <w:b w:val="0"/>
                <w:sz w:val="18"/>
              </w:rPr>
              <w:t>NFR-OBS-005</w:t>
            </w:r>
          </w:p>
        </w:tc>
        <w:tc>
          <w:tcPr>
            <w:tcW w:type="dxa" w:w="4997"/>
            <w:vAlign w:val="top"/>
          </w:tcPr>
          <w:p>
            <w:r/>
            <w:r>
              <w:rPr>
                <w:b w:val="0"/>
                <w:sz w:val="18"/>
              </w:rPr>
              <w:t>Analytics and logs shall be reviewed for privacy leakage before production launch.</w:t>
            </w:r>
          </w:p>
        </w:tc>
      </w:tr>
    </w:tbl>
    <w:p/>
    <w:p>
      <w:pPr>
        <w:pStyle w:val="Heading1"/>
      </w:pPr>
      <w:r>
        <w:t>14. Cost and Deployment Constraints</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ID</w:t>
            </w:r>
          </w:p>
        </w:tc>
        <w:tc>
          <w:tcPr>
            <w:tcW w:type="dxa" w:w="4997"/>
            <w:shd w:fill="E9EEF5"/>
            <w:vAlign w:val="center"/>
          </w:tcPr>
          <w:p>
            <w:r/>
            <w:r>
              <w:rPr>
                <w:b/>
                <w:sz w:val="18"/>
              </w:rPr>
              <w:t>Requirement</w:t>
            </w:r>
          </w:p>
        </w:tc>
      </w:tr>
      <w:tr>
        <w:tc>
          <w:tcPr>
            <w:tcW w:type="dxa" w:w="4997"/>
            <w:vAlign w:val="top"/>
          </w:tcPr>
          <w:p>
            <w:r/>
            <w:r>
              <w:rPr>
                <w:b w:val="0"/>
                <w:sz w:val="18"/>
              </w:rPr>
              <w:t>CON-COST-001</w:t>
            </w:r>
          </w:p>
        </w:tc>
        <w:tc>
          <w:tcPr>
            <w:tcW w:type="dxa" w:w="4997"/>
            <w:vAlign w:val="top"/>
          </w:tcPr>
          <w:p>
            <w:r/>
            <w:r>
              <w:rPr>
                <w:b w:val="0"/>
                <w:sz w:val="18"/>
              </w:rPr>
              <w:t>The MVP shall prefer client-side execution for technically suitable operations to minimize recurring compute and upload costs.</w:t>
            </w:r>
          </w:p>
        </w:tc>
      </w:tr>
      <w:tr>
        <w:tc>
          <w:tcPr>
            <w:tcW w:type="dxa" w:w="4997"/>
            <w:vAlign w:val="top"/>
          </w:tcPr>
          <w:p>
            <w:r/>
            <w:r>
              <w:rPr>
                <w:b w:val="0"/>
                <w:sz w:val="18"/>
              </w:rPr>
              <w:t>CON-COST-002</w:t>
            </w:r>
          </w:p>
        </w:tc>
        <w:tc>
          <w:tcPr>
            <w:tcW w:type="dxa" w:w="4997"/>
            <w:vAlign w:val="top"/>
          </w:tcPr>
          <w:p>
            <w:r/>
            <w:r>
              <w:rPr>
                <w:b w:val="0"/>
                <w:sz w:val="18"/>
              </w:rPr>
              <w:t>Always-on infrastructure shall not be introduced without a demonstrated requirement.</w:t>
            </w:r>
          </w:p>
        </w:tc>
      </w:tr>
      <w:tr>
        <w:tc>
          <w:tcPr>
            <w:tcW w:type="dxa" w:w="4997"/>
            <w:vAlign w:val="top"/>
          </w:tcPr>
          <w:p>
            <w:r/>
            <w:r>
              <w:rPr>
                <w:b w:val="0"/>
                <w:sz w:val="18"/>
              </w:rPr>
              <w:t>CON-COST-003</w:t>
            </w:r>
          </w:p>
        </w:tc>
        <w:tc>
          <w:tcPr>
            <w:tcW w:type="dxa" w:w="4997"/>
            <w:vAlign w:val="top"/>
          </w:tcPr>
          <w:p>
            <w:r/>
            <w:r>
              <w:rPr>
                <w:b w:val="0"/>
                <w:sz w:val="18"/>
              </w:rPr>
              <w:t>Server-side expensive operations shall support configurable limits so usage cannot create uncontrolled cost.</w:t>
            </w:r>
          </w:p>
        </w:tc>
      </w:tr>
      <w:tr>
        <w:tc>
          <w:tcPr>
            <w:tcW w:type="dxa" w:w="4997"/>
            <w:vAlign w:val="top"/>
          </w:tcPr>
          <w:p>
            <w:r/>
            <w:r>
              <w:rPr>
                <w:b w:val="0"/>
                <w:sz w:val="18"/>
              </w:rPr>
              <w:t>CON-COST-004</w:t>
            </w:r>
          </w:p>
        </w:tc>
        <w:tc>
          <w:tcPr>
            <w:tcW w:type="dxa" w:w="4997"/>
            <w:vAlign w:val="top"/>
          </w:tcPr>
          <w:p>
            <w:r/>
            <w:r>
              <w:rPr>
                <w:b w:val="0"/>
                <w:sz w:val="18"/>
              </w:rPr>
              <w:t>Deployment choices shall preserve a migration path from low-cost/free tiers to scalable paid infrastructure without rewriting the product.</w:t>
            </w:r>
          </w:p>
        </w:tc>
      </w:tr>
      <w:tr>
        <w:tc>
          <w:tcPr>
            <w:tcW w:type="dxa" w:w="4997"/>
            <w:vAlign w:val="top"/>
          </w:tcPr>
          <w:p>
            <w:r/>
            <w:r>
              <w:rPr>
                <w:b w:val="0"/>
                <w:sz w:val="18"/>
              </w:rPr>
              <w:t>CON-COST-005</w:t>
            </w:r>
          </w:p>
        </w:tc>
        <w:tc>
          <w:tcPr>
            <w:tcW w:type="dxa" w:w="4997"/>
            <w:vAlign w:val="top"/>
          </w:tcPr>
          <w:p>
            <w:r/>
            <w:r>
              <w:rPr>
                <w:b w:val="0"/>
                <w:sz w:val="18"/>
              </w:rPr>
              <w:t>Infrastructure cost per 1,000 server-processed operations shall be measured after launch/benchmarking and used in pricing/limit decisions.</w:t>
            </w:r>
          </w:p>
        </w:tc>
      </w:tr>
    </w:tbl>
    <w:p/>
    <w:p>
      <w:pPr>
        <w:pStyle w:val="Heading1"/>
      </w:pPr>
      <w:r>
        <w:t>15. Technology Constraints</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ID</w:t>
            </w:r>
          </w:p>
        </w:tc>
        <w:tc>
          <w:tcPr>
            <w:tcW w:type="dxa" w:w="4997"/>
            <w:shd w:fill="E9EEF5"/>
            <w:vAlign w:val="center"/>
          </w:tcPr>
          <w:p>
            <w:r/>
            <w:r>
              <w:rPr>
                <w:b/>
                <w:sz w:val="18"/>
              </w:rPr>
              <w:t>Constraint</w:t>
            </w:r>
          </w:p>
        </w:tc>
      </w:tr>
      <w:tr>
        <w:tc>
          <w:tcPr>
            <w:tcW w:type="dxa" w:w="4997"/>
            <w:vAlign w:val="top"/>
          </w:tcPr>
          <w:p>
            <w:r/>
            <w:r>
              <w:rPr>
                <w:b w:val="0"/>
                <w:sz w:val="18"/>
              </w:rPr>
              <w:t>CON-TECH-001</w:t>
            </w:r>
          </w:p>
        </w:tc>
        <w:tc>
          <w:tcPr>
            <w:tcW w:type="dxa" w:w="4997"/>
            <w:vAlign w:val="top"/>
          </w:tcPr>
          <w:p>
            <w:r/>
            <w:r>
              <w:rPr>
                <w:b w:val="0"/>
                <w:sz w:val="18"/>
              </w:rPr>
              <w:t>Primary web application: Next.js + TypeScript.</w:t>
            </w:r>
          </w:p>
        </w:tc>
      </w:tr>
      <w:tr>
        <w:tc>
          <w:tcPr>
            <w:tcW w:type="dxa" w:w="4997"/>
            <w:vAlign w:val="top"/>
          </w:tcPr>
          <w:p>
            <w:r/>
            <w:r>
              <w:rPr>
                <w:b w:val="0"/>
                <w:sz w:val="18"/>
              </w:rPr>
              <w:t>CON-TECH-002</w:t>
            </w:r>
          </w:p>
        </w:tc>
        <w:tc>
          <w:tcPr>
            <w:tcW w:type="dxa" w:w="4997"/>
            <w:vAlign w:val="top"/>
          </w:tcPr>
          <w:p>
            <w:r/>
            <w:r>
              <w:rPr>
                <w:b w:val="0"/>
                <w:sz w:val="18"/>
              </w:rPr>
              <w:t>Server document-processing services: Python + FastAPI unless architecture benchmarking documents a superior exception.</w:t>
            </w:r>
          </w:p>
        </w:tc>
      </w:tr>
      <w:tr>
        <w:tc>
          <w:tcPr>
            <w:tcW w:type="dxa" w:w="4997"/>
            <w:vAlign w:val="top"/>
          </w:tcPr>
          <w:p>
            <w:r/>
            <w:r>
              <w:rPr>
                <w:b w:val="0"/>
                <w:sz w:val="18"/>
              </w:rPr>
              <w:t>CON-TECH-003</w:t>
            </w:r>
          </w:p>
        </w:tc>
        <w:tc>
          <w:tcPr>
            <w:tcW w:type="dxa" w:w="4997"/>
            <w:vAlign w:val="top"/>
          </w:tcPr>
          <w:p>
            <w:r/>
            <w:r>
              <w:rPr>
                <w:b w:val="0"/>
                <w:sz w:val="18"/>
              </w:rPr>
              <w:t>Repository strategy: GitHub monorepo baseline.</w:t>
            </w:r>
          </w:p>
        </w:tc>
      </w:tr>
      <w:tr>
        <w:tc>
          <w:tcPr>
            <w:tcW w:type="dxa" w:w="4997"/>
            <w:vAlign w:val="top"/>
          </w:tcPr>
          <w:p>
            <w:r/>
            <w:r>
              <w:rPr>
                <w:b w:val="0"/>
                <w:sz w:val="18"/>
              </w:rPr>
              <w:t>CON-TECH-004</w:t>
            </w:r>
          </w:p>
        </w:tc>
        <w:tc>
          <w:tcPr>
            <w:tcW w:type="dxa" w:w="4997"/>
            <w:vAlign w:val="top"/>
          </w:tcPr>
          <w:p>
            <w:r/>
            <w:r>
              <w:rPr>
                <w:b w:val="0"/>
                <w:sz w:val="18"/>
              </w:rPr>
              <w:t>CI/CD baseline: GitHub Actions.</w:t>
            </w:r>
          </w:p>
        </w:tc>
      </w:tr>
      <w:tr>
        <w:tc>
          <w:tcPr>
            <w:tcW w:type="dxa" w:w="4997"/>
            <w:vAlign w:val="top"/>
          </w:tcPr>
          <w:p>
            <w:r/>
            <w:r>
              <w:rPr>
                <w:b w:val="0"/>
                <w:sz w:val="18"/>
              </w:rPr>
              <w:t>CON-TECH-005</w:t>
            </w:r>
          </w:p>
        </w:tc>
        <w:tc>
          <w:tcPr>
            <w:tcW w:type="dxa" w:w="4997"/>
            <w:vAlign w:val="top"/>
          </w:tcPr>
          <w:p>
            <w:r/>
            <w:r>
              <w:rPr>
                <w:b w:val="0"/>
                <w:sz w:val="18"/>
              </w:rPr>
              <w:t>Containerization shall be used for processing engines where isolation/reproducibility benefits justify it.</w:t>
            </w:r>
          </w:p>
        </w:tc>
      </w:tr>
      <w:tr>
        <w:tc>
          <w:tcPr>
            <w:tcW w:type="dxa" w:w="4997"/>
            <w:vAlign w:val="top"/>
          </w:tcPr>
          <w:p>
            <w:r/>
            <w:r>
              <w:rPr>
                <w:b w:val="0"/>
                <w:sz w:val="18"/>
              </w:rPr>
              <w:t>CON-TECH-006</w:t>
            </w:r>
          </w:p>
        </w:tc>
        <w:tc>
          <w:tcPr>
            <w:tcW w:type="dxa" w:w="4997"/>
            <w:vAlign w:val="top"/>
          </w:tcPr>
          <w:p>
            <w:r/>
            <w:r>
              <w:rPr>
                <w:b w:val="0"/>
                <w:sz w:val="18"/>
              </w:rPr>
              <w:t>PostgreSQL and Redis are available architectural choices but shall not be made mandatory for anonymous MVP flows that do not need them.</w:t>
            </w:r>
          </w:p>
        </w:tc>
      </w:tr>
    </w:tbl>
    <w:p/>
    <w:p>
      <w:pPr>
        <w:pStyle w:val="Heading1"/>
      </w:pPr>
      <w:r>
        <w:t>16. Acceptance and Traceability</w:t>
      </w:r>
    </w:p>
    <w:p>
      <w:r>
        <w:t>Every P0 feature must have test cases mapped to its FR identifiers. Security, privacy, accessibility, SEO and advertising launch checks must map to the corresponding NFR identifiers. A requirement is not considered implemented solely because a UI exists; the observable behavior and acceptance test must pass.</w:t>
      </w:r>
    </w:p>
    <w:p>
      <w:pPr>
        <w:pStyle w:val="Heading1"/>
      </w:pPr>
      <w:r>
        <w:t>17. Deferred Numeric Decisions</w:t>
      </w:r>
    </w:p>
    <w:p>
      <w:r>
        <w:t>Exact maximum file sizes, page limits, worker CPU/memory quotas, processing timeouts, temporary-file retention duration, rate limits and performance budgets are intentionally deferred to the architecture/benchmark phase. They must be decided before public launch and then inserted into this SRS as versioned requirements.</w:t>
      </w:r>
    </w:p>
    <w:p>
      <w:pPr>
        <w:pStyle w:val="Heading1"/>
      </w:pPr>
      <w:r>
        <w:t>18. Change Control</w:t>
      </w:r>
    </w:p>
    <w:p>
      <w:r>
        <w:t>New features outside the approved MVP require a PRD scope update before becoming implementation commitments. Changes to processing location, data retention or security behavior require review in both the SRS and the future Security &amp; Privacy Architecture document.</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Planning baseline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Document &amp; File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14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31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31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1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