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color w:val="1F3145"/>
          <w:sz w:val="48"/>
        </w:rPr>
        <w:t>Security &amp; Privacy Architecture</w:t>
      </w:r>
    </w:p>
    <w:p>
      <w:pPr>
        <w:jc w:val="center"/>
      </w:pPr>
      <w:r>
        <w:rPr>
          <w:i/>
          <w:sz w:val="22"/>
        </w:rPr>
        <w:t>Threat model, trust boundaries, document lifecycle controls and privacy engineering baseline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</w:trPr>
        <w:tc>
          <w:tcPr>
            <w:tcW w:type="dxa" w:w="5083"/>
            <w:shd w:fill="E9EEF5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Field</w:t>
            </w:r>
          </w:p>
        </w:tc>
        <w:tc>
          <w:tcPr>
            <w:tcW w:type="dxa" w:w="5083"/>
            <w:shd w:fill="E9EEF5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Value</w:t>
            </w:r>
          </w:p>
        </w:tc>
      </w:tr>
      <w:tr>
        <w:trPr>
          <w:cantSplit/>
        </w:trPr>
        <w:tc>
          <w:tcPr>
            <w:tcW w:type="dxa" w:w="5083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Version</w:t>
            </w:r>
          </w:p>
        </w:tc>
        <w:tc>
          <w:tcPr>
            <w:tcW w:type="dxa" w:w="5083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0.1 — Architecture Baseline</w:t>
            </w:r>
          </w:p>
        </w:tc>
      </w:tr>
      <w:tr>
        <w:trPr>
          <w:cantSplit/>
        </w:trPr>
        <w:tc>
          <w:tcPr>
            <w:tcW w:type="dxa" w:w="5083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Date</w:t>
            </w:r>
          </w:p>
        </w:tc>
        <w:tc>
          <w:tcPr>
            <w:tcW w:type="dxa" w:w="5083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24 September 2026</w:t>
            </w:r>
          </w:p>
        </w:tc>
      </w:tr>
      <w:tr>
        <w:trPr>
          <w:cantSplit/>
        </w:trPr>
        <w:tc>
          <w:tcPr>
            <w:tcW w:type="dxa" w:w="5083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Status</w:t>
            </w:r>
          </w:p>
        </w:tc>
        <w:tc>
          <w:tcPr>
            <w:tcW w:type="dxa" w:w="5083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Approved technical baseline for implementation planning</w:t>
            </w:r>
          </w:p>
        </w:tc>
      </w:tr>
      <w:tr>
        <w:trPr>
          <w:cantSplit/>
        </w:trPr>
        <w:tc>
          <w:tcPr>
            <w:tcW w:type="dxa" w:w="5083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Core stack</w:t>
            </w:r>
          </w:p>
        </w:tc>
        <w:tc>
          <w:tcPr>
            <w:tcW w:type="dxa" w:w="5083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Next.js + TypeScript; Python + FastAPI; browser JS/WASM; containerized processing</w:t>
            </w:r>
          </w:p>
        </w:tc>
      </w:tr>
      <w:tr>
        <w:trPr>
          <w:cantSplit/>
        </w:trPr>
        <w:tc>
          <w:tcPr>
            <w:tcW w:type="dxa" w:w="5083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Primary constraint</w:t>
            </w:r>
          </w:p>
        </w:tc>
        <w:tc>
          <w:tcPr>
            <w:tcW w:type="dxa" w:w="5083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Keep recurring infrastructure near $0 until real traffic justifies spend</w:t>
            </w:r>
          </w:p>
        </w:tc>
      </w:tr>
    </w:tbl>
    <w:p/>
    <w:p>
      <w:pPr>
        <w:pStyle w:val="Heading1"/>
      </w:pPr>
      <w:r>
        <w:t>1. Security Objective</w:t>
      </w:r>
    </w:p>
    <w:p>
      <w:r>
        <w:t>The platform processes untrusted files that may contain private information and may be intentionally malicious. Security therefore has two simultaneous goals: (1) protect users' documents from unnecessary exposure and retention, and (2) protect the service from hostile or resource-exhausting documents.</w:t>
      </w:r>
    </w:p>
    <w:p>
      <w:pPr>
        <w:pStyle w:val="Heading1"/>
      </w:pPr>
      <w:r>
        <w:t>2. Trust Boundaries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</w:trPr>
        <w:tc>
          <w:tcPr>
            <w:tcW w:type="dxa" w:w="5083"/>
            <w:shd w:fill="E9EEF5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Boundary</w:t>
            </w:r>
          </w:p>
        </w:tc>
        <w:tc>
          <w:tcPr>
            <w:tcW w:type="dxa" w:w="5083"/>
            <w:shd w:fill="E9EEF5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Trust assumption</w:t>
            </w:r>
          </w:p>
        </w:tc>
      </w:tr>
      <w:tr>
        <w:trPr>
          <w:cantSplit/>
        </w:trPr>
        <w:tc>
          <w:tcPr>
            <w:tcW w:type="dxa" w:w="5083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User browser</w:t>
            </w:r>
          </w:p>
        </w:tc>
        <w:tc>
          <w:tcPr>
            <w:tcW w:type="dxa" w:w="5083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Trusted to represent the current user, but all supplied files/metadata remain untrusted.</w:t>
            </w:r>
          </w:p>
        </w:tc>
      </w:tr>
      <w:tr>
        <w:trPr>
          <w:cantSplit/>
        </w:trPr>
        <w:tc>
          <w:tcPr>
            <w:tcW w:type="dxa" w:w="5083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Public web app</w:t>
            </w:r>
          </w:p>
        </w:tc>
        <w:tc>
          <w:tcPr>
            <w:tcW w:type="dxa" w:w="5083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Internet-facing; must not possess document contents for local tools.</w:t>
            </w:r>
          </w:p>
        </w:tc>
      </w:tr>
      <w:tr>
        <w:trPr>
          <w:cantSplit/>
        </w:trPr>
        <w:tc>
          <w:tcPr>
            <w:tcW w:type="dxa" w:w="5083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Processing API</w:t>
            </w:r>
          </w:p>
        </w:tc>
        <w:tc>
          <w:tcPr>
            <w:tcW w:type="dxa" w:w="5083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Internet-facing control plane; validates every request and never trusts browser validation.</w:t>
            </w:r>
          </w:p>
        </w:tc>
      </w:tr>
      <w:tr>
        <w:trPr>
          <w:cantSplit/>
        </w:trPr>
        <w:tc>
          <w:tcPr>
            <w:tcW w:type="dxa" w:w="5083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Worker/engine</w:t>
            </w:r>
          </w:p>
        </w:tc>
        <w:tc>
          <w:tcPr>
            <w:tcW w:type="dxa" w:w="5083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High-risk execution zone because parsers/converters process attacker-controlled files.</w:t>
            </w:r>
          </w:p>
        </w:tc>
      </w:tr>
      <w:tr>
        <w:trPr>
          <w:cantSplit/>
        </w:trPr>
        <w:tc>
          <w:tcPr>
            <w:tcW w:type="dxa" w:w="5083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Temporary storage</w:t>
            </w:r>
          </w:p>
        </w:tc>
        <w:tc>
          <w:tcPr>
            <w:tcW w:type="dxa" w:w="5083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Sensitive-data zone; access must be narrow, short-lived and non-public.</w:t>
            </w:r>
          </w:p>
        </w:tc>
      </w:tr>
      <w:tr>
        <w:trPr>
          <w:cantSplit/>
        </w:trPr>
        <w:tc>
          <w:tcPr>
            <w:tcW w:type="dxa" w:w="5083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Analytics/logging</w:t>
            </w:r>
          </w:p>
        </w:tc>
        <w:tc>
          <w:tcPr>
            <w:tcW w:type="dxa" w:w="5083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Must be treated as a separate data sink and prevented from receiving document content.</w:t>
            </w:r>
          </w:p>
        </w:tc>
      </w:tr>
    </w:tbl>
    <w:p/>
    <w:p>
      <w:pPr>
        <w:pStyle w:val="Heading1"/>
      </w:pPr>
      <w:r>
        <w:t>3. Threat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</w:trPr>
        <w:tc>
          <w:tcPr>
            <w:tcW w:type="dxa" w:w="3389"/>
            <w:shd w:fill="E9EEF5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Threat</w:t>
            </w:r>
          </w:p>
        </w:tc>
        <w:tc>
          <w:tcPr>
            <w:tcW w:type="dxa" w:w="3389"/>
            <w:shd w:fill="E9EEF5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Example</w:t>
            </w:r>
          </w:p>
        </w:tc>
        <w:tc>
          <w:tcPr>
            <w:tcW w:type="dxa" w:w="3389"/>
            <w:shd w:fill="E9EEF5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Primary controls</w:t>
            </w:r>
          </w:p>
        </w:tc>
      </w:tr>
      <w:tr>
        <w:trPr>
          <w:cantSplit/>
        </w:trPr>
        <w:tc>
          <w:tcPr>
            <w:tcW w:type="dxa" w:w="3389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Malicious parser input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Crafted PDF/DOCX exploits converter vulnerability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Patch discipline, isolated workers, least privilege, resource limits, no unnecessary network.</w:t>
            </w:r>
          </w:p>
        </w:tc>
      </w:tr>
      <w:tr>
        <w:trPr>
          <w:cantSplit/>
        </w:trPr>
        <w:tc>
          <w:tcPr>
            <w:tcW w:type="dxa" w:w="3389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Resource exhaustion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Huge page count, decompression bomb, pathological PDF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Preflight limits, timeouts, memory/CPU quotas, output-size limits, concurrency controls.</w:t>
            </w:r>
          </w:p>
        </w:tc>
      </w:tr>
      <w:tr>
        <w:trPr>
          <w:cantSplit/>
        </w:trPr>
        <w:tc>
          <w:tcPr>
            <w:tcW w:type="dxa" w:w="3389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Path traversal / filename abuse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../../secret or shell metacharacters in filename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Random internal IDs, never concatenate user filename into paths/commands.</w:t>
            </w:r>
          </w:p>
        </w:tc>
      </w:tr>
      <w:tr>
        <w:trPr>
          <w:cantSplit/>
        </w:trPr>
        <w:tc>
          <w:tcPr>
            <w:tcW w:type="dxa" w:w="3389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Command injection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Filename/options reach shell command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No shell=True; fixed executable + argument arrays; allowlisted options.</w:t>
            </w:r>
          </w:p>
        </w:tc>
      </w:tr>
      <w:tr>
        <w:trPr>
          <w:cantSplit/>
        </w:trPr>
        <w:tc>
          <w:tcPr>
            <w:tcW w:type="dxa" w:w="3389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Cross-user file exposure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Predictable output URLs/job IDs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Cryptographically random IDs, authorization token, short-lived URLs, private buckets.</w:t>
            </w:r>
          </w:p>
        </w:tc>
      </w:tr>
      <w:tr>
        <w:trPr>
          <w:cantSplit/>
        </w:trPr>
        <w:tc>
          <w:tcPr>
            <w:tcW w:type="dxa" w:w="3389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Retention failure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Crash leaves files indefinitely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Immediate cleanup + independent janitor/lifecycle expiration.</w:t>
            </w:r>
          </w:p>
        </w:tc>
      </w:tr>
      <w:tr>
        <w:trPr>
          <w:cantSplit/>
        </w:trPr>
        <w:tc>
          <w:tcPr>
            <w:tcW w:type="dxa" w:w="3389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Privacy leakage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Filename/text sent to analytics/logs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Schema allowlists; no raw content; privacy tests.</w:t>
            </w:r>
          </w:p>
        </w:tc>
      </w:tr>
      <w:tr>
        <w:trPr>
          <w:cantSplit/>
        </w:trPr>
        <w:tc>
          <w:tcPr>
            <w:tcW w:type="dxa" w:w="3389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Abuse/cost attack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Automated expensive conversions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Rate limits, quotas, concurrency caps, bot/abuse controls, budget alerts.</w:t>
            </w:r>
          </w:p>
        </w:tc>
      </w:tr>
      <w:tr>
        <w:trPr>
          <w:cantSplit/>
        </w:trPr>
        <w:tc>
          <w:tcPr>
            <w:tcW w:type="dxa" w:w="3389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XSS from extracted content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Document text rendered as HTML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Render as text; sanitize any HTML; strong CSP.</w:t>
            </w:r>
          </w:p>
        </w:tc>
      </w:tr>
      <w:tr>
        <w:trPr>
          <w:cantSplit/>
        </w:trPr>
        <w:tc>
          <w:tcPr>
            <w:tcW w:type="dxa" w:w="3389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Supply-chain compromise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Malicious dependency/container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Lockfiles, dependency scanning, pinned images, minimal images, update policy.</w:t>
            </w:r>
          </w:p>
        </w:tc>
      </w:tr>
    </w:tbl>
    <w:p/>
    <w:p>
      <w:pPr>
        <w:pStyle w:val="Heading1"/>
      </w:pPr>
      <w:r>
        <w:t>4. Privacy-by-Architecture</w:t>
      </w:r>
    </w:p>
    <w:p>
      <w:pPr>
        <w:pStyle w:val="ListBullet"/>
      </w:pPr>
      <w:r>
        <w:t>Local means local: document bytes for LOCAL tools must not be uploaded to the processing backend.</w:t>
      </w:r>
    </w:p>
    <w:p>
      <w:pPr>
        <w:pStyle w:val="ListBullet"/>
      </w:pPr>
      <w:r>
        <w:t>The processing-mode label is generated from the same tool registry used by the application, reducing mismatches between UI claims and implementation.</w:t>
      </w:r>
    </w:p>
    <w:p>
      <w:pPr>
        <w:pStyle w:val="ListBullet"/>
      </w:pPr>
      <w:r>
        <w:t>No raw document text, image, PDF bytes or sensitive filenames in analytics.</w:t>
      </w:r>
    </w:p>
    <w:p>
      <w:pPr>
        <w:pStyle w:val="ListBullet"/>
      </w:pPr>
      <w:r>
        <w:t>Server files are temporary processing artifacts, not user storage.</w:t>
      </w:r>
    </w:p>
    <w:p>
      <w:pPr>
        <w:pStyle w:val="ListBullet"/>
      </w:pPr>
      <w:r>
        <w:t>Do not build document history into MVP.</w:t>
      </w:r>
    </w:p>
    <w:p>
      <w:pPr>
        <w:pStyle w:val="ListBullet"/>
      </w:pPr>
      <w:r>
        <w:t>Do not train models on user documents or send them to AI providers in MVP.</w:t>
      </w:r>
    </w:p>
    <w:p>
      <w:pPr>
        <w:pStyle w:val="ListBullet"/>
      </w:pPr>
      <w:r>
        <w:t>Collect only operational metadata needed for reliability, abuse prevention and aggregate product measurement.</w:t>
      </w:r>
    </w:p>
    <w:p>
      <w:pPr>
        <w:pStyle w:val="Heading1"/>
      </w:pPr>
      <w:r>
        <w:t>5. Data Classification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</w:trPr>
        <w:tc>
          <w:tcPr>
            <w:tcW w:type="dxa" w:w="3389"/>
            <w:shd w:fill="E9EEF5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Class</w:t>
            </w:r>
          </w:p>
        </w:tc>
        <w:tc>
          <w:tcPr>
            <w:tcW w:type="dxa" w:w="3389"/>
            <w:shd w:fill="E9EEF5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Examples</w:t>
            </w:r>
          </w:p>
        </w:tc>
        <w:tc>
          <w:tcPr>
            <w:tcW w:type="dxa" w:w="3389"/>
            <w:shd w:fill="E9EEF5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Handling</w:t>
            </w:r>
          </w:p>
        </w:tc>
      </w:tr>
      <w:tr>
        <w:trPr>
          <w:cantSplit/>
        </w:trPr>
        <w:tc>
          <w:tcPr>
            <w:tcW w:type="dxa" w:w="3389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D0 Public app data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Tool metadata, guides, static assets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Normal application controls.</w:t>
            </w:r>
          </w:p>
        </w:tc>
      </w:tr>
      <w:tr>
        <w:trPr>
          <w:cantSplit/>
        </w:trPr>
        <w:tc>
          <w:tcPr>
            <w:tcW w:type="dxa" w:w="3389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D1 Operational metadata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Job ID, coarse size bucket, duration, error category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Log/analytics allowed under retention policy.</w:t>
            </w:r>
          </w:p>
        </w:tc>
      </w:tr>
      <w:tr>
        <w:trPr>
          <w:cantSplit/>
        </w:trPr>
        <w:tc>
          <w:tcPr>
            <w:tcW w:type="dxa" w:w="3389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D2 User-supplied metadata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Original filename, MIME hint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Minimize; do not send to analytics; avoid logs unless sanitized/necessary.</w:t>
            </w:r>
          </w:p>
        </w:tc>
      </w:tr>
      <w:tr>
        <w:trPr>
          <w:cantSplit/>
        </w:trPr>
        <w:tc>
          <w:tcPr>
            <w:tcW w:type="dxa" w:w="3389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D3 Document content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PDF/DOCX bytes, extracted text/images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Sensitive; local-only where possible; temporary server handling only when required.</w:t>
            </w:r>
          </w:p>
        </w:tc>
      </w:tr>
      <w:tr>
        <w:trPr>
          <w:cantSplit/>
        </w:trPr>
        <w:tc>
          <w:tcPr>
            <w:tcW w:type="dxa" w:w="3389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D4 Secrets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API keys, signing keys, storage credentials</w:t>
            </w:r>
          </w:p>
        </w:tc>
        <w:tc>
          <w:tcPr>
            <w:tcW w:type="dxa" w:w="3389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Secret manager/environment injection; never client-exposed or logged.</w:t>
            </w:r>
          </w:p>
        </w:tc>
      </w:tr>
    </w:tbl>
    <w:p/>
    <w:p>
      <w:pPr>
        <w:pStyle w:val="Heading1"/>
      </w:pPr>
      <w:r>
        <w:t>6. Upload and Preflight Controls</w:t>
      </w:r>
    </w:p>
    <w:p>
      <w:pPr>
        <w:pStyle w:val="ListNumber"/>
      </w:pPr>
      <w:r>
        <w:t>Check declared extension/MIME only as a hint; verify magic/signature server-side.</w:t>
      </w:r>
    </w:p>
    <w:p>
      <w:pPr>
        <w:pStyle w:val="ListNumber"/>
      </w:pPr>
      <w:r>
        <w:t>Apply maximum input byte, file count and page/document-complexity limits before expensive processing where measurable.</w:t>
      </w:r>
    </w:p>
    <w:p>
      <w:pPr>
        <w:pStyle w:val="ListNumber"/>
      </w:pPr>
      <w:r>
        <w:t>Reject unsupported encrypted/password-protected inputs unless the specific tool supports them.</w:t>
      </w:r>
    </w:p>
    <w:p>
      <w:pPr>
        <w:pStyle w:val="ListNumber"/>
      </w:pPr>
      <w:r>
        <w:t>Write files only under a random job-scoped workspace.</w:t>
      </w:r>
    </w:p>
    <w:p>
      <w:pPr>
        <w:pStyle w:val="ListNumber"/>
      </w:pPr>
      <w:r>
        <w:t>Normalize/sanitize display filenames separately from internal object/path identifiers.</w:t>
      </w:r>
    </w:p>
    <w:p>
      <w:pPr>
        <w:pStyle w:val="ListNumber"/>
      </w:pPr>
      <w:r>
        <w:t>Never execute macros or embedded content from Office documents.</w:t>
      </w:r>
    </w:p>
    <w:p>
      <w:pPr>
        <w:pStyle w:val="ListNumber"/>
      </w:pPr>
      <w:r>
        <w:t>For ZIP-based formats such as DOCX, defend against decompression bombs by limiting expanded size/file count before conversion where practical.</w:t>
      </w:r>
    </w:p>
    <w:p>
      <w:pPr>
        <w:pStyle w:val="Heading1"/>
      </w:pPr>
      <w:r>
        <w:t>7. Worker Isolation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</w:trPr>
        <w:tc>
          <w:tcPr>
            <w:tcW w:type="dxa" w:w="5083"/>
            <w:shd w:fill="E9EEF5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Control</w:t>
            </w:r>
          </w:p>
        </w:tc>
        <w:tc>
          <w:tcPr>
            <w:tcW w:type="dxa" w:w="5083"/>
            <w:shd w:fill="E9EEF5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Baseline</w:t>
            </w:r>
          </w:p>
        </w:tc>
      </w:tr>
      <w:tr>
        <w:trPr>
          <w:cantSplit/>
        </w:trPr>
        <w:tc>
          <w:tcPr>
            <w:tcW w:type="dxa" w:w="5083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Identity</w:t>
            </w:r>
          </w:p>
        </w:tc>
        <w:tc>
          <w:tcPr>
            <w:tcW w:type="dxa" w:w="5083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Run as non-root with a dedicated low-privilege UID.</w:t>
            </w:r>
          </w:p>
        </w:tc>
      </w:tr>
      <w:tr>
        <w:trPr>
          <w:cantSplit/>
        </w:trPr>
        <w:tc>
          <w:tcPr>
            <w:tcW w:type="dxa" w:w="5083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Filesystem</w:t>
            </w:r>
          </w:p>
        </w:tc>
        <w:tc>
          <w:tcPr>
            <w:tcW w:type="dxa" w:w="5083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Read/write only to job workspace; root filesystem read-only where feasible.</w:t>
            </w:r>
          </w:p>
        </w:tc>
      </w:tr>
      <w:tr>
        <w:trPr>
          <w:cantSplit/>
        </w:trPr>
        <w:tc>
          <w:tcPr>
            <w:tcW w:type="dxa" w:w="5083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Network</w:t>
            </w:r>
          </w:p>
        </w:tc>
        <w:tc>
          <w:tcPr>
            <w:tcW w:type="dxa" w:w="5083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Disable outbound network for conversion workers unless an engine genuinely requires it.</w:t>
            </w:r>
          </w:p>
        </w:tc>
      </w:tr>
      <w:tr>
        <w:trPr>
          <w:cantSplit/>
        </w:trPr>
        <w:tc>
          <w:tcPr>
            <w:tcW w:type="dxa" w:w="5083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CPU</w:t>
            </w:r>
          </w:p>
        </w:tc>
        <w:tc>
          <w:tcPr>
            <w:tcW w:type="dxa" w:w="5083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Per-job CPU/concurrency quota.</w:t>
            </w:r>
          </w:p>
        </w:tc>
      </w:tr>
      <w:tr>
        <w:trPr>
          <w:cantSplit/>
        </w:trPr>
        <w:tc>
          <w:tcPr>
            <w:tcW w:type="dxa" w:w="5083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Memory</w:t>
            </w:r>
          </w:p>
        </w:tc>
        <w:tc>
          <w:tcPr>
            <w:tcW w:type="dxa" w:w="5083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Hard memory ceiling appropriate to benchmarked workloads.</w:t>
            </w:r>
          </w:p>
        </w:tc>
      </w:tr>
      <w:tr>
        <w:trPr>
          <w:cantSplit/>
        </w:trPr>
        <w:tc>
          <w:tcPr>
            <w:tcW w:type="dxa" w:w="5083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Time</w:t>
            </w:r>
          </w:p>
        </w:tc>
        <w:tc>
          <w:tcPr>
            <w:tcW w:type="dxa" w:w="5083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Hard wall-clock timeout; kill process tree on expiry.</w:t>
            </w:r>
          </w:p>
        </w:tc>
      </w:tr>
      <w:tr>
        <w:trPr>
          <w:cantSplit/>
        </w:trPr>
        <w:tc>
          <w:tcPr>
            <w:tcW w:type="dxa" w:w="5083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Processes</w:t>
            </w:r>
          </w:p>
        </w:tc>
        <w:tc>
          <w:tcPr>
            <w:tcW w:type="dxa" w:w="5083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Limit process count; no shell command construction from user input.</w:t>
            </w:r>
          </w:p>
        </w:tc>
      </w:tr>
      <w:tr>
        <w:trPr>
          <w:cantSplit/>
        </w:trPr>
        <w:tc>
          <w:tcPr>
            <w:tcW w:type="dxa" w:w="5083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Output</w:t>
            </w:r>
          </w:p>
        </w:tc>
        <w:tc>
          <w:tcPr>
            <w:tcW w:type="dxa" w:w="5083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Maximum output size and file count.</w:t>
            </w:r>
          </w:p>
        </w:tc>
      </w:tr>
      <w:tr>
        <w:trPr>
          <w:cantSplit/>
        </w:trPr>
        <w:tc>
          <w:tcPr>
            <w:tcW w:type="dxa" w:w="5083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Lifecycle</w:t>
            </w:r>
          </w:p>
        </w:tc>
        <w:tc>
          <w:tcPr>
            <w:tcW w:type="dxa" w:w="5083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Fresh/clean workspace per job; delete after terminal state.</w:t>
            </w:r>
          </w:p>
        </w:tc>
      </w:tr>
    </w:tbl>
    <w:p/>
    <w:p>
      <w:pPr>
        <w:pStyle w:val="Heading1"/>
      </w:pPr>
      <w:r>
        <w:t>8. Temporary Storage Architecture</w:t>
      </w:r>
    </w:p>
    <w:p>
      <w:r>
        <w:t>For the cheapest MVP, short synchronous conversions should use isolated ephemeral disk when the hosting platform guarantees suitable cleanup. If object storage is needed, use a private bucket with random keys, short-lived signed access and an independent lifecycle rule. Cloudflare R2 is a cost-friendly candidate because its current Standard free tier includes 10 GB-month, 1 million Class A operations and 10 million Class B operations monthly, with no Internet egress charge.</w:t>
      </w:r>
    </w:p>
    <w:p>
      <w:pPr>
        <w:pStyle w:val="ListBullet"/>
      </w:pPr>
      <w:r>
        <w:t>No public bucket listing.</w:t>
      </w:r>
    </w:p>
    <w:p>
      <w:pPr>
        <w:pStyle w:val="ListBullet"/>
      </w:pPr>
      <w:r>
        <w:t>No user filename as object key.</w:t>
      </w:r>
    </w:p>
    <w:p>
      <w:pPr>
        <w:pStyle w:val="ListBullet"/>
      </w:pPr>
      <w:r>
        <w:t>Short expiration independent of application cleanup.</w:t>
      </w:r>
    </w:p>
    <w:p>
      <w:pPr>
        <w:pStyle w:val="ListBullet"/>
      </w:pPr>
      <w:r>
        <w:t>Output download authorization expires quickly.</w:t>
      </w:r>
    </w:p>
    <w:p>
      <w:pPr>
        <w:pStyle w:val="ListBullet"/>
      </w:pPr>
      <w:r>
        <w:t>Immediate deletion attempt after delivery/terminal failure when compatible with the download mechanism.</w:t>
      </w:r>
    </w:p>
    <w:p>
      <w:pPr>
        <w:pStyle w:val="ListBullet"/>
      </w:pPr>
      <w:r>
        <w:t>Lifecycle/janitor is the safety net, not the primary cleanup path.</w:t>
      </w:r>
    </w:p>
    <w:p>
      <w:pPr>
        <w:pStyle w:val="Heading1"/>
      </w:pPr>
      <w:r>
        <w:t>9. Retention Policy</w:t>
      </w:r>
    </w:p>
    <w:p>
      <w:r>
        <w:t>Exact retention duration remains a benchmark/operations decision, but the architecture requires a short, explicit maximum. The public privacy statement, UI disclosure and storage lifecycle configuration must use the same value. A suggested initial target for server artifacts is no more than 60 minutes, with normal jobs deleted much earlier after successful delivery; this must be validated against download UX and hosting behavior before launch.</w:t>
      </w:r>
    </w:p>
    <w:p>
      <w:pPr>
        <w:pStyle w:val="Heading1"/>
      </w:pPr>
      <w:r>
        <w:t>10. Authentication and Authorization</w:t>
      </w:r>
    </w:p>
    <w:p>
      <w:r>
        <w:t>MVP core tools are anonymous, so traditional user authentication is not a prerequisite. Server jobs still require authorization: each job receives an unguessable identifier plus a short-lived capability/token or equivalent signed access. Possession of a sequential job ID must never be sufficient to retrieve another user's file.</w:t>
      </w:r>
    </w:p>
    <w:p>
      <w:pPr>
        <w:pStyle w:val="Heading1"/>
      </w:pPr>
      <w:r>
        <w:t>11. Rate Limiting and Abuse Controls</w:t>
      </w:r>
    </w:p>
    <w:p>
      <w:pPr>
        <w:pStyle w:val="ListBullet"/>
      </w:pPr>
      <w:r>
        <w:t>Local tools need little server rate limiting beyond page/API abuse protection because document processing occurs on-device.</w:t>
      </w:r>
    </w:p>
    <w:p>
      <w:pPr>
        <w:pStyle w:val="ListBullet"/>
      </w:pPr>
      <w:r>
        <w:t>Server conversion endpoints require IP/session-based creation limits and per-job size/resource caps.</w:t>
      </w:r>
    </w:p>
    <w:p>
      <w:pPr>
        <w:pStyle w:val="ListBullet"/>
      </w:pPr>
      <w:r>
        <w:t>Add concurrency limits so one client cannot occupy all workers.</w:t>
      </w:r>
    </w:p>
    <w:p>
      <w:pPr>
        <w:pStyle w:val="ListBullet"/>
      </w:pPr>
      <w:r>
        <w:t>Use stricter limits for expensive conversions than for lightweight control endpoints.</w:t>
      </w:r>
    </w:p>
    <w:p>
      <w:pPr>
        <w:pStyle w:val="ListBullet"/>
      </w:pPr>
      <w:r>
        <w:t>Introduce challenge/bot controls only when abuse data justifies the UX cost.</w:t>
      </w:r>
    </w:p>
    <w:p>
      <w:pPr>
        <w:pStyle w:val="ListBullet"/>
      </w:pPr>
      <w:r>
        <w:t>Configure budget/usage alerts before public launch.</w:t>
      </w:r>
    </w:p>
    <w:p>
      <w:pPr>
        <w:pStyle w:val="Heading1"/>
      </w:pPr>
      <w:r>
        <w:t>12. Logging and Analytics Rules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</w:trPr>
        <w:tc>
          <w:tcPr>
            <w:tcW w:type="dxa" w:w="5083"/>
            <w:shd w:fill="E9EEF5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Allowed by default</w:t>
            </w:r>
          </w:p>
        </w:tc>
        <w:tc>
          <w:tcPr>
            <w:tcW w:type="dxa" w:w="5083"/>
            <w:shd w:fill="E9EEF5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Not allowed by default</w:t>
            </w:r>
          </w:p>
        </w:tc>
      </w:tr>
      <w:tr>
        <w:trPr>
          <w:cantSplit/>
        </w:trPr>
        <w:tc>
          <w:tcPr>
            <w:tcW w:type="dxa" w:w="5083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Job ID / correlation ID</w:t>
            </w:r>
          </w:p>
        </w:tc>
        <w:tc>
          <w:tcPr>
            <w:tcW w:type="dxa" w:w="5083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Document bytes</w:t>
            </w:r>
          </w:p>
        </w:tc>
      </w:tr>
      <w:tr>
        <w:trPr>
          <w:cantSplit/>
        </w:trPr>
        <w:tc>
          <w:tcPr>
            <w:tcW w:type="dxa" w:w="5083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Tool ID</w:t>
            </w:r>
          </w:p>
        </w:tc>
        <w:tc>
          <w:tcPr>
            <w:tcW w:type="dxa" w:w="5083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Extracted document text</w:t>
            </w:r>
          </w:p>
        </w:tc>
      </w:tr>
      <w:tr>
        <w:trPr>
          <w:cantSplit/>
        </w:trPr>
        <w:tc>
          <w:tcPr>
            <w:tcW w:type="dxa" w:w="5083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Safe error category</w:t>
            </w:r>
          </w:p>
        </w:tc>
        <w:tc>
          <w:tcPr>
            <w:tcW w:type="dxa" w:w="5083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Page images</w:t>
            </w:r>
          </w:p>
        </w:tc>
      </w:tr>
      <w:tr>
        <w:trPr>
          <w:cantSplit/>
        </w:trPr>
        <w:tc>
          <w:tcPr>
            <w:tcW w:type="dxa" w:w="5083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Processing duration</w:t>
            </w:r>
          </w:p>
        </w:tc>
        <w:tc>
          <w:tcPr>
            <w:tcW w:type="dxa" w:w="5083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Raw document metadata dumps</w:t>
            </w:r>
          </w:p>
        </w:tc>
      </w:tr>
      <w:tr>
        <w:trPr>
          <w:cantSplit/>
        </w:trPr>
        <w:tc>
          <w:tcPr>
            <w:tcW w:type="dxa" w:w="5083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Coarse input/output size bucket</w:t>
            </w:r>
          </w:p>
        </w:tc>
        <w:tc>
          <w:tcPr>
            <w:tcW w:type="dxa" w:w="5083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Sensitive original filenames</w:t>
            </w:r>
          </w:p>
        </w:tc>
      </w:tr>
      <w:tr>
        <w:trPr>
          <w:cantSplit/>
        </w:trPr>
        <w:tc>
          <w:tcPr>
            <w:tcW w:type="dxa" w:w="5083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Engine/version</w:t>
            </w:r>
          </w:p>
        </w:tc>
        <w:tc>
          <w:tcPr>
            <w:tcW w:type="dxa" w:w="5083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Passwords or secrets</w:t>
            </w:r>
          </w:p>
        </w:tc>
      </w:tr>
    </w:tbl>
    <w:p/>
    <w:p>
      <w:r>
        <w:t>Debug logging must not become an excuse to dump user files or conversion command lines containing sensitive paths. Production log schemas should be allowlisted.</w:t>
      </w:r>
    </w:p>
    <w:p>
      <w:pPr>
        <w:pStyle w:val="Heading1"/>
      </w:pPr>
      <w:r>
        <w:t>13. Browser Security</w:t>
      </w:r>
    </w:p>
    <w:p>
      <w:pPr>
        <w:pStyle w:val="ListBullet"/>
      </w:pPr>
      <w:r>
        <w:t>Apply a restrictive Content Security Policy compatible with required workers/WASM and advertising only after explicit review.</w:t>
      </w:r>
    </w:p>
    <w:p>
      <w:pPr>
        <w:pStyle w:val="ListBullet"/>
      </w:pPr>
      <w:r>
        <w:t>Use secure headers including frame-ancestor/clickjacking protections as appropriate.</w:t>
      </w:r>
    </w:p>
    <w:p>
      <w:pPr>
        <w:pStyle w:val="ListBullet"/>
      </w:pPr>
      <w:r>
        <w:t>Render extracted document text as text, not trusted HTML.</w:t>
      </w:r>
    </w:p>
    <w:p>
      <w:pPr>
        <w:pStyle w:val="ListBullet"/>
      </w:pPr>
      <w:r>
        <w:t>Avoid third-party scripts on processing surfaces unless necessary; each third-party script expands the privacy and supply-chain boundary.</w:t>
      </w:r>
    </w:p>
    <w:p>
      <w:pPr>
        <w:pStyle w:val="ListBullet"/>
      </w:pPr>
      <w:r>
        <w:t>Revoke Blob/Object URLs when no longer needed.</w:t>
      </w:r>
    </w:p>
    <w:p>
      <w:pPr>
        <w:pStyle w:val="ListBullet"/>
      </w:pPr>
      <w:r>
        <w:t>Keep local-processing libraries pinned and update them through reviewed dependency changes.</w:t>
      </w:r>
    </w:p>
    <w:p>
      <w:pPr>
        <w:pStyle w:val="Heading1"/>
      </w:pPr>
      <w:r>
        <w:t>14. Server/API Security</w:t>
      </w:r>
    </w:p>
    <w:p>
      <w:pPr>
        <w:pStyle w:val="ListBullet"/>
      </w:pPr>
      <w:r>
        <w:t>HTTPS only in production.</w:t>
      </w:r>
    </w:p>
    <w:p>
      <w:pPr>
        <w:pStyle w:val="ListBullet"/>
      </w:pPr>
      <w:r>
        <w:t>Strict request schemas and allowlisted tool IDs/options.</w:t>
      </w:r>
    </w:p>
    <w:p>
      <w:pPr>
        <w:pStyle w:val="ListBullet"/>
      </w:pPr>
      <w:r>
        <w:t>CORS limited to intended origins where cross-origin API use is not required.</w:t>
      </w:r>
    </w:p>
    <w:p>
      <w:pPr>
        <w:pStyle w:val="ListBullet"/>
      </w:pPr>
      <w:r>
        <w:t>CSRF protections for cookie-authenticated future features; MVP capability tokens should not create ambient authority.</w:t>
      </w:r>
    </w:p>
    <w:p>
      <w:pPr>
        <w:pStyle w:val="ListBullet"/>
      </w:pPr>
      <w:r>
        <w:t>No shell interpolation for converter commands.</w:t>
      </w:r>
    </w:p>
    <w:p>
      <w:pPr>
        <w:pStyle w:val="ListBullet"/>
      </w:pPr>
      <w:r>
        <w:t>Do not expose internal engine errors/paths to users; map them to safe error categories.</w:t>
      </w:r>
    </w:p>
    <w:p>
      <w:pPr>
        <w:pStyle w:val="ListBullet"/>
      </w:pPr>
      <w:r>
        <w:t>Health endpoints reveal minimal information.</w:t>
      </w:r>
    </w:p>
    <w:p>
      <w:pPr>
        <w:pStyle w:val="Heading1"/>
      </w:pPr>
      <w:r>
        <w:t>15. Dependency and License Security</w:t>
      </w:r>
    </w:p>
    <w:p>
      <w:r>
        <w:t>Dependency selection is part of security and business risk. pdf-lib, PDF.js, FastAPI, qpdf, LibreOffice and future Tesseract are compatible candidates under permissive/file-level open-source terms. PyMuPDF and Ghostscript are specifically excluded from the proprietary MVP under their AGPL variants unless a commercial license is obtained or the project's licensing model changes.</w:t>
      </w:r>
    </w:p>
    <w:p>
      <w:pPr>
        <w:pStyle w:val="ListBullet"/>
      </w:pPr>
      <w:r>
        <w:t>Commit lockfiles.</w:t>
      </w:r>
    </w:p>
    <w:p>
      <w:pPr>
        <w:pStyle w:val="ListBullet"/>
      </w:pPr>
      <w:r>
        <w:t>Use automated dependency vulnerability scanning.</w:t>
      </w:r>
    </w:p>
    <w:p>
      <w:pPr>
        <w:pStyle w:val="ListBullet"/>
      </w:pPr>
      <w:r>
        <w:t>Pin container base images by version/digest for production releases where practical.</w:t>
      </w:r>
    </w:p>
    <w:p>
      <w:pPr>
        <w:pStyle w:val="ListBullet"/>
      </w:pPr>
      <w:r>
        <w:t>Rebuild processor images regularly for OS/library security updates.</w:t>
      </w:r>
    </w:p>
    <w:p>
      <w:pPr>
        <w:pStyle w:val="ListBullet"/>
      </w:pPr>
      <w:r>
        <w:t>Maintain a third-party notices/license inventory.</w:t>
      </w:r>
    </w:p>
    <w:p>
      <w:pPr>
        <w:pStyle w:val="Heading1"/>
      </w:pPr>
      <w:r>
        <w:t>16. Secrets Management</w:t>
      </w:r>
    </w:p>
    <w:p>
      <w:pPr>
        <w:pStyle w:val="ListBullet"/>
      </w:pPr>
      <w:r>
        <w:t>No secrets in Git, .env examples, client bundles or issue screenshots.</w:t>
      </w:r>
    </w:p>
    <w:p>
      <w:pPr>
        <w:pStyle w:val="ListBullet"/>
      </w:pPr>
      <w:r>
        <w:t>Separate development/staging/production credentials.</w:t>
      </w:r>
    </w:p>
    <w:p>
      <w:pPr>
        <w:pStyle w:val="ListBullet"/>
      </w:pPr>
      <w:r>
        <w:t>Give storage/service credentials least privilege.</w:t>
      </w:r>
    </w:p>
    <w:p>
      <w:pPr>
        <w:pStyle w:val="ListBullet"/>
      </w:pPr>
      <w:r>
        <w:t>Rotate credentials after suspected exposure.</w:t>
      </w:r>
    </w:p>
    <w:p>
      <w:pPr>
        <w:pStyle w:val="ListBullet"/>
      </w:pPr>
      <w:r>
        <w:t>Future CI deployment credentials should use short-lived/OIDC mechanisms where supported rather than long-lived static keys.</w:t>
      </w:r>
    </w:p>
    <w:p>
      <w:pPr>
        <w:pStyle w:val="Heading1"/>
      </w:pPr>
      <w:r>
        <w:t>17. Incident and Deletion Behavior</w:t>
      </w:r>
    </w:p>
    <w:p>
      <w:pPr>
        <w:pStyle w:val="ListNumber"/>
      </w:pPr>
      <w:r>
        <w:t>Detect abnormal error/security signal through monitoring or report.</w:t>
      </w:r>
    </w:p>
    <w:p>
      <w:pPr>
        <w:pStyle w:val="ListNumber"/>
      </w:pPr>
      <w:r>
        <w:t>Contain affected processor/deployment and preserve only necessary non-document evidence.</w:t>
      </w:r>
    </w:p>
    <w:p>
      <w:pPr>
        <w:pStyle w:val="ListNumber"/>
      </w:pPr>
      <w:r>
        <w:t>Invalidate relevant credentials/tokens if exposure is suspected.</w:t>
      </w:r>
    </w:p>
    <w:p>
      <w:pPr>
        <w:pStyle w:val="ListNumber"/>
      </w:pPr>
      <w:r>
        <w:t>Delete temporary user artifacts where safe and required.</w:t>
      </w:r>
    </w:p>
    <w:p>
      <w:pPr>
        <w:pStyle w:val="ListNumber"/>
      </w:pPr>
      <w:r>
        <w:t>Patch/redeploy and verify with regression/adversarial fixtures.</w:t>
      </w:r>
    </w:p>
    <w:p>
      <w:pPr>
        <w:pStyle w:val="ListNumber"/>
      </w:pPr>
      <w:r>
        <w:t>Document incident and update threat model/controls.</w:t>
      </w:r>
    </w:p>
    <w:p>
      <w:pPr>
        <w:pStyle w:val="Heading1"/>
      </w:pPr>
      <w:r>
        <w:t>18. Security Test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</w:trPr>
        <w:tc>
          <w:tcPr>
            <w:tcW w:type="dxa" w:w="5083"/>
            <w:shd w:fill="E9EEF5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Test area</w:t>
            </w:r>
          </w:p>
        </w:tc>
        <w:tc>
          <w:tcPr>
            <w:tcW w:type="dxa" w:w="5083"/>
            <w:shd w:fill="E9EEF5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Examples</w:t>
            </w:r>
          </w:p>
        </w:tc>
      </w:tr>
      <w:tr>
        <w:trPr>
          <w:cantSplit/>
        </w:trPr>
        <w:tc>
          <w:tcPr>
            <w:tcW w:type="dxa" w:w="5083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File validation</w:t>
            </w:r>
          </w:p>
        </w:tc>
        <w:tc>
          <w:tcPr>
            <w:tcW w:type="dxa" w:w="5083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Wrong extension, truncated PDF, corrupt xref, encrypted file, malformed DOCX.</w:t>
            </w:r>
          </w:p>
        </w:tc>
      </w:tr>
      <w:tr>
        <w:trPr>
          <w:cantSplit/>
        </w:trPr>
        <w:tc>
          <w:tcPr>
            <w:tcW w:type="dxa" w:w="5083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Resource abuse</w:t>
            </w:r>
          </w:p>
        </w:tc>
        <w:tc>
          <w:tcPr>
            <w:tcW w:type="dxa" w:w="5083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Huge page count, large images, ZIP bomb, output explosion, timeout.</w:t>
            </w:r>
          </w:p>
        </w:tc>
      </w:tr>
      <w:tr>
        <w:trPr>
          <w:cantSplit/>
        </w:trPr>
        <w:tc>
          <w:tcPr>
            <w:tcW w:type="dxa" w:w="5083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Path/command safety</w:t>
            </w:r>
          </w:p>
        </w:tc>
        <w:tc>
          <w:tcPr>
            <w:tcW w:type="dxa" w:w="5083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Traversal names, quotes, semicolons, Unicode oddities, very long names.</w:t>
            </w:r>
          </w:p>
        </w:tc>
      </w:tr>
      <w:tr>
        <w:trPr>
          <w:cantSplit/>
        </w:trPr>
        <w:tc>
          <w:tcPr>
            <w:tcW w:type="dxa" w:w="5083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Isolation</w:t>
            </w:r>
          </w:p>
        </w:tc>
        <w:tc>
          <w:tcPr>
            <w:tcW w:type="dxa" w:w="5083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Worker cannot read unrelated workspace/secrets; no unnecessary outbound network.</w:t>
            </w:r>
          </w:p>
        </w:tc>
      </w:tr>
      <w:tr>
        <w:trPr>
          <w:cantSplit/>
        </w:trPr>
        <w:tc>
          <w:tcPr>
            <w:tcW w:type="dxa" w:w="5083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Authorization</w:t>
            </w:r>
          </w:p>
        </w:tc>
        <w:tc>
          <w:tcPr>
            <w:tcW w:type="dxa" w:w="5083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Cross-job download attempts, expired token, guessed ID.</w:t>
            </w:r>
          </w:p>
        </w:tc>
      </w:tr>
      <w:tr>
        <w:trPr>
          <w:cantSplit/>
        </w:trPr>
        <w:tc>
          <w:tcPr>
            <w:tcW w:type="dxa" w:w="5083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Privacy</w:t>
            </w:r>
          </w:p>
        </w:tc>
        <w:tc>
          <w:tcPr>
            <w:tcW w:type="dxa" w:w="5083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Network inspection proves LOCAL tools do not upload bytes; analytics payload inspection.</w:t>
            </w:r>
          </w:p>
        </w:tc>
      </w:tr>
      <w:tr>
        <w:trPr>
          <w:cantSplit/>
        </w:trPr>
        <w:tc>
          <w:tcPr>
            <w:tcW w:type="dxa" w:w="5083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Cleanup</w:t>
            </w:r>
          </w:p>
        </w:tc>
        <w:tc>
          <w:tcPr>
            <w:tcW w:type="dxa" w:w="5083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Success, failure, timeout and crash all leave no artifact beyond retention maximum.</w:t>
            </w:r>
          </w:p>
        </w:tc>
      </w:tr>
      <w:tr>
        <w:trPr>
          <w:cantSplit/>
        </w:trPr>
        <w:tc>
          <w:tcPr>
            <w:tcW w:type="dxa" w:w="5083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Browser security</w:t>
            </w:r>
          </w:p>
        </w:tc>
        <w:tc>
          <w:tcPr>
            <w:tcW w:type="dxa" w:w="5083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XSS payloads in metadata/text, CSP violations, unsafe HTML rendering.</w:t>
            </w:r>
          </w:p>
        </w:tc>
      </w:tr>
    </w:tbl>
    <w:p/>
    <w:p>
      <w:pPr>
        <w:pStyle w:val="Heading1"/>
      </w:pPr>
      <w:r>
        <w:t>19. Security Launch Gates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</w:trPr>
        <w:tc>
          <w:tcPr>
            <w:tcW w:type="dxa" w:w="5083"/>
            <w:shd w:fill="E9EEF5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Gate</w:t>
            </w:r>
          </w:p>
        </w:tc>
        <w:tc>
          <w:tcPr>
            <w:tcW w:type="dxa" w:w="5083"/>
            <w:shd w:fill="E9EEF5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Pass condition</w:t>
            </w:r>
          </w:p>
        </w:tc>
      </w:tr>
      <w:tr>
        <w:trPr>
          <w:cantSplit/>
        </w:trPr>
        <w:tc>
          <w:tcPr>
            <w:tcW w:type="dxa" w:w="5083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Local privacy</w:t>
            </w:r>
          </w:p>
        </w:tc>
        <w:tc>
          <w:tcPr>
            <w:tcW w:type="dxa" w:w="5083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Network tests show local tool document bytes never reach backend.</w:t>
            </w:r>
          </w:p>
        </w:tc>
      </w:tr>
      <w:tr>
        <w:trPr>
          <w:cantSplit/>
        </w:trPr>
        <w:tc>
          <w:tcPr>
            <w:tcW w:type="dxa" w:w="5083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Server isolation</w:t>
            </w:r>
          </w:p>
        </w:tc>
        <w:tc>
          <w:tcPr>
            <w:tcW w:type="dxa" w:w="5083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Processor runs non-root with resource limits and job-scoped workspace.</w:t>
            </w:r>
          </w:p>
        </w:tc>
      </w:tr>
      <w:tr>
        <w:trPr>
          <w:cantSplit/>
        </w:trPr>
        <w:tc>
          <w:tcPr>
            <w:tcW w:type="dxa" w:w="5083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Retention</w:t>
            </w:r>
          </w:p>
        </w:tc>
        <w:tc>
          <w:tcPr>
            <w:tcW w:type="dxa" w:w="5083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Immediate cleanup plus independent expiry verified.</w:t>
            </w:r>
          </w:p>
        </w:tc>
      </w:tr>
      <w:tr>
        <w:trPr>
          <w:cantSplit/>
        </w:trPr>
        <w:tc>
          <w:tcPr>
            <w:tcW w:type="dxa" w:w="5083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Authorization</w:t>
            </w:r>
          </w:p>
        </w:tc>
        <w:tc>
          <w:tcPr>
            <w:tcW w:type="dxa" w:w="5083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Cross-job access tests fail.</w:t>
            </w:r>
          </w:p>
        </w:tc>
      </w:tr>
      <w:tr>
        <w:trPr>
          <w:cantSplit/>
        </w:trPr>
        <w:tc>
          <w:tcPr>
            <w:tcW w:type="dxa" w:w="5083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Logging</w:t>
            </w:r>
          </w:p>
        </w:tc>
        <w:tc>
          <w:tcPr>
            <w:tcW w:type="dxa" w:w="5083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Production logs/analytics contain no document content in test suite.</w:t>
            </w:r>
          </w:p>
        </w:tc>
      </w:tr>
      <w:tr>
        <w:trPr>
          <w:cantSplit/>
        </w:trPr>
        <w:tc>
          <w:tcPr>
            <w:tcW w:type="dxa" w:w="5083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Abuse</w:t>
            </w:r>
          </w:p>
        </w:tc>
        <w:tc>
          <w:tcPr>
            <w:tcW w:type="dxa" w:w="5083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Server endpoints have configured size, concurrency and rate controls.</w:t>
            </w:r>
          </w:p>
        </w:tc>
      </w:tr>
      <w:tr>
        <w:trPr>
          <w:cantSplit/>
        </w:trPr>
        <w:tc>
          <w:tcPr>
            <w:tcW w:type="dxa" w:w="5083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Dependencies</w:t>
            </w:r>
          </w:p>
        </w:tc>
        <w:tc>
          <w:tcPr>
            <w:tcW w:type="dxa" w:w="5083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No unresolved critical vulnerabilities in shipped direct dependencies/images.</w:t>
            </w:r>
          </w:p>
        </w:tc>
      </w:tr>
      <w:tr>
        <w:trPr>
          <w:cantSplit/>
        </w:trPr>
        <w:tc>
          <w:tcPr>
            <w:tcW w:type="dxa" w:w="5083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Disclosure</w:t>
            </w:r>
          </w:p>
        </w:tc>
        <w:tc>
          <w:tcPr>
            <w:tcW w:type="dxa" w:w="5083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UI privacy labels match actual processing behavior.</w:t>
            </w:r>
          </w:p>
        </w:tc>
      </w:tr>
    </w:tbl>
    <w:p/>
    <w:p>
      <w:pPr>
        <w:pStyle w:val="Heading1"/>
      </w:pPr>
      <w:r>
        <w:t>20. Mapping to SRS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</w:trPr>
        <w:tc>
          <w:tcPr>
            <w:tcW w:type="dxa" w:w="5083"/>
            <w:shd w:fill="E9EEF5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SRS family</w:t>
            </w:r>
          </w:p>
        </w:tc>
        <w:tc>
          <w:tcPr>
            <w:tcW w:type="dxa" w:w="5083"/>
            <w:shd w:fill="E9EEF5"/>
          </w:tcPr>
          <w:p>
            <w:r>
              <w:rPr>
                <w:sz w:val="16"/>
              </w:rPr>
            </w:r>
            <w:r>
              <w:rPr>
                <w:b/>
                <w:sz w:val="16"/>
              </w:rPr>
              <w:t>Architecture coverage</w:t>
            </w:r>
          </w:p>
        </w:tc>
      </w:tr>
      <w:tr>
        <w:trPr>
          <w:cantSplit/>
        </w:trPr>
        <w:tc>
          <w:tcPr>
            <w:tcW w:type="dxa" w:w="5083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FR-PRV-*</w:t>
            </w:r>
          </w:p>
        </w:tc>
        <w:tc>
          <w:tcPr>
            <w:tcW w:type="dxa" w:w="5083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Sections 4, 8, 9, 12</w:t>
            </w:r>
          </w:p>
        </w:tc>
      </w:tr>
      <w:tr>
        <w:trPr>
          <w:cantSplit/>
        </w:trPr>
        <w:tc>
          <w:tcPr>
            <w:tcW w:type="dxa" w:w="5083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NFR-SEC-*</w:t>
            </w:r>
          </w:p>
        </w:tc>
        <w:tc>
          <w:tcPr>
            <w:tcW w:type="dxa" w:w="5083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Sections 3, 6, 7, 13, 14, 15, 16</w:t>
            </w:r>
          </w:p>
        </w:tc>
      </w:tr>
      <w:tr>
        <w:trPr>
          <w:cantSplit/>
        </w:trPr>
        <w:tc>
          <w:tcPr>
            <w:tcW w:type="dxa" w:w="5083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NFR-REL-*</w:t>
            </w:r>
          </w:p>
        </w:tc>
        <w:tc>
          <w:tcPr>
            <w:tcW w:type="dxa" w:w="5083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Sections 7, 8, 17</w:t>
            </w:r>
          </w:p>
        </w:tc>
      </w:tr>
      <w:tr>
        <w:trPr>
          <w:cantSplit/>
        </w:trPr>
        <w:tc>
          <w:tcPr>
            <w:tcW w:type="dxa" w:w="5083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NFR-OBS-*</w:t>
            </w:r>
          </w:p>
        </w:tc>
        <w:tc>
          <w:tcPr>
            <w:tcW w:type="dxa" w:w="5083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Section 12</w:t>
            </w:r>
          </w:p>
        </w:tc>
      </w:tr>
      <w:tr>
        <w:trPr>
          <w:cantSplit/>
        </w:trPr>
        <w:tc>
          <w:tcPr>
            <w:tcW w:type="dxa" w:w="5083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CON-COST-*</w:t>
            </w:r>
          </w:p>
        </w:tc>
        <w:tc>
          <w:tcPr>
            <w:tcW w:type="dxa" w:w="5083"/>
            <w:vAlign w:val="top"/>
          </w:tcPr>
          <w:p>
            <w:r>
              <w:rPr>
                <w:sz w:val="16"/>
              </w:rPr>
            </w:r>
            <w:r>
              <w:rPr>
                <w:b w:val="0"/>
                <w:sz w:val="16"/>
              </w:rPr>
              <w:t>Sections 7, 8, 11</w:t>
            </w:r>
          </w:p>
        </w:tc>
      </w:tr>
    </w:tbl>
    <w:p/>
    <w:p>
      <w:pPr>
        <w:pStyle w:val="Heading1"/>
      </w:pPr>
      <w:r>
        <w:t>21. Security Decisions Still Deferred</w:t>
      </w:r>
    </w:p>
    <w:p>
      <w:pPr>
        <w:pStyle w:val="ListBullet"/>
      </w:pPr>
      <w:r>
        <w:t>Exact maximum file/page limits after benchmarking.</w:t>
      </w:r>
    </w:p>
    <w:p>
      <w:pPr>
        <w:pStyle w:val="ListBullet"/>
      </w:pPr>
      <w:r>
        <w:t>Exact CPU/memory/time quotas for processor containers.</w:t>
      </w:r>
    </w:p>
    <w:p>
      <w:pPr>
        <w:pStyle w:val="ListBullet"/>
      </w:pPr>
      <w:r>
        <w:t>Final retention maximum (target: short; suggested ≤60 minutes pending validation).</w:t>
      </w:r>
    </w:p>
    <w:p>
      <w:pPr>
        <w:pStyle w:val="ListBullet"/>
      </w:pPr>
      <w:r>
        <w:t>Specific rate-limit numbers based on hosting capacity and abuse testing.</w:t>
      </w:r>
    </w:p>
    <w:p>
      <w:pPr>
        <w:pStyle w:val="ListBullet"/>
      </w:pPr>
      <w:r>
        <w:t>Final production hosting provider and its sandbox/network/storage guarantees.</w:t>
      </w:r>
    </w:p>
    <w:p>
      <w:pPr>
        <w:pStyle w:val="ListBullet"/>
      </w:pPr>
      <w:r>
        <w:t>Whether malware scanning adds useful protection for the selected engines/workflows; it is not a substitute for sandboxing.</w:t>
      </w:r>
    </w:p>
    <w:p>
      <w:pPr>
        <w:pStyle w:val="Heading1"/>
      </w:pPr>
      <w:r>
        <w:t>22. Sources Reviewed</w:t>
      </w:r>
    </w:p>
    <w:p>
      <w:pPr>
        <w:pStyle w:val="ListBullet"/>
      </w:pPr>
      <w:r>
        <w:t>PyMuPDF official licensing information (AGPL/commercial).</w:t>
      </w:r>
    </w:p>
    <w:p>
      <w:pPr>
        <w:pStyle w:val="ListBullet"/>
      </w:pPr>
      <w:r>
        <w:t>Ghostscript official licensing and FAQ (AGPL/commercial; SaaS/proprietary implications).</w:t>
      </w:r>
    </w:p>
    <w:p>
      <w:pPr>
        <w:pStyle w:val="ListBullet"/>
      </w:pPr>
      <w:r>
        <w:t>LibreOffice official license information (MPL 2.0 and bundled notices).</w:t>
      </w:r>
    </w:p>
    <w:p>
      <w:pPr>
        <w:pStyle w:val="ListBullet"/>
      </w:pPr>
      <w:r>
        <w:t>qpdf official GitHub repository (Apache-2.0).</w:t>
      </w:r>
    </w:p>
    <w:p>
      <w:pPr>
        <w:pStyle w:val="ListBullet"/>
      </w:pPr>
      <w:r>
        <w:t>Tesseract official repository/documentation (Apache-2.0).</w:t>
      </w:r>
    </w:p>
    <w:p>
      <w:pPr>
        <w:pStyle w:val="ListBullet"/>
      </w:pPr>
      <w:r>
        <w:t>Cloudflare R2 pricing documentation (current storage/operation free tier and egress model).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Architecture baseline •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6"/>
      </w:rPr>
      <w:t>Document &amp; File Platform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314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F314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1F3145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F3145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