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145"/>
          <w:sz w:val="48"/>
        </w:rPr>
        <w:t>UI/UX &amp; Product Experience Specification</w:t>
      </w:r>
    </w:p>
    <w:p>
      <w:pPr>
        <w:jc w:val="center"/>
      </w:pPr>
      <w:r>
        <w:rPr>
          <w:i/>
          <w:sz w:val="22"/>
        </w:rPr>
        <w:t>Interaction architecture, information design, visual direction and reusable product patterns</w:t>
      </w:r>
    </w:p>
    <w:tbl>
      <w:tblPr>
        <w:tblStyle w:val="TableGrid"/>
        <w:tblW w:type="auto" w:w="0"/>
        <w:jc w:val="center"/>
        <w:tblLook w:firstColumn="1" w:firstRow="1" w:lastColumn="0" w:lastRow="0" w:noHBand="0" w:noVBand="1" w:val="04A0"/>
      </w:tblPr>
      <w:tblGrid>
        <w:gridCol w:w="5040"/>
        <w:gridCol w:w="5040"/>
      </w:tblGrid>
      <w:tr>
        <w:tc>
          <w:tcPr>
            <w:tcW w:type="dxa" w:w="5040"/>
            <w:shd w:fill="EEF2F6"/>
          </w:tcPr>
          <w:p>
            <w:r/>
            <w:r>
              <w:rPr>
                <w:b/>
                <w:sz w:val="17"/>
              </w:rPr>
              <w:t>Field</w:t>
            </w:r>
          </w:p>
        </w:tc>
        <w:tc>
          <w:tcPr>
            <w:tcW w:type="dxa" w:w="5040"/>
            <w:shd w:fill="EEF2F6"/>
          </w:tcPr>
          <w:p>
            <w:r/>
            <w:r>
              <w:rPr>
                <w:b/>
                <w:sz w:val="17"/>
              </w:rPr>
              <w:t>Value</w:t>
            </w:r>
          </w:p>
        </w:tc>
      </w:tr>
      <w:tr>
        <w:tc>
          <w:tcPr>
            <w:tcW w:type="dxa" w:w="5040"/>
            <w:vAlign w:val="top"/>
          </w:tcPr>
          <w:p>
            <w:r/>
            <w:r>
              <w:rPr>
                <w:b w:val="0"/>
                <w:sz w:val="17"/>
              </w:rPr>
              <w:t>Version</w:t>
            </w:r>
          </w:p>
        </w:tc>
        <w:tc>
          <w:tcPr>
            <w:tcW w:type="dxa" w:w="5040"/>
            <w:vAlign w:val="top"/>
          </w:tcPr>
          <w:p>
            <w:r/>
            <w:r>
              <w:rPr>
                <w:b w:val="0"/>
                <w:sz w:val="17"/>
              </w:rPr>
              <w:t>0.1 — UX Baseline</w:t>
            </w:r>
          </w:p>
        </w:tc>
      </w:tr>
      <w:tr>
        <w:tc>
          <w:tcPr>
            <w:tcW w:type="dxa" w:w="5040"/>
            <w:vAlign w:val="top"/>
          </w:tcPr>
          <w:p>
            <w:r/>
            <w:r>
              <w:rPr>
                <w:b w:val="0"/>
                <w:sz w:val="17"/>
              </w:rPr>
              <w:t>Date</w:t>
            </w:r>
          </w:p>
        </w:tc>
        <w:tc>
          <w:tcPr>
            <w:tcW w:type="dxa" w:w="5040"/>
            <w:vAlign w:val="top"/>
          </w:tcPr>
          <w:p>
            <w:r/>
            <w:r>
              <w:rPr>
                <w:b w:val="0"/>
                <w:sz w:val="17"/>
              </w:rPr>
              <w:t>24 September 2026</w:t>
            </w:r>
          </w:p>
        </w:tc>
      </w:tr>
      <w:tr>
        <w:tc>
          <w:tcPr>
            <w:tcW w:type="dxa" w:w="5040"/>
            <w:vAlign w:val="top"/>
          </w:tcPr>
          <w:p>
            <w:r/>
            <w:r>
              <w:rPr>
                <w:b w:val="0"/>
                <w:sz w:val="17"/>
              </w:rPr>
              <w:t>Status</w:t>
            </w:r>
          </w:p>
        </w:tc>
        <w:tc>
          <w:tcPr>
            <w:tcW w:type="dxa" w:w="5040"/>
            <w:vAlign w:val="top"/>
          </w:tcPr>
          <w:p>
            <w:r/>
            <w:r>
              <w:rPr>
                <w:b w:val="0"/>
                <w:sz w:val="17"/>
              </w:rPr>
              <w:t>Baseline for visual design, component implementation and QA</w:t>
            </w:r>
          </w:p>
        </w:tc>
      </w:tr>
      <w:tr>
        <w:tc>
          <w:tcPr>
            <w:tcW w:type="dxa" w:w="5040"/>
            <w:vAlign w:val="top"/>
          </w:tcPr>
          <w:p>
            <w:r/>
            <w:r>
              <w:rPr>
                <w:b w:val="0"/>
                <w:sz w:val="17"/>
              </w:rPr>
              <w:t>Product mode</w:t>
            </w:r>
          </w:p>
        </w:tc>
        <w:tc>
          <w:tcPr>
            <w:tcW w:type="dxa" w:w="5040"/>
            <w:vAlign w:val="top"/>
          </w:tcPr>
          <w:p>
            <w:r/>
            <w:r>
              <w:rPr>
                <w:b w:val="0"/>
                <w:sz w:val="17"/>
              </w:rPr>
              <w:t>Global, privacy-first document utility platform</w:t>
            </w:r>
          </w:p>
        </w:tc>
      </w:tr>
      <w:tr>
        <w:tc>
          <w:tcPr>
            <w:tcW w:type="dxa" w:w="5040"/>
            <w:vAlign w:val="top"/>
          </w:tcPr>
          <w:p>
            <w:r/>
            <w:r>
              <w:rPr>
                <w:b w:val="0"/>
                <w:sz w:val="17"/>
              </w:rPr>
              <w:t>Experience objective</w:t>
            </w:r>
          </w:p>
        </w:tc>
        <w:tc>
          <w:tcPr>
            <w:tcW w:type="dxa" w:w="5040"/>
            <w:vAlign w:val="top"/>
          </w:tcPr>
          <w:p>
            <w:r/>
            <w:r>
              <w:rPr>
                <w:b w:val="0"/>
                <w:sz w:val="17"/>
              </w:rPr>
              <w:t>Fast, calm, trustworthy, functional — deliberately not generic AI/SaaS styling</w:t>
            </w:r>
          </w:p>
        </w:tc>
      </w:tr>
    </w:tbl>
    <w:p/>
    <w:p>
      <w:pPr>
        <w:pStyle w:val="Heading1"/>
      </w:pPr>
      <w:r>
        <w:t>1. Experience North Star</w:t>
      </w:r>
    </w:p>
    <w:p>
      <w:r>
        <w:t>The interface must feel like a precise professional utility, not a marketing template. A user arriving from search should understand the task, privacy mode and next action within seconds. The product should communicate competence through restraint: clear hierarchy, strong typography, useful whitespace, excellent states and reliable interaction—not decorative gradients, floating glass cards or AI-themed visual noise.</w:t>
      </w:r>
    </w:p>
    <w:p>
      <w:pPr>
        <w:pStyle w:val="Heading1"/>
      </w:pPr>
      <w:r>
        <w:t>2. Anti-Generic Design Rules</w:t>
      </w:r>
    </w:p>
    <w:p>
      <w:pPr>
        <w:pStyle w:val="ListBullet"/>
      </w:pPr>
      <w:r>
        <w:t>No purple/blue AI gradient as the default brand language.</w:t>
      </w:r>
    </w:p>
    <w:p>
      <w:pPr>
        <w:pStyle w:val="ListBullet"/>
      </w:pPr>
      <w:r>
        <w:t>No giant abstract 3D blobs, glowing orbs, fake dashboards or decorative browser mockups on tool pages.</w:t>
      </w:r>
    </w:p>
    <w:p>
      <w:pPr>
        <w:pStyle w:val="ListBullet"/>
      </w:pPr>
      <w:r>
        <w:t>No excessive glassmorphism, translucent cards or shadow-on-shadow card stacks.</w:t>
      </w:r>
    </w:p>
    <w:p>
      <w:pPr>
        <w:pStyle w:val="ListBullet"/>
      </w:pPr>
      <w:r>
        <w:t>No generic hero copy such as 'Revolutionize your workflow' or 'Unlock the power of documents'.</w:t>
      </w:r>
    </w:p>
    <w:p>
      <w:pPr>
        <w:pStyle w:val="ListBullet"/>
      </w:pPr>
      <w:r>
        <w:t>No emoji/icon overload. Icons are functional navigation aids, not decoration.</w:t>
      </w:r>
    </w:p>
    <w:p>
      <w:pPr>
        <w:pStyle w:val="ListBullet"/>
      </w:pPr>
      <w:r>
        <w:t>No card grid where a simpler list, category or search interaction is clearer.</w:t>
      </w:r>
    </w:p>
    <w:p>
      <w:pPr>
        <w:pStyle w:val="ListBullet"/>
      </w:pPr>
      <w:r>
        <w:t>No forced dark-mode aesthetic merely because the product is technical.</w:t>
      </w:r>
    </w:p>
    <w:p>
      <w:pPr>
        <w:pStyle w:val="ListBullet"/>
      </w:pPr>
      <w:r>
        <w:t>No fake social-proof numbers, fake testimonials or invented customer logos.</w:t>
      </w:r>
    </w:p>
    <w:p>
      <w:pPr>
        <w:pStyle w:val="ListBullet"/>
      </w:pPr>
      <w:r>
        <w:t>No animation that delays upload, processing, download or navigation.</w:t>
      </w:r>
    </w:p>
    <w:p>
      <w:pPr>
        <w:pStyle w:val="ListBullet"/>
      </w:pPr>
      <w:r>
        <w:t>No UI element may look more important than the user's actual document task.</w:t>
      </w:r>
    </w:p>
    <w:p>
      <w:pPr>
        <w:pStyle w:val="Heading1"/>
      </w:pPr>
      <w:r>
        <w:t>3. Visual Character</w:t>
      </w:r>
    </w:p>
    <w:tbl>
      <w:tblPr>
        <w:tblStyle w:val="TableGrid"/>
        <w:tblW w:type="auto" w:w="0"/>
        <w:jc w:val="center"/>
        <w:tblLook w:firstColumn="1" w:firstRow="1" w:lastColumn="0" w:lastRow="0" w:noHBand="0" w:noVBand="1" w:val="04A0"/>
      </w:tblPr>
      <w:tblGrid>
        <w:gridCol w:w="5040"/>
        <w:gridCol w:w="5040"/>
      </w:tblGrid>
      <w:tr>
        <w:tc>
          <w:tcPr>
            <w:tcW w:type="dxa" w:w="5040"/>
            <w:shd w:fill="EEF2F6"/>
          </w:tcPr>
          <w:p>
            <w:r/>
            <w:r>
              <w:rPr>
                <w:b/>
                <w:sz w:val="17"/>
              </w:rPr>
              <w:t>Dimension</w:t>
            </w:r>
          </w:p>
        </w:tc>
        <w:tc>
          <w:tcPr>
            <w:tcW w:type="dxa" w:w="5040"/>
            <w:shd w:fill="EEF2F6"/>
          </w:tcPr>
          <w:p>
            <w:r/>
            <w:r>
              <w:rPr>
                <w:b/>
                <w:sz w:val="17"/>
              </w:rPr>
              <w:t>Direction</w:t>
            </w:r>
          </w:p>
        </w:tc>
      </w:tr>
      <w:tr>
        <w:tc>
          <w:tcPr>
            <w:tcW w:type="dxa" w:w="5040"/>
            <w:vAlign w:val="top"/>
          </w:tcPr>
          <w:p>
            <w:r/>
            <w:r>
              <w:rPr>
                <w:b w:val="0"/>
                <w:sz w:val="17"/>
              </w:rPr>
              <w:t>Personality</w:t>
            </w:r>
          </w:p>
        </w:tc>
        <w:tc>
          <w:tcPr>
            <w:tcW w:type="dxa" w:w="5040"/>
            <w:vAlign w:val="top"/>
          </w:tcPr>
          <w:p>
            <w:r/>
            <w:r>
              <w:rPr>
                <w:b w:val="0"/>
                <w:sz w:val="17"/>
              </w:rPr>
              <w:t>Calm, precise, trustworthy, fast, technical without looking developer-only.</w:t>
            </w:r>
          </w:p>
        </w:tc>
      </w:tr>
      <w:tr>
        <w:tc>
          <w:tcPr>
            <w:tcW w:type="dxa" w:w="5040"/>
            <w:vAlign w:val="top"/>
          </w:tcPr>
          <w:p>
            <w:r/>
            <w:r>
              <w:rPr>
                <w:b w:val="0"/>
                <w:sz w:val="17"/>
              </w:rPr>
              <w:t>Layout</w:t>
            </w:r>
          </w:p>
        </w:tc>
        <w:tc>
          <w:tcPr>
            <w:tcW w:type="dxa" w:w="5040"/>
            <w:vAlign w:val="top"/>
          </w:tcPr>
          <w:p>
            <w:r/>
            <w:r>
              <w:rPr>
                <w:b w:val="0"/>
                <w:sz w:val="17"/>
              </w:rPr>
              <w:t>Editorial/utilitarian. Strong alignment, generous but not wasteful whitespace, visible structure.</w:t>
            </w:r>
          </w:p>
        </w:tc>
      </w:tr>
      <w:tr>
        <w:tc>
          <w:tcPr>
            <w:tcW w:type="dxa" w:w="5040"/>
            <w:vAlign w:val="top"/>
          </w:tcPr>
          <w:p>
            <w:r/>
            <w:r>
              <w:rPr>
                <w:b w:val="0"/>
                <w:sz w:val="17"/>
              </w:rPr>
              <w:t>Typography</w:t>
            </w:r>
          </w:p>
        </w:tc>
        <w:tc>
          <w:tcPr>
            <w:tcW w:type="dxa" w:w="5040"/>
            <w:vAlign w:val="top"/>
          </w:tcPr>
          <w:p>
            <w:r/>
            <w:r>
              <w:rPr>
                <w:b w:val="0"/>
                <w:sz w:val="17"/>
              </w:rPr>
              <w:t>Highly legible sans-serif UI; expressive but restrained display treatment only where needed.</w:t>
            </w:r>
          </w:p>
        </w:tc>
      </w:tr>
      <w:tr>
        <w:tc>
          <w:tcPr>
            <w:tcW w:type="dxa" w:w="5040"/>
            <w:vAlign w:val="top"/>
          </w:tcPr>
          <w:p>
            <w:r/>
            <w:r>
              <w:rPr>
                <w:b w:val="0"/>
                <w:sz w:val="17"/>
              </w:rPr>
              <w:t>Color</w:t>
            </w:r>
          </w:p>
        </w:tc>
        <w:tc>
          <w:tcPr>
            <w:tcW w:type="dxa" w:w="5040"/>
            <w:vAlign w:val="top"/>
          </w:tcPr>
          <w:p>
            <w:r/>
            <w:r>
              <w:rPr>
                <w:b w:val="0"/>
                <w:sz w:val="17"/>
              </w:rPr>
              <w:t>Neutral foundation plus one distinctive brand accent chosen during branding. Status colors reserved for status.</w:t>
            </w:r>
          </w:p>
        </w:tc>
      </w:tr>
      <w:tr>
        <w:tc>
          <w:tcPr>
            <w:tcW w:type="dxa" w:w="5040"/>
            <w:vAlign w:val="top"/>
          </w:tcPr>
          <w:p>
            <w:r/>
            <w:r>
              <w:rPr>
                <w:b w:val="0"/>
                <w:sz w:val="17"/>
              </w:rPr>
              <w:t>Surfaces</w:t>
            </w:r>
          </w:p>
        </w:tc>
        <w:tc>
          <w:tcPr>
            <w:tcW w:type="dxa" w:w="5040"/>
            <w:vAlign w:val="top"/>
          </w:tcPr>
          <w:p>
            <w:r/>
            <w:r>
              <w:rPr>
                <w:b w:val="0"/>
                <w:sz w:val="17"/>
              </w:rPr>
              <w:t>Mostly flat surfaces with borders/dividers; shadows only where elevation communicates interaction.</w:t>
            </w:r>
          </w:p>
        </w:tc>
      </w:tr>
      <w:tr>
        <w:tc>
          <w:tcPr>
            <w:tcW w:type="dxa" w:w="5040"/>
            <w:vAlign w:val="top"/>
          </w:tcPr>
          <w:p>
            <w:r/>
            <w:r>
              <w:rPr>
                <w:b w:val="0"/>
                <w:sz w:val="17"/>
              </w:rPr>
              <w:t>Radius</w:t>
            </w:r>
          </w:p>
        </w:tc>
        <w:tc>
          <w:tcPr>
            <w:tcW w:type="dxa" w:w="5040"/>
            <w:vAlign w:val="top"/>
          </w:tcPr>
          <w:p>
            <w:r/>
            <w:r>
              <w:rPr>
                <w:b w:val="0"/>
                <w:sz w:val="17"/>
              </w:rPr>
              <w:t>Moderate and consistent. Avoid the over-rounded 'AI SaaS' look.</w:t>
            </w:r>
          </w:p>
        </w:tc>
      </w:tr>
      <w:tr>
        <w:tc>
          <w:tcPr>
            <w:tcW w:type="dxa" w:w="5040"/>
            <w:vAlign w:val="top"/>
          </w:tcPr>
          <w:p>
            <w:r/>
            <w:r>
              <w:rPr>
                <w:b w:val="0"/>
                <w:sz w:val="17"/>
              </w:rPr>
              <w:t>Icons</w:t>
            </w:r>
          </w:p>
        </w:tc>
        <w:tc>
          <w:tcPr>
            <w:tcW w:type="dxa" w:w="5040"/>
            <w:vAlign w:val="top"/>
          </w:tcPr>
          <w:p>
            <w:r/>
            <w:r>
              <w:rPr>
                <w:b w:val="0"/>
                <w:sz w:val="17"/>
              </w:rPr>
              <w:t>Simple line icons with consistent stroke; no mixed icon families.</w:t>
            </w:r>
          </w:p>
        </w:tc>
      </w:tr>
      <w:tr>
        <w:tc>
          <w:tcPr>
            <w:tcW w:type="dxa" w:w="5040"/>
            <w:vAlign w:val="top"/>
          </w:tcPr>
          <w:p>
            <w:r/>
            <w:r>
              <w:rPr>
                <w:b w:val="0"/>
                <w:sz w:val="17"/>
              </w:rPr>
              <w:t>Motion</w:t>
            </w:r>
          </w:p>
        </w:tc>
        <w:tc>
          <w:tcPr>
            <w:tcW w:type="dxa" w:w="5040"/>
            <w:vAlign w:val="top"/>
          </w:tcPr>
          <w:p>
            <w:r/>
            <w:r>
              <w:rPr>
                <w:b w:val="0"/>
                <w:sz w:val="17"/>
              </w:rPr>
              <w:t>Fast functional transitions, progress feedback and reorder affordances; respect reduced-motion.</w:t>
            </w:r>
          </w:p>
        </w:tc>
      </w:tr>
    </w:tbl>
    <w:p/>
    <w:p>
      <w:pPr>
        <w:pStyle w:val="Heading1"/>
      </w:pPr>
      <w:r>
        <w:t>4. Information Architecture</w:t>
      </w:r>
    </w:p>
    <w:p>
      <w:r>
        <w:t>Primary navigation should remain small even as the tool catalog grows.</w:t>
      </w:r>
    </w:p>
    <w:tbl>
      <w:tblPr>
        <w:tblStyle w:val="TableGrid"/>
        <w:tblW w:type="auto" w:w="0"/>
        <w:jc w:val="center"/>
        <w:tblLook w:firstColumn="1" w:firstRow="1" w:lastColumn="0" w:lastRow="0" w:noHBand="0" w:noVBand="1" w:val="04A0"/>
      </w:tblPr>
      <w:tblGrid>
        <w:gridCol w:w="5040"/>
        <w:gridCol w:w="5040"/>
      </w:tblGrid>
      <w:tr>
        <w:tc>
          <w:tcPr>
            <w:tcW w:type="dxa" w:w="5040"/>
            <w:shd w:fill="EEF2F6"/>
          </w:tcPr>
          <w:p>
            <w:r/>
            <w:r>
              <w:rPr>
                <w:b/>
                <w:sz w:val="17"/>
              </w:rPr>
              <w:t>Area</w:t>
            </w:r>
          </w:p>
        </w:tc>
        <w:tc>
          <w:tcPr>
            <w:tcW w:type="dxa" w:w="5040"/>
            <w:shd w:fill="EEF2F6"/>
          </w:tcPr>
          <w:p>
            <w:r/>
            <w:r>
              <w:rPr>
                <w:b/>
                <w:sz w:val="17"/>
              </w:rPr>
              <w:t>Contents</w:t>
            </w:r>
          </w:p>
        </w:tc>
      </w:tr>
      <w:tr>
        <w:tc>
          <w:tcPr>
            <w:tcW w:type="dxa" w:w="5040"/>
            <w:vAlign w:val="top"/>
          </w:tcPr>
          <w:p>
            <w:r/>
            <w:r>
              <w:rPr>
                <w:b w:val="0"/>
                <w:sz w:val="17"/>
              </w:rPr>
              <w:t>Home</w:t>
            </w:r>
          </w:p>
        </w:tc>
        <w:tc>
          <w:tcPr>
            <w:tcW w:type="dxa" w:w="5040"/>
            <w:vAlign w:val="top"/>
          </w:tcPr>
          <w:p>
            <w:r/>
            <w:r>
              <w:rPr>
                <w:b w:val="0"/>
                <w:sz w:val="17"/>
              </w:rPr>
              <w:t>Tool search, popular tasks, categories, privacy proposition, selected guides.</w:t>
            </w:r>
          </w:p>
        </w:tc>
      </w:tr>
      <w:tr>
        <w:tc>
          <w:tcPr>
            <w:tcW w:type="dxa" w:w="5040"/>
            <w:vAlign w:val="top"/>
          </w:tcPr>
          <w:p>
            <w:r/>
            <w:r>
              <w:rPr>
                <w:b w:val="0"/>
                <w:sz w:val="17"/>
              </w:rPr>
              <w:t>All Tools</w:t>
            </w:r>
          </w:p>
        </w:tc>
        <w:tc>
          <w:tcPr>
            <w:tcW w:type="dxa" w:w="5040"/>
            <w:vAlign w:val="top"/>
          </w:tcPr>
          <w:p>
            <w:r/>
            <w:r>
              <w:rPr>
                <w:b w:val="0"/>
                <w:sz w:val="17"/>
              </w:rPr>
              <w:t>Searchable/filterable catalog grouped by Convert, Organize, Optimize, Extract and later Protect/Understand.</w:t>
            </w:r>
          </w:p>
        </w:tc>
      </w:tr>
      <w:tr>
        <w:tc>
          <w:tcPr>
            <w:tcW w:type="dxa" w:w="5040"/>
            <w:vAlign w:val="top"/>
          </w:tcPr>
          <w:p>
            <w:r/>
            <w:r>
              <w:rPr>
                <w:b w:val="0"/>
                <w:sz w:val="17"/>
              </w:rPr>
              <w:t>Learn</w:t>
            </w:r>
          </w:p>
        </w:tc>
        <w:tc>
          <w:tcPr>
            <w:tcW w:type="dxa" w:w="5040"/>
            <w:vAlign w:val="top"/>
          </w:tcPr>
          <w:p>
            <w:r/>
            <w:r>
              <w:rPr>
                <w:b w:val="0"/>
                <w:sz w:val="17"/>
              </w:rPr>
              <w:t>Original guides and document technology education.</w:t>
            </w:r>
          </w:p>
        </w:tc>
      </w:tr>
      <w:tr>
        <w:tc>
          <w:tcPr>
            <w:tcW w:type="dxa" w:w="5040"/>
            <w:vAlign w:val="top"/>
          </w:tcPr>
          <w:p>
            <w:r/>
            <w:r>
              <w:rPr>
                <w:b w:val="0"/>
                <w:sz w:val="17"/>
              </w:rPr>
              <w:t>About / Trust</w:t>
            </w:r>
          </w:p>
        </w:tc>
        <w:tc>
          <w:tcPr>
            <w:tcW w:type="dxa" w:w="5040"/>
            <w:vAlign w:val="top"/>
          </w:tcPr>
          <w:p>
            <w:r/>
            <w:r>
              <w:rPr>
                <w:b w:val="0"/>
                <w:sz w:val="17"/>
              </w:rPr>
              <w:t>Product principles, privacy model, processing explanation and company/product information.</w:t>
            </w:r>
          </w:p>
        </w:tc>
      </w:tr>
      <w:tr>
        <w:tc>
          <w:tcPr>
            <w:tcW w:type="dxa" w:w="5040"/>
            <w:vAlign w:val="top"/>
          </w:tcPr>
          <w:p>
            <w:r/>
            <w:r>
              <w:rPr>
                <w:b w:val="0"/>
                <w:sz w:val="17"/>
              </w:rPr>
              <w:t>Utility footer</w:t>
            </w:r>
          </w:p>
        </w:tc>
        <w:tc>
          <w:tcPr>
            <w:tcW w:type="dxa" w:w="5040"/>
            <w:vAlign w:val="top"/>
          </w:tcPr>
          <w:p>
            <w:r/>
            <w:r>
              <w:rPr>
                <w:b w:val="0"/>
                <w:sz w:val="17"/>
              </w:rPr>
              <w:t>Privacy, Terms, Contact, status/help where appropriate.</w:t>
            </w:r>
          </w:p>
        </w:tc>
      </w:tr>
    </w:tbl>
    <w:p/>
    <w:p>
      <w:r>
        <w:t>Do not put every tool in the top navigation. A tool search/command-style discovery surface is the scalable navigation mechanism.</w:t>
      </w:r>
    </w:p>
    <w:p>
      <w:pPr>
        <w:pStyle w:val="Heading1"/>
      </w:pPr>
      <w:r>
        <w:t>5. Homepage Architecture</w:t>
      </w:r>
    </w:p>
    <w:p>
      <w:pPr>
        <w:pStyle w:val="ListNumber"/>
      </w:pPr>
      <w:r>
        <w:t>Compact header: brand, All Tools, Learn, privacy/trust entry; no oversized navigation.</w:t>
      </w:r>
    </w:p>
    <w:p>
      <w:pPr>
        <w:pStyle w:val="ListNumber"/>
      </w:pPr>
      <w:r>
        <w:t>Hero: direct promise and a prominent tool search. Avoid a marketing illustration unless it communicates a real product capability.</w:t>
      </w:r>
    </w:p>
    <w:p>
      <w:pPr>
        <w:pStyle w:val="ListNumber"/>
      </w:pPr>
      <w:r>
        <w:t>Popular tasks: 4–6 high-demand tools with concise names and one-line descriptions.</w:t>
      </w:r>
    </w:p>
    <w:p>
      <w:pPr>
        <w:pStyle w:val="ListNumber"/>
      </w:pPr>
      <w:r>
        <w:t>Category browser: Convert, Organize, Optimize, Extract; show only representative tools with 'View all'.</w:t>
      </w:r>
    </w:p>
    <w:p>
      <w:pPr>
        <w:pStyle w:val="ListNumber"/>
      </w:pPr>
      <w:r>
        <w:t>Privacy section: explain Local Processing vs Secure Server Processing with plain language.</w:t>
      </w:r>
    </w:p>
    <w:p>
      <w:pPr>
        <w:pStyle w:val="ListNumber"/>
      </w:pPr>
      <w:r>
        <w:t>Why use the product: speed, no unnecessary account, transparent processing; factual rather than boastful.</w:t>
      </w:r>
    </w:p>
    <w:p>
      <w:pPr>
        <w:pStyle w:val="ListNumber"/>
      </w:pPr>
      <w:r>
        <w:t>Selected Learn content: technically useful guides tied to real tasks.</w:t>
      </w:r>
    </w:p>
    <w:p>
      <w:pPr>
        <w:pStyle w:val="ListNumber"/>
      </w:pPr>
      <w:r>
        <w:t>Footer: product, legal and trust links.</w:t>
      </w:r>
    </w:p>
    <w:p>
      <w:r>
        <w:t>The homepage is a router to useful software. It should not require a user to scroll through a startup pitch before finding a tool.</w:t>
      </w:r>
    </w:p>
    <w:p>
      <w:pPr>
        <w:pStyle w:val="Heading1"/>
      </w:pPr>
      <w:r>
        <w:t>6. Tool Page Template</w:t>
      </w:r>
    </w:p>
    <w:tbl>
      <w:tblPr>
        <w:tblStyle w:val="TableGrid"/>
        <w:tblW w:type="auto" w:w="0"/>
        <w:jc w:val="center"/>
        <w:tblLook w:firstColumn="1" w:firstRow="1" w:lastColumn="0" w:lastRow="0" w:noHBand="0" w:noVBand="1" w:val="04A0"/>
      </w:tblPr>
      <w:tblGrid>
        <w:gridCol w:w="5040"/>
        <w:gridCol w:w="5040"/>
      </w:tblGrid>
      <w:tr>
        <w:tc>
          <w:tcPr>
            <w:tcW w:type="dxa" w:w="5040"/>
            <w:shd w:fill="EEF2F6"/>
          </w:tcPr>
          <w:p>
            <w:r/>
            <w:r>
              <w:rPr>
                <w:b/>
                <w:sz w:val="17"/>
              </w:rPr>
              <w:t>Zone</w:t>
            </w:r>
          </w:p>
        </w:tc>
        <w:tc>
          <w:tcPr>
            <w:tcW w:type="dxa" w:w="5040"/>
            <w:shd w:fill="EEF2F6"/>
          </w:tcPr>
          <w:p>
            <w:r/>
            <w:r>
              <w:rPr>
                <w:b/>
                <w:sz w:val="17"/>
              </w:rPr>
              <w:t>Required UX</w:t>
            </w:r>
          </w:p>
        </w:tc>
      </w:tr>
      <w:tr>
        <w:tc>
          <w:tcPr>
            <w:tcW w:type="dxa" w:w="5040"/>
            <w:vAlign w:val="top"/>
          </w:tcPr>
          <w:p>
            <w:r/>
            <w:r>
              <w:rPr>
                <w:b w:val="0"/>
                <w:sz w:val="17"/>
              </w:rPr>
              <w:t>Header</w:t>
            </w:r>
          </w:p>
        </w:tc>
        <w:tc>
          <w:tcPr>
            <w:tcW w:type="dxa" w:w="5040"/>
            <w:vAlign w:val="top"/>
          </w:tcPr>
          <w:p>
            <w:r/>
            <w:r>
              <w:rPr>
                <w:b w:val="0"/>
                <w:sz w:val="17"/>
              </w:rPr>
              <w:t>Compact global navigation; tool page remains visually dominant.</w:t>
            </w:r>
          </w:p>
        </w:tc>
      </w:tr>
      <w:tr>
        <w:tc>
          <w:tcPr>
            <w:tcW w:type="dxa" w:w="5040"/>
            <w:vAlign w:val="top"/>
          </w:tcPr>
          <w:p>
            <w:r/>
            <w:r>
              <w:rPr>
                <w:b w:val="0"/>
                <w:sz w:val="17"/>
              </w:rPr>
              <w:t>Task heading</w:t>
            </w:r>
          </w:p>
        </w:tc>
        <w:tc>
          <w:tcPr>
            <w:tcW w:type="dxa" w:w="5040"/>
            <w:vAlign w:val="top"/>
          </w:tcPr>
          <w:p>
            <w:r/>
            <w:r>
              <w:rPr>
                <w:b w:val="0"/>
                <w:sz w:val="17"/>
              </w:rPr>
              <w:t>Exact task name, concise outcome statement, privacy mode indicator.</w:t>
            </w:r>
          </w:p>
        </w:tc>
      </w:tr>
      <w:tr>
        <w:tc>
          <w:tcPr>
            <w:tcW w:type="dxa" w:w="5040"/>
            <w:vAlign w:val="top"/>
          </w:tcPr>
          <w:p>
            <w:r/>
            <w:r>
              <w:rPr>
                <w:b w:val="0"/>
                <w:sz w:val="17"/>
              </w:rPr>
              <w:t>Primary workspace</w:t>
            </w:r>
          </w:p>
        </w:tc>
        <w:tc>
          <w:tcPr>
            <w:tcW w:type="dxa" w:w="5040"/>
            <w:vAlign w:val="top"/>
          </w:tcPr>
          <w:p>
            <w:r/>
            <w:r>
              <w:rPr>
                <w:b w:val="0"/>
                <w:sz w:val="17"/>
              </w:rPr>
              <w:t>Upload/select area and task-specific controls. Must appear early in viewport.</w:t>
            </w:r>
          </w:p>
        </w:tc>
      </w:tr>
      <w:tr>
        <w:tc>
          <w:tcPr>
            <w:tcW w:type="dxa" w:w="5040"/>
            <w:vAlign w:val="top"/>
          </w:tcPr>
          <w:p>
            <w:r/>
            <w:r>
              <w:rPr>
                <w:b w:val="0"/>
                <w:sz w:val="17"/>
              </w:rPr>
              <w:t>Processing state</w:t>
            </w:r>
          </w:p>
        </w:tc>
        <w:tc>
          <w:tcPr>
            <w:tcW w:type="dxa" w:w="5040"/>
            <w:vAlign w:val="top"/>
          </w:tcPr>
          <w:p>
            <w:r/>
            <w:r>
              <w:rPr>
                <w:b w:val="0"/>
                <w:sz w:val="17"/>
              </w:rPr>
              <w:t>Progress/status, cancel where supported, privacy reminder, no unrelated CTA.</w:t>
            </w:r>
          </w:p>
        </w:tc>
      </w:tr>
      <w:tr>
        <w:tc>
          <w:tcPr>
            <w:tcW w:type="dxa" w:w="5040"/>
            <w:vAlign w:val="top"/>
          </w:tcPr>
          <w:p>
            <w:r/>
            <w:r>
              <w:rPr>
                <w:b w:val="0"/>
                <w:sz w:val="17"/>
              </w:rPr>
              <w:t>Result state</w:t>
            </w:r>
          </w:p>
        </w:tc>
        <w:tc>
          <w:tcPr>
            <w:tcW w:type="dxa" w:w="5040"/>
            <w:vAlign w:val="top"/>
          </w:tcPr>
          <w:p>
            <w:r/>
            <w:r>
              <w:rPr>
                <w:b w:val="0"/>
                <w:sz w:val="17"/>
              </w:rPr>
              <w:t>Clear result summary + primary download button; secondary next actions visually subordinate.</w:t>
            </w:r>
          </w:p>
        </w:tc>
      </w:tr>
      <w:tr>
        <w:tc>
          <w:tcPr>
            <w:tcW w:type="dxa" w:w="5040"/>
            <w:vAlign w:val="top"/>
          </w:tcPr>
          <w:p>
            <w:r/>
            <w:r>
              <w:rPr>
                <w:b w:val="0"/>
                <w:sz w:val="17"/>
              </w:rPr>
              <w:t>Related tools</w:t>
            </w:r>
          </w:p>
        </w:tc>
        <w:tc>
          <w:tcPr>
            <w:tcW w:type="dxa" w:w="5040"/>
            <w:vAlign w:val="top"/>
          </w:tcPr>
          <w:p>
            <w:r/>
            <w:r>
              <w:rPr>
                <w:b w:val="0"/>
                <w:sz w:val="17"/>
              </w:rPr>
              <w:t>Contextual next operations after result or below workspace.</w:t>
            </w:r>
          </w:p>
        </w:tc>
      </w:tr>
      <w:tr>
        <w:tc>
          <w:tcPr>
            <w:tcW w:type="dxa" w:w="5040"/>
            <w:vAlign w:val="top"/>
          </w:tcPr>
          <w:p>
            <w:r/>
            <w:r>
              <w:rPr>
                <w:b w:val="0"/>
                <w:sz w:val="17"/>
              </w:rPr>
              <w:t>Helpful content</w:t>
            </w:r>
          </w:p>
        </w:tc>
        <w:tc>
          <w:tcPr>
            <w:tcW w:type="dxa" w:w="5040"/>
            <w:vAlign w:val="top"/>
          </w:tcPr>
          <w:p>
            <w:r/>
            <w:r>
              <w:rPr>
                <w:b w:val="0"/>
                <w:sz w:val="17"/>
              </w:rPr>
              <w:t>How it works, limitations, privacy details, FAQ, technical notes where useful.</w:t>
            </w:r>
          </w:p>
        </w:tc>
      </w:tr>
      <w:tr>
        <w:tc>
          <w:tcPr>
            <w:tcW w:type="dxa" w:w="5040"/>
            <w:vAlign w:val="top"/>
          </w:tcPr>
          <w:p>
            <w:r/>
            <w:r>
              <w:rPr>
                <w:b w:val="0"/>
                <w:sz w:val="17"/>
              </w:rPr>
              <w:t>Footer</w:t>
            </w:r>
          </w:p>
        </w:tc>
        <w:tc>
          <w:tcPr>
            <w:tcW w:type="dxa" w:w="5040"/>
            <w:vAlign w:val="top"/>
          </w:tcPr>
          <w:p>
            <w:r/>
            <w:r>
              <w:rPr>
                <w:b w:val="0"/>
                <w:sz w:val="17"/>
              </w:rPr>
              <w:t>Legal/trust/navigation; ads never masquerade as product controls.</w:t>
            </w:r>
          </w:p>
        </w:tc>
      </w:tr>
    </w:tbl>
    <w:p/>
    <w:p>
      <w:pPr>
        <w:pStyle w:val="Heading1"/>
      </w:pPr>
      <w:r>
        <w:t>7. Upload / File Selection Component</w:t>
      </w:r>
    </w:p>
    <w:p>
      <w:pPr>
        <w:pStyle w:val="ListBullet"/>
      </w:pPr>
      <w:r>
        <w:t>Desktop supports drag-and-drop and explicit 'Choose files'. Keyboard users must never depend on dragging.</w:t>
      </w:r>
    </w:p>
    <w:p>
      <w:pPr>
        <w:pStyle w:val="ListBullet"/>
      </w:pPr>
      <w:r>
        <w:t>Mobile prioritizes the system file/photo picker with a large, obvious action.</w:t>
      </w:r>
    </w:p>
    <w:p>
      <w:pPr>
        <w:pStyle w:val="ListBullet"/>
      </w:pPr>
      <w:r>
        <w:t>Show accepted file types and meaningful limit information before selection when known.</w:t>
      </w:r>
    </w:p>
    <w:p>
      <w:pPr>
        <w:pStyle w:val="ListBullet"/>
      </w:pPr>
      <w:r>
        <w:t>After selection, show filename in a privacy-conscious UI, size, page/image count when available, and remove/replace action.</w:t>
      </w:r>
    </w:p>
    <w:p>
      <w:pPr>
        <w:pStyle w:val="ListBullet"/>
      </w:pPr>
      <w:r>
        <w:t>Multiple-file tools show an ordered file list with accessible reorder controls in addition to drag handles.</w:t>
      </w:r>
    </w:p>
    <w:p>
      <w:pPr>
        <w:pStyle w:val="ListBullet"/>
      </w:pPr>
      <w:r>
        <w:t>Do not surround the drop zone with advertisements or secondary buttons.</w:t>
      </w:r>
    </w:p>
    <w:p>
      <w:pPr>
        <w:pStyle w:val="Heading1"/>
      </w:pPr>
      <w:r>
        <w:t>8. Privacy Indicator System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EF2F6"/>
          </w:tcPr>
          <w:p>
            <w:r/>
            <w:r>
              <w:rPr>
                <w:b/>
                <w:sz w:val="17"/>
              </w:rPr>
              <w:t>State</w:t>
            </w:r>
          </w:p>
        </w:tc>
        <w:tc>
          <w:tcPr>
            <w:tcW w:type="dxa" w:w="2520"/>
            <w:shd w:fill="EEF2F6"/>
          </w:tcPr>
          <w:p>
            <w:r/>
            <w:r>
              <w:rPr>
                <w:b/>
                <w:sz w:val="17"/>
              </w:rPr>
              <w:t>Label</w:t>
            </w:r>
          </w:p>
        </w:tc>
        <w:tc>
          <w:tcPr>
            <w:tcW w:type="dxa" w:w="2520"/>
            <w:shd w:fill="EEF2F6"/>
          </w:tcPr>
          <w:p>
            <w:r/>
            <w:r>
              <w:rPr>
                <w:b/>
                <w:sz w:val="17"/>
              </w:rPr>
              <w:t>Meaning</w:t>
            </w:r>
          </w:p>
        </w:tc>
        <w:tc>
          <w:tcPr>
            <w:tcW w:type="dxa" w:w="2520"/>
            <w:shd w:fill="EEF2F6"/>
          </w:tcPr>
          <w:p>
            <w:r/>
            <w:r>
              <w:rPr>
                <w:b/>
                <w:sz w:val="17"/>
              </w:rPr>
              <w:t>Presentation</w:t>
            </w:r>
          </w:p>
        </w:tc>
      </w:tr>
      <w:tr>
        <w:tc>
          <w:tcPr>
            <w:tcW w:type="dxa" w:w="2520"/>
            <w:vAlign w:val="top"/>
          </w:tcPr>
          <w:p>
            <w:r/>
            <w:r>
              <w:rPr>
                <w:b w:val="0"/>
                <w:sz w:val="17"/>
              </w:rPr>
              <w:t>LOCAL</w:t>
            </w:r>
          </w:p>
        </w:tc>
        <w:tc>
          <w:tcPr>
            <w:tcW w:type="dxa" w:w="2520"/>
            <w:vAlign w:val="top"/>
          </w:tcPr>
          <w:p>
            <w:r/>
            <w:r>
              <w:rPr>
                <w:b w:val="0"/>
                <w:sz w:val="17"/>
              </w:rPr>
              <w:t>Processed on your device</w:t>
            </w:r>
          </w:p>
        </w:tc>
        <w:tc>
          <w:tcPr>
            <w:tcW w:type="dxa" w:w="2520"/>
            <w:vAlign w:val="top"/>
          </w:tcPr>
          <w:p>
            <w:r/>
            <w:r>
              <w:rPr>
                <w:b w:val="0"/>
                <w:sz w:val="17"/>
              </w:rPr>
              <w:t>Document bytes stay in the browser for the operation.</w:t>
            </w:r>
          </w:p>
        </w:tc>
        <w:tc>
          <w:tcPr>
            <w:tcW w:type="dxa" w:w="2520"/>
            <w:vAlign w:val="top"/>
          </w:tcPr>
          <w:p>
            <w:r/>
            <w:r>
              <w:rPr>
                <w:b w:val="0"/>
                <w:sz w:val="17"/>
              </w:rPr>
              <w:t>Trust indicator beside task heading/workspace; expandable explanation.</w:t>
            </w:r>
          </w:p>
        </w:tc>
      </w:tr>
      <w:tr>
        <w:tc>
          <w:tcPr>
            <w:tcW w:type="dxa" w:w="2520"/>
            <w:vAlign w:val="top"/>
          </w:tcPr>
          <w:p>
            <w:r/>
            <w:r>
              <w:rPr>
                <w:b w:val="0"/>
                <w:sz w:val="17"/>
              </w:rPr>
              <w:t>SERVER</w:t>
            </w:r>
          </w:p>
        </w:tc>
        <w:tc>
          <w:tcPr>
            <w:tcW w:type="dxa" w:w="2520"/>
            <w:vAlign w:val="top"/>
          </w:tcPr>
          <w:p>
            <w:r/>
            <w:r>
              <w:rPr>
                <w:b w:val="0"/>
                <w:sz w:val="17"/>
              </w:rPr>
              <w:t>Secure server processing</w:t>
            </w:r>
          </w:p>
        </w:tc>
        <w:tc>
          <w:tcPr>
            <w:tcW w:type="dxa" w:w="2520"/>
            <w:vAlign w:val="top"/>
          </w:tcPr>
          <w:p>
            <w:r/>
            <w:r>
              <w:rPr>
                <w:b w:val="0"/>
                <w:sz w:val="17"/>
              </w:rPr>
              <w:t>File must be uploaded temporarily for processing.</w:t>
            </w:r>
          </w:p>
        </w:tc>
        <w:tc>
          <w:tcPr>
            <w:tcW w:type="dxa" w:w="2520"/>
            <w:vAlign w:val="top"/>
          </w:tcPr>
          <w:p>
            <w:r/>
            <w:r>
              <w:rPr>
                <w:b w:val="0"/>
                <w:sz w:val="17"/>
              </w:rPr>
              <w:t>Explicit disclosure before upload; link to deletion policy.</w:t>
            </w:r>
          </w:p>
        </w:tc>
      </w:tr>
      <w:tr>
        <w:tc>
          <w:tcPr>
            <w:tcW w:type="dxa" w:w="2520"/>
            <w:vAlign w:val="top"/>
          </w:tcPr>
          <w:p>
            <w:r/>
            <w:r>
              <w:rPr>
                <w:b w:val="0"/>
                <w:sz w:val="17"/>
              </w:rPr>
              <w:t>HYBRID</w:t>
            </w:r>
          </w:p>
        </w:tc>
        <w:tc>
          <w:tcPr>
            <w:tcW w:type="dxa" w:w="2520"/>
            <w:vAlign w:val="top"/>
          </w:tcPr>
          <w:p>
            <w:r/>
            <w:r>
              <w:rPr>
                <w:b w:val="0"/>
                <w:sz w:val="17"/>
              </w:rPr>
              <w:t>Processing depends on option/file</w:t>
            </w:r>
          </w:p>
        </w:tc>
        <w:tc>
          <w:tcPr>
            <w:tcW w:type="dxa" w:w="2520"/>
            <w:vAlign w:val="top"/>
          </w:tcPr>
          <w:p>
            <w:r/>
            <w:r>
              <w:rPr>
                <w:b w:val="0"/>
                <w:sz w:val="17"/>
              </w:rPr>
              <w:t>Some modes are local; others require server processing.</w:t>
            </w:r>
          </w:p>
        </w:tc>
        <w:tc>
          <w:tcPr>
            <w:tcW w:type="dxa" w:w="2520"/>
            <w:vAlign w:val="top"/>
          </w:tcPr>
          <w:p>
            <w:r/>
            <w:r>
              <w:rPr>
                <w:b w:val="0"/>
                <w:sz w:val="17"/>
              </w:rPr>
              <w:t>Explain which choice changes processing location before user commits.</w:t>
            </w:r>
          </w:p>
        </w:tc>
      </w:tr>
    </w:tbl>
    <w:p/>
    <w:p>
      <w:r>
        <w:t>The indicator is informational, not a decorative badge. Its wording must come from the same tool registry that drives processing behavior so the UI cannot drift from architecture.</w:t>
      </w:r>
    </w:p>
    <w:p>
      <w:pPr>
        <w:pStyle w:val="Heading1"/>
      </w:pPr>
      <w:r>
        <w:t>9. Tool-Specific UX Patterns</w:t>
      </w:r>
    </w:p>
    <w:tbl>
      <w:tblPr>
        <w:tblStyle w:val="TableGrid"/>
        <w:tblW w:type="auto" w:w="0"/>
        <w:jc w:val="center"/>
        <w:tblLook w:firstColumn="1" w:firstRow="1" w:lastColumn="0" w:lastRow="0" w:noHBand="0" w:noVBand="1" w:val="04A0"/>
      </w:tblPr>
      <w:tblGrid>
        <w:gridCol w:w="5040"/>
        <w:gridCol w:w="5040"/>
      </w:tblGrid>
      <w:tr>
        <w:tc>
          <w:tcPr>
            <w:tcW w:type="dxa" w:w="5040"/>
            <w:shd w:fill="EEF2F6"/>
          </w:tcPr>
          <w:p>
            <w:r/>
            <w:r>
              <w:rPr>
                <w:b/>
                <w:sz w:val="17"/>
              </w:rPr>
              <w:t>Tool family</w:t>
            </w:r>
          </w:p>
        </w:tc>
        <w:tc>
          <w:tcPr>
            <w:tcW w:type="dxa" w:w="5040"/>
            <w:shd w:fill="EEF2F6"/>
          </w:tcPr>
          <w:p>
            <w:r/>
            <w:r>
              <w:rPr>
                <w:b/>
                <w:sz w:val="17"/>
              </w:rPr>
              <w:t>Key interaction</w:t>
            </w:r>
          </w:p>
        </w:tc>
      </w:tr>
      <w:tr>
        <w:tc>
          <w:tcPr>
            <w:tcW w:type="dxa" w:w="5040"/>
            <w:vAlign w:val="top"/>
          </w:tcPr>
          <w:p>
            <w:r/>
            <w:r>
              <w:rPr>
                <w:b w:val="0"/>
                <w:sz w:val="17"/>
              </w:rPr>
              <w:t>Merge</w:t>
            </w:r>
          </w:p>
        </w:tc>
        <w:tc>
          <w:tcPr>
            <w:tcW w:type="dxa" w:w="5040"/>
            <w:vAlign w:val="top"/>
          </w:tcPr>
          <w:p>
            <w:r/>
            <w:r>
              <w:rPr>
                <w:b w:val="0"/>
                <w:sz w:val="17"/>
              </w:rPr>
              <w:t>File tiles/list with order numbers; reorder; add more; merge. No page thumbnails required for first pass unless needed.</w:t>
            </w:r>
          </w:p>
        </w:tc>
      </w:tr>
      <w:tr>
        <w:tc>
          <w:tcPr>
            <w:tcW w:type="dxa" w:w="5040"/>
            <w:vAlign w:val="top"/>
          </w:tcPr>
          <w:p>
            <w:r/>
            <w:r>
              <w:rPr>
                <w:b w:val="0"/>
                <w:sz w:val="17"/>
              </w:rPr>
              <w:t>Split</w:t>
            </w:r>
          </w:p>
        </w:tc>
        <w:tc>
          <w:tcPr>
            <w:tcW w:type="dxa" w:w="5040"/>
            <w:vAlign w:val="top"/>
          </w:tcPr>
          <w:p>
            <w:r/>
            <w:r>
              <w:rPr>
                <w:b w:val="0"/>
                <w:sz w:val="17"/>
              </w:rPr>
              <w:t>Page thumbnails plus range input. Users can choose ranges without manually clicking dozens of pages.</w:t>
            </w:r>
          </w:p>
        </w:tc>
      </w:tr>
      <w:tr>
        <w:tc>
          <w:tcPr>
            <w:tcW w:type="dxa" w:w="5040"/>
            <w:vAlign w:val="top"/>
          </w:tcPr>
          <w:p>
            <w:r/>
            <w:r>
              <w:rPr>
                <w:b w:val="0"/>
                <w:sz w:val="17"/>
              </w:rPr>
              <w:t>Organize</w:t>
            </w:r>
          </w:p>
        </w:tc>
        <w:tc>
          <w:tcPr>
            <w:tcW w:type="dxa" w:w="5040"/>
            <w:vAlign w:val="top"/>
          </w:tcPr>
          <w:p>
            <w:r/>
            <w:r>
              <w:rPr>
                <w:b w:val="0"/>
                <w:sz w:val="17"/>
              </w:rPr>
              <w:t>Thumbnail grid with multi-select, keyboard-accessible move controls, rotate/delete shortcuts and clear selection state.</w:t>
            </w:r>
          </w:p>
        </w:tc>
      </w:tr>
      <w:tr>
        <w:tc>
          <w:tcPr>
            <w:tcW w:type="dxa" w:w="5040"/>
            <w:vAlign w:val="top"/>
          </w:tcPr>
          <w:p>
            <w:r/>
            <w:r>
              <w:rPr>
                <w:b w:val="0"/>
                <w:sz w:val="17"/>
              </w:rPr>
              <w:t>Compress</w:t>
            </w:r>
          </w:p>
        </w:tc>
        <w:tc>
          <w:tcPr>
            <w:tcW w:type="dxa" w:w="5040"/>
            <w:vAlign w:val="top"/>
          </w:tcPr>
          <w:p>
            <w:r/>
            <w:r>
              <w:rPr>
                <w:b w:val="0"/>
                <w:sz w:val="17"/>
              </w:rPr>
              <w:t>Simple default action first; advanced compression control only if benchmarks support meaningful options. Result compares original/output size.</w:t>
            </w:r>
          </w:p>
        </w:tc>
      </w:tr>
      <w:tr>
        <w:tc>
          <w:tcPr>
            <w:tcW w:type="dxa" w:w="5040"/>
            <w:vAlign w:val="top"/>
          </w:tcPr>
          <w:p>
            <w:r/>
            <w:r>
              <w:rPr>
                <w:b w:val="0"/>
                <w:sz w:val="17"/>
              </w:rPr>
              <w:t>Images → PDF</w:t>
            </w:r>
          </w:p>
        </w:tc>
        <w:tc>
          <w:tcPr>
            <w:tcW w:type="dxa" w:w="5040"/>
            <w:vAlign w:val="top"/>
          </w:tcPr>
          <w:p>
            <w:r/>
            <w:r>
              <w:rPr>
                <w:b w:val="0"/>
                <w:sz w:val="17"/>
              </w:rPr>
              <w:t>Photo thumbnails, reorder, orientation/page-fit settings, mobile-friendly selection.</w:t>
            </w:r>
          </w:p>
        </w:tc>
      </w:tr>
      <w:tr>
        <w:tc>
          <w:tcPr>
            <w:tcW w:type="dxa" w:w="5040"/>
            <w:vAlign w:val="top"/>
          </w:tcPr>
          <w:p>
            <w:r/>
            <w:r>
              <w:rPr>
                <w:b w:val="0"/>
                <w:sz w:val="17"/>
              </w:rPr>
              <w:t>PDF → JPG</w:t>
            </w:r>
          </w:p>
        </w:tc>
        <w:tc>
          <w:tcPr>
            <w:tcW w:type="dxa" w:w="5040"/>
            <w:vAlign w:val="top"/>
          </w:tcPr>
          <w:p>
            <w:r/>
            <w:r>
              <w:rPr>
                <w:b w:val="0"/>
                <w:sz w:val="17"/>
              </w:rPr>
              <w:t>Page selection + quality/resolution choice if technically meaningful; grouped ZIP for multiple outputs.</w:t>
            </w:r>
          </w:p>
        </w:tc>
      </w:tr>
      <w:tr>
        <w:tc>
          <w:tcPr>
            <w:tcW w:type="dxa" w:w="5040"/>
            <w:vAlign w:val="top"/>
          </w:tcPr>
          <w:p>
            <w:r/>
            <w:r>
              <w:rPr>
                <w:b w:val="0"/>
                <w:sz w:val="17"/>
              </w:rPr>
              <w:t>PDF → Word / Word → PDF</w:t>
            </w:r>
          </w:p>
        </w:tc>
        <w:tc>
          <w:tcPr>
            <w:tcW w:type="dxa" w:w="5040"/>
            <w:vAlign w:val="top"/>
          </w:tcPr>
          <w:p>
            <w:r/>
            <w:r>
              <w:rPr>
                <w:b w:val="0"/>
                <w:sz w:val="17"/>
              </w:rPr>
              <w:t>Server disclosure before upload, upload progress, conversion progress, layout-fidelity note.</w:t>
            </w:r>
          </w:p>
        </w:tc>
      </w:tr>
      <w:tr>
        <w:tc>
          <w:tcPr>
            <w:tcW w:type="dxa" w:w="5040"/>
            <w:vAlign w:val="top"/>
          </w:tcPr>
          <w:p>
            <w:r/>
            <w:r>
              <w:rPr>
                <w:b w:val="0"/>
                <w:sz w:val="17"/>
              </w:rPr>
              <w:t>Remove metadata</w:t>
            </w:r>
          </w:p>
        </w:tc>
        <w:tc>
          <w:tcPr>
            <w:tcW w:type="dxa" w:w="5040"/>
            <w:vAlign w:val="top"/>
          </w:tcPr>
          <w:p>
            <w:r/>
            <w:r>
              <w:rPr>
                <w:b w:val="0"/>
                <w:sz w:val="17"/>
              </w:rPr>
              <w:t>Explain what classes of metadata are removed and what the tool does NOT remove.</w:t>
            </w:r>
          </w:p>
        </w:tc>
      </w:tr>
      <w:tr>
        <w:tc>
          <w:tcPr>
            <w:tcW w:type="dxa" w:w="5040"/>
            <w:vAlign w:val="top"/>
          </w:tcPr>
          <w:p>
            <w:r/>
            <w:r>
              <w:rPr>
                <w:b w:val="0"/>
                <w:sz w:val="17"/>
              </w:rPr>
              <w:t>PDF → Text</w:t>
            </w:r>
          </w:p>
        </w:tc>
        <w:tc>
          <w:tcPr>
            <w:tcW w:type="dxa" w:w="5040"/>
            <w:vAlign w:val="top"/>
          </w:tcPr>
          <w:p>
            <w:r/>
            <w:r>
              <w:rPr>
                <w:b w:val="0"/>
                <w:sz w:val="17"/>
              </w:rPr>
              <w:t>Text preview after extraction with Copy and Download; scanned-PDF detection directs to future OCR rather than pretending success.</w:t>
            </w:r>
          </w:p>
        </w:tc>
      </w:tr>
    </w:tbl>
    <w:p/>
    <w:p>
      <w:pPr>
        <w:pStyle w:val="Heading1"/>
      </w:pPr>
      <w:r>
        <w:t>10. Processing State Machine</w:t>
      </w:r>
    </w:p>
    <w:tbl>
      <w:tblPr>
        <w:tblStyle w:val="TableGrid"/>
        <w:tblW w:type="auto" w:w="0"/>
        <w:jc w:val="center"/>
        <w:tblLook w:firstColumn="1" w:firstRow="1" w:lastColumn="0" w:lastRow="0" w:noHBand="0" w:noVBand="1" w:val="04A0"/>
      </w:tblPr>
      <w:tblGrid>
        <w:gridCol w:w="5040"/>
        <w:gridCol w:w="5040"/>
      </w:tblGrid>
      <w:tr>
        <w:tc>
          <w:tcPr>
            <w:tcW w:type="dxa" w:w="5040"/>
            <w:shd w:fill="EEF2F6"/>
          </w:tcPr>
          <w:p>
            <w:r/>
            <w:r>
              <w:rPr>
                <w:b/>
                <w:sz w:val="17"/>
              </w:rPr>
              <w:t>State</w:t>
            </w:r>
          </w:p>
        </w:tc>
        <w:tc>
          <w:tcPr>
            <w:tcW w:type="dxa" w:w="5040"/>
            <w:shd w:fill="EEF2F6"/>
          </w:tcPr>
          <w:p>
            <w:r/>
            <w:r>
              <w:rPr>
                <w:b/>
                <w:sz w:val="17"/>
              </w:rPr>
              <w:t>User sees</w:t>
            </w:r>
          </w:p>
        </w:tc>
      </w:tr>
      <w:tr>
        <w:tc>
          <w:tcPr>
            <w:tcW w:type="dxa" w:w="5040"/>
            <w:vAlign w:val="top"/>
          </w:tcPr>
          <w:p>
            <w:r/>
            <w:r>
              <w:rPr>
                <w:b w:val="0"/>
                <w:sz w:val="17"/>
              </w:rPr>
              <w:t>Idle</w:t>
            </w:r>
          </w:p>
        </w:tc>
        <w:tc>
          <w:tcPr>
            <w:tcW w:type="dxa" w:w="5040"/>
            <w:vAlign w:val="top"/>
          </w:tcPr>
          <w:p>
            <w:r/>
            <w:r>
              <w:rPr>
                <w:b w:val="0"/>
                <w:sz w:val="17"/>
              </w:rPr>
              <w:t>Primary file selection and short task instructions.</w:t>
            </w:r>
          </w:p>
        </w:tc>
      </w:tr>
      <w:tr>
        <w:tc>
          <w:tcPr>
            <w:tcW w:type="dxa" w:w="5040"/>
            <w:vAlign w:val="top"/>
          </w:tcPr>
          <w:p>
            <w:r/>
            <w:r>
              <w:rPr>
                <w:b w:val="0"/>
                <w:sz w:val="17"/>
              </w:rPr>
              <w:t>Selected</w:t>
            </w:r>
          </w:p>
        </w:tc>
        <w:tc>
          <w:tcPr>
            <w:tcW w:type="dxa" w:w="5040"/>
            <w:vAlign w:val="top"/>
          </w:tcPr>
          <w:p>
            <w:r/>
            <w:r>
              <w:rPr>
                <w:b w:val="0"/>
                <w:sz w:val="17"/>
              </w:rPr>
              <w:t>File summary, relevant controls, clear primary action.</w:t>
            </w:r>
          </w:p>
        </w:tc>
      </w:tr>
      <w:tr>
        <w:tc>
          <w:tcPr>
            <w:tcW w:type="dxa" w:w="5040"/>
            <w:vAlign w:val="top"/>
          </w:tcPr>
          <w:p>
            <w:r/>
            <w:r>
              <w:rPr>
                <w:b w:val="0"/>
                <w:sz w:val="17"/>
              </w:rPr>
              <w:t>Uploading</w:t>
            </w:r>
          </w:p>
        </w:tc>
        <w:tc>
          <w:tcPr>
            <w:tcW w:type="dxa" w:w="5040"/>
            <w:vAlign w:val="top"/>
          </w:tcPr>
          <w:p>
            <w:r/>
            <w:r>
              <w:rPr>
                <w:b w:val="0"/>
                <w:sz w:val="17"/>
              </w:rPr>
              <w:t>Actual upload progress for server tools; do not label local work as upload.</w:t>
            </w:r>
          </w:p>
        </w:tc>
      </w:tr>
      <w:tr>
        <w:tc>
          <w:tcPr>
            <w:tcW w:type="dxa" w:w="5040"/>
            <w:vAlign w:val="top"/>
          </w:tcPr>
          <w:p>
            <w:r/>
            <w:r>
              <w:rPr>
                <w:b w:val="0"/>
                <w:sz w:val="17"/>
              </w:rPr>
              <w:t>Queued</w:t>
            </w:r>
          </w:p>
        </w:tc>
        <w:tc>
          <w:tcPr>
            <w:tcW w:type="dxa" w:w="5040"/>
            <w:vAlign w:val="top"/>
          </w:tcPr>
          <w:p>
            <w:r/>
            <w:r>
              <w:rPr>
                <w:b w:val="0"/>
                <w:sz w:val="17"/>
              </w:rPr>
              <w:t>Only when async workers exist; explain waiting without fake percentage.</w:t>
            </w:r>
          </w:p>
        </w:tc>
      </w:tr>
      <w:tr>
        <w:tc>
          <w:tcPr>
            <w:tcW w:type="dxa" w:w="5040"/>
            <w:vAlign w:val="top"/>
          </w:tcPr>
          <w:p>
            <w:r/>
            <w:r>
              <w:rPr>
                <w:b w:val="0"/>
                <w:sz w:val="17"/>
              </w:rPr>
              <w:t>Processing</w:t>
            </w:r>
          </w:p>
        </w:tc>
        <w:tc>
          <w:tcPr>
            <w:tcW w:type="dxa" w:w="5040"/>
            <w:vAlign w:val="top"/>
          </w:tcPr>
          <w:p>
            <w:r/>
            <w:r>
              <w:rPr>
                <w:b w:val="0"/>
                <w:sz w:val="17"/>
              </w:rPr>
              <w:t>Determinate progress when measurable; otherwise specific status text.</w:t>
            </w:r>
          </w:p>
        </w:tc>
      </w:tr>
      <w:tr>
        <w:tc>
          <w:tcPr>
            <w:tcW w:type="dxa" w:w="5040"/>
            <w:vAlign w:val="top"/>
          </w:tcPr>
          <w:p>
            <w:r/>
            <w:r>
              <w:rPr>
                <w:b w:val="0"/>
                <w:sz w:val="17"/>
              </w:rPr>
              <w:t>Succeeded</w:t>
            </w:r>
          </w:p>
        </w:tc>
        <w:tc>
          <w:tcPr>
            <w:tcW w:type="dxa" w:w="5040"/>
            <w:vAlign w:val="top"/>
          </w:tcPr>
          <w:p>
            <w:r/>
            <w:r>
              <w:rPr>
                <w:b w:val="0"/>
                <w:sz w:val="17"/>
              </w:rPr>
              <w:t>Outcome metrics + dominant Download action.</w:t>
            </w:r>
          </w:p>
        </w:tc>
      </w:tr>
      <w:tr>
        <w:tc>
          <w:tcPr>
            <w:tcW w:type="dxa" w:w="5040"/>
            <w:vAlign w:val="top"/>
          </w:tcPr>
          <w:p>
            <w:r/>
            <w:r>
              <w:rPr>
                <w:b w:val="0"/>
                <w:sz w:val="17"/>
              </w:rPr>
              <w:t>Partial</w:t>
            </w:r>
          </w:p>
        </w:tc>
        <w:tc>
          <w:tcPr>
            <w:tcW w:type="dxa" w:w="5040"/>
            <w:vAlign w:val="top"/>
          </w:tcPr>
          <w:p>
            <w:r/>
            <w:r>
              <w:rPr>
                <w:b w:val="0"/>
                <w:sz w:val="17"/>
              </w:rPr>
              <w:t>Explain which outputs succeeded/failed for multi-file jobs.</w:t>
            </w:r>
          </w:p>
        </w:tc>
      </w:tr>
      <w:tr>
        <w:tc>
          <w:tcPr>
            <w:tcW w:type="dxa" w:w="5040"/>
            <w:vAlign w:val="top"/>
          </w:tcPr>
          <w:p>
            <w:r/>
            <w:r>
              <w:rPr>
                <w:b w:val="0"/>
                <w:sz w:val="17"/>
              </w:rPr>
              <w:t>Failed</w:t>
            </w:r>
          </w:p>
        </w:tc>
        <w:tc>
          <w:tcPr>
            <w:tcW w:type="dxa" w:w="5040"/>
            <w:vAlign w:val="top"/>
          </w:tcPr>
          <w:p>
            <w:r/>
            <w:r>
              <w:rPr>
                <w:b w:val="0"/>
                <w:sz w:val="17"/>
              </w:rPr>
              <w:t>Plain-language cause category + retry/recovery option.</w:t>
            </w:r>
          </w:p>
        </w:tc>
      </w:tr>
      <w:tr>
        <w:tc>
          <w:tcPr>
            <w:tcW w:type="dxa" w:w="5040"/>
            <w:vAlign w:val="top"/>
          </w:tcPr>
          <w:p>
            <w:r/>
            <w:r>
              <w:rPr>
                <w:b w:val="0"/>
                <w:sz w:val="17"/>
              </w:rPr>
              <w:t>Cancelled</w:t>
            </w:r>
          </w:p>
        </w:tc>
        <w:tc>
          <w:tcPr>
            <w:tcW w:type="dxa" w:w="5040"/>
            <w:vAlign w:val="top"/>
          </w:tcPr>
          <w:p>
            <w:r/>
            <w:r>
              <w:rPr>
                <w:b w:val="0"/>
                <w:sz w:val="17"/>
              </w:rPr>
              <w:t>Clear cancelled state; safe restart.</w:t>
            </w:r>
          </w:p>
        </w:tc>
      </w:tr>
      <w:tr>
        <w:tc>
          <w:tcPr>
            <w:tcW w:type="dxa" w:w="5040"/>
            <w:vAlign w:val="top"/>
          </w:tcPr>
          <w:p>
            <w:r/>
            <w:r>
              <w:rPr>
                <w:b w:val="0"/>
                <w:sz w:val="17"/>
              </w:rPr>
              <w:t>Expired</w:t>
            </w:r>
          </w:p>
        </w:tc>
        <w:tc>
          <w:tcPr>
            <w:tcW w:type="dxa" w:w="5040"/>
            <w:vAlign w:val="top"/>
          </w:tcPr>
          <w:p>
            <w:r/>
            <w:r>
              <w:rPr>
                <w:b w:val="0"/>
                <w:sz w:val="17"/>
              </w:rPr>
              <w:t>Explain that temporary result was deleted and user must process again.</w:t>
            </w:r>
          </w:p>
        </w:tc>
      </w:tr>
    </w:tbl>
    <w:p/>
    <w:p>
      <w:pPr>
        <w:pStyle w:val="Heading1"/>
      </w:pPr>
      <w:r>
        <w:t>11. Result Experience</w:t>
      </w:r>
    </w:p>
    <w:p>
      <w:r>
        <w:t>The result screen is where many utility sites become deceptive. Our primary result action must be unmistakable.</w:t>
      </w:r>
    </w:p>
    <w:p>
      <w:pPr>
        <w:pStyle w:val="ListBullet"/>
      </w:pPr>
      <w:r>
        <w:t>One visually dominant product button: Download result.</w:t>
      </w:r>
    </w:p>
    <w:p>
      <w:pPr>
        <w:pStyle w:val="ListBullet"/>
      </w:pPr>
      <w:r>
        <w:t>Show useful metrics: size reduction, page count, number of outputs, conversion type or processing location as relevant.</w:t>
      </w:r>
    </w:p>
    <w:p>
      <w:pPr>
        <w:pStyle w:val="ListBullet"/>
      </w:pPr>
      <w:r>
        <w:t>Secondary actions such as 'Compress this result' or 'Convert to Word' are clearly product actions and less prominent.</w:t>
      </w:r>
    </w:p>
    <w:p>
      <w:pPr>
        <w:pStyle w:val="ListBullet"/>
      </w:pPr>
      <w:r>
        <w:t>Advertisements must never sit adjacent to or mimic the Download control.</w:t>
      </w:r>
    </w:p>
    <w:p>
      <w:pPr>
        <w:pStyle w:val="ListBullet"/>
      </w:pPr>
      <w:r>
        <w:t>If output is multiple files, present 'Download ZIP' plus optional individual downloads.</w:t>
      </w:r>
    </w:p>
    <w:p>
      <w:pPr>
        <w:pStyle w:val="ListBullet"/>
      </w:pPr>
      <w:r>
        <w:t>Provide 'Start over' without forcing a page refresh.</w:t>
      </w:r>
    </w:p>
    <w:p>
      <w:pPr>
        <w:pStyle w:val="Heading1"/>
      </w:pPr>
      <w:r>
        <w:t>12. Error UX</w:t>
      </w:r>
    </w:p>
    <w:tbl>
      <w:tblPr>
        <w:tblStyle w:val="TableGrid"/>
        <w:tblW w:type="auto" w:w="0"/>
        <w:jc w:val="center"/>
        <w:tblLook w:firstColumn="1" w:firstRow="1" w:lastColumn="0" w:lastRow="0" w:noHBand="0" w:noVBand="1" w:val="04A0"/>
      </w:tblPr>
      <w:tblGrid>
        <w:gridCol w:w="5040"/>
        <w:gridCol w:w="5040"/>
      </w:tblGrid>
      <w:tr>
        <w:tc>
          <w:tcPr>
            <w:tcW w:type="dxa" w:w="5040"/>
            <w:shd w:fill="EEF2F6"/>
          </w:tcPr>
          <w:p>
            <w:r/>
            <w:r>
              <w:rPr>
                <w:b/>
                <w:sz w:val="17"/>
              </w:rPr>
              <w:t>Error category</w:t>
            </w:r>
          </w:p>
        </w:tc>
        <w:tc>
          <w:tcPr>
            <w:tcW w:type="dxa" w:w="5040"/>
            <w:shd w:fill="EEF2F6"/>
          </w:tcPr>
          <w:p>
            <w:r/>
            <w:r>
              <w:rPr>
                <w:b/>
                <w:sz w:val="17"/>
              </w:rPr>
              <w:t>Message behavior</w:t>
            </w:r>
          </w:p>
        </w:tc>
      </w:tr>
      <w:tr>
        <w:tc>
          <w:tcPr>
            <w:tcW w:type="dxa" w:w="5040"/>
            <w:vAlign w:val="top"/>
          </w:tcPr>
          <w:p>
            <w:r/>
            <w:r>
              <w:rPr>
                <w:b w:val="0"/>
                <w:sz w:val="17"/>
              </w:rPr>
              <w:t>Unsupported file</w:t>
            </w:r>
          </w:p>
        </w:tc>
        <w:tc>
          <w:tcPr>
            <w:tcW w:type="dxa" w:w="5040"/>
            <w:vAlign w:val="top"/>
          </w:tcPr>
          <w:p>
            <w:r/>
            <w:r>
              <w:rPr>
                <w:b w:val="0"/>
                <w:sz w:val="17"/>
              </w:rPr>
              <w:t>State supported type and how to correct it.</w:t>
            </w:r>
          </w:p>
        </w:tc>
      </w:tr>
      <w:tr>
        <w:tc>
          <w:tcPr>
            <w:tcW w:type="dxa" w:w="5040"/>
            <w:vAlign w:val="top"/>
          </w:tcPr>
          <w:p>
            <w:r/>
            <w:r>
              <w:rPr>
                <w:b w:val="0"/>
                <w:sz w:val="17"/>
              </w:rPr>
              <w:t>Encrypted/password protected</w:t>
            </w:r>
          </w:p>
        </w:tc>
        <w:tc>
          <w:tcPr>
            <w:tcW w:type="dxa" w:w="5040"/>
            <w:vAlign w:val="top"/>
          </w:tcPr>
          <w:p>
            <w:r/>
            <w:r>
              <w:rPr>
                <w:b w:val="0"/>
                <w:sz w:val="17"/>
              </w:rPr>
              <w:t>Explain that the file cannot be processed by this tool; route to Unlock later when available.</w:t>
            </w:r>
          </w:p>
        </w:tc>
      </w:tr>
      <w:tr>
        <w:tc>
          <w:tcPr>
            <w:tcW w:type="dxa" w:w="5040"/>
            <w:vAlign w:val="top"/>
          </w:tcPr>
          <w:p>
            <w:r/>
            <w:r>
              <w:rPr>
                <w:b w:val="0"/>
                <w:sz w:val="17"/>
              </w:rPr>
              <w:t>Corrupt document</w:t>
            </w:r>
          </w:p>
        </w:tc>
        <w:tc>
          <w:tcPr>
            <w:tcW w:type="dxa" w:w="5040"/>
            <w:vAlign w:val="top"/>
          </w:tcPr>
          <w:p>
            <w:r/>
            <w:r>
              <w:rPr>
                <w:b w:val="0"/>
                <w:sz w:val="17"/>
              </w:rPr>
              <w:t>Explain that the file appears damaged; route to Repair later when available.</w:t>
            </w:r>
          </w:p>
        </w:tc>
      </w:tr>
      <w:tr>
        <w:tc>
          <w:tcPr>
            <w:tcW w:type="dxa" w:w="5040"/>
            <w:vAlign w:val="top"/>
          </w:tcPr>
          <w:p>
            <w:r/>
            <w:r>
              <w:rPr>
                <w:b w:val="0"/>
                <w:sz w:val="17"/>
              </w:rPr>
              <w:t>Too large/complex</w:t>
            </w:r>
          </w:p>
        </w:tc>
        <w:tc>
          <w:tcPr>
            <w:tcW w:type="dxa" w:w="5040"/>
            <w:vAlign w:val="top"/>
          </w:tcPr>
          <w:p>
            <w:r/>
            <w:r>
              <w:rPr>
                <w:b w:val="0"/>
                <w:sz w:val="17"/>
              </w:rPr>
              <w:t>State the applicable limit and offer a relevant alternative if available.</w:t>
            </w:r>
          </w:p>
        </w:tc>
      </w:tr>
      <w:tr>
        <w:tc>
          <w:tcPr>
            <w:tcW w:type="dxa" w:w="5040"/>
            <w:vAlign w:val="top"/>
          </w:tcPr>
          <w:p>
            <w:r/>
            <w:r>
              <w:rPr>
                <w:b w:val="0"/>
                <w:sz w:val="17"/>
              </w:rPr>
              <w:t>Timeout</w:t>
            </w:r>
          </w:p>
        </w:tc>
        <w:tc>
          <w:tcPr>
            <w:tcW w:type="dxa" w:w="5040"/>
            <w:vAlign w:val="top"/>
          </w:tcPr>
          <w:p>
            <w:r/>
            <w:r>
              <w:rPr>
                <w:b w:val="0"/>
                <w:sz w:val="17"/>
              </w:rPr>
              <w:t>Explain processing exceeded the safe limit; allow retry only if useful.</w:t>
            </w:r>
          </w:p>
        </w:tc>
      </w:tr>
      <w:tr>
        <w:tc>
          <w:tcPr>
            <w:tcW w:type="dxa" w:w="5040"/>
            <w:vAlign w:val="top"/>
          </w:tcPr>
          <w:p>
            <w:r/>
            <w:r>
              <w:rPr>
                <w:b w:val="0"/>
                <w:sz w:val="17"/>
              </w:rPr>
              <w:t>Network/upload</w:t>
            </w:r>
          </w:p>
        </w:tc>
        <w:tc>
          <w:tcPr>
            <w:tcW w:type="dxa" w:w="5040"/>
            <w:vAlign w:val="top"/>
          </w:tcPr>
          <w:p>
            <w:r/>
            <w:r>
              <w:rPr>
                <w:b w:val="0"/>
                <w:sz w:val="17"/>
              </w:rPr>
              <w:t>Preserve local selections where possible and provide retry.</w:t>
            </w:r>
          </w:p>
        </w:tc>
      </w:tr>
      <w:tr>
        <w:tc>
          <w:tcPr>
            <w:tcW w:type="dxa" w:w="5040"/>
            <w:vAlign w:val="top"/>
          </w:tcPr>
          <w:p>
            <w:r/>
            <w:r>
              <w:rPr>
                <w:b w:val="0"/>
                <w:sz w:val="17"/>
              </w:rPr>
              <w:t>Server capacity</w:t>
            </w:r>
          </w:p>
        </w:tc>
        <w:tc>
          <w:tcPr>
            <w:tcW w:type="dxa" w:w="5040"/>
            <w:vAlign w:val="top"/>
          </w:tcPr>
          <w:p>
            <w:r/>
            <w:r>
              <w:rPr>
                <w:b w:val="0"/>
                <w:sz w:val="17"/>
              </w:rPr>
              <w:t>Do not blame the user's file; explain temporary service issue.</w:t>
            </w:r>
          </w:p>
        </w:tc>
      </w:tr>
      <w:tr>
        <w:tc>
          <w:tcPr>
            <w:tcW w:type="dxa" w:w="5040"/>
            <w:vAlign w:val="top"/>
          </w:tcPr>
          <w:p>
            <w:r/>
            <w:r>
              <w:rPr>
                <w:b w:val="0"/>
                <w:sz w:val="17"/>
              </w:rPr>
              <w:t>No text layer</w:t>
            </w:r>
          </w:p>
        </w:tc>
        <w:tc>
          <w:tcPr>
            <w:tcW w:type="dxa" w:w="5040"/>
            <w:vAlign w:val="top"/>
          </w:tcPr>
          <w:p>
            <w:r/>
            <w:r>
              <w:rPr>
                <w:b w:val="0"/>
                <w:sz w:val="17"/>
              </w:rPr>
              <w:t>For PDF→Text, explain that the document appears scanned and needs OCR.</w:t>
            </w:r>
          </w:p>
        </w:tc>
      </w:tr>
    </w:tbl>
    <w:p/>
    <w:p>
      <w:r>
        <w:t>Never expose stack traces, engine commands, internal paths or meaningless numeric error codes to users.</w:t>
      </w:r>
    </w:p>
    <w:p>
      <w:pPr>
        <w:pStyle w:val="Heading1"/>
      </w:pPr>
      <w:r>
        <w:t>13. Mobile UX</w:t>
      </w:r>
    </w:p>
    <w:p>
      <w:pPr>
        <w:pStyle w:val="ListBullet"/>
      </w:pPr>
      <w:r>
        <w:t>Primary actions should be comfortably thumb-sized; design target should normally exceed the WCAG 2.2 AA minimum rather than merely meet it.</w:t>
      </w:r>
    </w:p>
    <w:p>
      <w:pPr>
        <w:pStyle w:val="ListBullet"/>
      </w:pPr>
      <w:r>
        <w:t>Tool workspace uses the full useful width; avoid desktop cards squeezed into mobile.</w:t>
      </w:r>
    </w:p>
    <w:p>
      <w:pPr>
        <w:pStyle w:val="ListBullet"/>
      </w:pPr>
      <w:r>
        <w:t>Sticky actions are allowed only when they do not obscure focused controls/content.</w:t>
      </w:r>
    </w:p>
    <w:p>
      <w:pPr>
        <w:pStyle w:val="ListBullet"/>
      </w:pPr>
      <w:r>
        <w:t>Image→PDF is treated as a flagship mobile flow: photo selection, reorder and export must be effortless.</w:t>
      </w:r>
    </w:p>
    <w:p>
      <w:pPr>
        <w:pStyle w:val="ListBullet"/>
      </w:pPr>
      <w:r>
        <w:t>Thumbnail grids adapt to screen width and provide non-drag reorder alternatives.</w:t>
      </w:r>
    </w:p>
    <w:p>
      <w:pPr>
        <w:pStyle w:val="ListBullet"/>
      </w:pPr>
      <w:r>
        <w:t>Long explanatory content follows the tool; it must not push the actual utility below multiple mobile screens.</w:t>
      </w:r>
    </w:p>
    <w:p>
      <w:pPr>
        <w:pStyle w:val="Heading1"/>
      </w:pPr>
      <w:r>
        <w:t>14. Accessibility Baseline</w:t>
      </w:r>
    </w:p>
    <w:p>
      <w:r>
        <w:t>Core journeys target WCAG 2.2 AA. WCAG 2.2 adds, among other criteria, Focus Not Obscured (Minimum) at AA and a 24×24 CSS-pixel minimum target-size criterion with defined exceptions. Our product should generally use larger interactive targets (roughly 40–44 CSS px for primary controls) for mobile comfort while treating 24×24 as a floor, not a design target.</w:t>
      </w:r>
    </w:p>
    <w:p>
      <w:pPr>
        <w:pStyle w:val="ListBullet"/>
      </w:pPr>
      <w:r>
        <w:t>Visible keyboard focus on every interactive control.</w:t>
      </w:r>
    </w:p>
    <w:p>
      <w:pPr>
        <w:pStyle w:val="ListBullet"/>
      </w:pPr>
      <w:r>
        <w:t>Focused elements must not be hidden by sticky headers, consent banners or toolbars.</w:t>
      </w:r>
    </w:p>
    <w:p>
      <w:pPr>
        <w:pStyle w:val="ListBullet"/>
      </w:pPr>
      <w:r>
        <w:t>Drag operations always have keyboard/button alternatives.</w:t>
      </w:r>
    </w:p>
    <w:p>
      <w:pPr>
        <w:pStyle w:val="ListBullet"/>
      </w:pPr>
      <w:r>
        <w:t>Status is conveyed with text/icons, not color alone.</w:t>
      </w:r>
    </w:p>
    <w:p>
      <w:pPr>
        <w:pStyle w:val="ListBullet"/>
      </w:pPr>
      <w:r>
        <w:t>Progress changes use appropriate live-region announcements without excessive chatter.</w:t>
      </w:r>
    </w:p>
    <w:p>
      <w:pPr>
        <w:pStyle w:val="ListBullet"/>
      </w:pPr>
      <w:r>
        <w:t>Thumbnail/page selection exposes page number, selected state and action labels to assistive technology.</w:t>
      </w:r>
    </w:p>
    <w:p>
      <w:pPr>
        <w:pStyle w:val="ListBullet"/>
      </w:pPr>
      <w:r>
        <w:t>Respect prefers-reduced-motion.</w:t>
      </w:r>
    </w:p>
    <w:p>
      <w:pPr>
        <w:pStyle w:val="ListBullet"/>
      </w:pPr>
      <w:r>
        <w:t>Form errors are programmatically associated with the relevant control.</w:t>
      </w:r>
    </w:p>
    <w:p>
      <w:pPr>
        <w:pStyle w:val="Heading1"/>
      </w:pPr>
      <w:r>
        <w:t>15. Advertising UX Boundaries</w:t>
      </w:r>
    </w:p>
    <w:p>
      <w:r>
        <w:t>Google's current AdSense placement guidance warns against ads that can be mistaken for menus, navigation or download links, and against placing ads near highly interactive controls in ways that generate accidental clicks. Therefore advertising receives reserved, clearly separated regions and is never inserted into the upload/processing/result action cluster.</w:t>
      </w:r>
    </w:p>
    <w:tbl>
      <w:tblPr>
        <w:tblStyle w:val="TableGrid"/>
        <w:tblW w:type="auto" w:w="0"/>
        <w:jc w:val="center"/>
        <w:tblLook w:firstColumn="1" w:firstRow="1" w:lastColumn="0" w:lastRow="0" w:noHBand="0" w:noVBand="1" w:val="04A0"/>
      </w:tblPr>
      <w:tblGrid>
        <w:gridCol w:w="5040"/>
        <w:gridCol w:w="5040"/>
      </w:tblGrid>
      <w:tr>
        <w:tc>
          <w:tcPr>
            <w:tcW w:type="dxa" w:w="5040"/>
            <w:shd w:fill="EEF2F6"/>
          </w:tcPr>
          <w:p>
            <w:r/>
            <w:r>
              <w:rPr>
                <w:b/>
                <w:sz w:val="17"/>
              </w:rPr>
              <w:t>Area</w:t>
            </w:r>
          </w:p>
        </w:tc>
        <w:tc>
          <w:tcPr>
            <w:tcW w:type="dxa" w:w="5040"/>
            <w:shd w:fill="EEF2F6"/>
          </w:tcPr>
          <w:p>
            <w:r/>
            <w:r>
              <w:rPr>
                <w:b/>
                <w:sz w:val="17"/>
              </w:rPr>
              <w:t>Ad rule</w:t>
            </w:r>
          </w:p>
        </w:tc>
      </w:tr>
      <w:tr>
        <w:tc>
          <w:tcPr>
            <w:tcW w:type="dxa" w:w="5040"/>
            <w:vAlign w:val="top"/>
          </w:tcPr>
          <w:p>
            <w:r/>
            <w:r>
              <w:rPr>
                <w:b w:val="0"/>
                <w:sz w:val="17"/>
              </w:rPr>
              <w:t>Upload workspace</w:t>
            </w:r>
          </w:p>
        </w:tc>
        <w:tc>
          <w:tcPr>
            <w:tcW w:type="dxa" w:w="5040"/>
            <w:vAlign w:val="top"/>
          </w:tcPr>
          <w:p>
            <w:r/>
            <w:r>
              <w:rPr>
                <w:b w:val="0"/>
                <w:sz w:val="17"/>
              </w:rPr>
              <w:t>No ad inside or immediately adjacent to file chooser/drop zone.</w:t>
            </w:r>
          </w:p>
        </w:tc>
      </w:tr>
      <w:tr>
        <w:tc>
          <w:tcPr>
            <w:tcW w:type="dxa" w:w="5040"/>
            <w:vAlign w:val="top"/>
          </w:tcPr>
          <w:p>
            <w:r/>
            <w:r>
              <w:rPr>
                <w:b w:val="0"/>
                <w:sz w:val="17"/>
              </w:rPr>
              <w:t>Page organizer / drag grid</w:t>
            </w:r>
          </w:p>
        </w:tc>
        <w:tc>
          <w:tcPr>
            <w:tcW w:type="dxa" w:w="5040"/>
            <w:vAlign w:val="top"/>
          </w:tcPr>
          <w:p>
            <w:r/>
            <w:r>
              <w:rPr>
                <w:b w:val="0"/>
                <w:sz w:val="17"/>
              </w:rPr>
              <w:t>No ad inside interactive grid.</w:t>
            </w:r>
          </w:p>
        </w:tc>
      </w:tr>
      <w:tr>
        <w:tc>
          <w:tcPr>
            <w:tcW w:type="dxa" w:w="5040"/>
            <w:vAlign w:val="top"/>
          </w:tcPr>
          <w:p>
            <w:r/>
            <w:r>
              <w:rPr>
                <w:b w:val="0"/>
                <w:sz w:val="17"/>
              </w:rPr>
              <w:t>Processing state</w:t>
            </w:r>
          </w:p>
        </w:tc>
        <w:tc>
          <w:tcPr>
            <w:tcW w:type="dxa" w:w="5040"/>
            <w:vAlign w:val="top"/>
          </w:tcPr>
          <w:p>
            <w:r/>
            <w:r>
              <w:rPr>
                <w:b w:val="0"/>
                <w:sz w:val="17"/>
              </w:rPr>
              <w:t>No interstitial or action-adjacent unit that interrupts the task.</w:t>
            </w:r>
          </w:p>
        </w:tc>
      </w:tr>
      <w:tr>
        <w:tc>
          <w:tcPr>
            <w:tcW w:type="dxa" w:w="5040"/>
            <w:vAlign w:val="top"/>
          </w:tcPr>
          <w:p>
            <w:r/>
            <w:r>
              <w:rPr>
                <w:b w:val="0"/>
                <w:sz w:val="17"/>
              </w:rPr>
              <w:t>Result/download cluster</w:t>
            </w:r>
          </w:p>
        </w:tc>
        <w:tc>
          <w:tcPr>
            <w:tcW w:type="dxa" w:w="5040"/>
            <w:vAlign w:val="top"/>
          </w:tcPr>
          <w:p>
            <w:r/>
            <w:r>
              <w:rPr>
                <w:b w:val="0"/>
                <w:sz w:val="17"/>
              </w:rPr>
              <w:t>No ad beside, above in a misleading way, or styled like Download.</w:t>
            </w:r>
          </w:p>
        </w:tc>
      </w:tr>
      <w:tr>
        <w:tc>
          <w:tcPr>
            <w:tcW w:type="dxa" w:w="5040"/>
            <w:vAlign w:val="top"/>
          </w:tcPr>
          <w:p>
            <w:r/>
            <w:r>
              <w:rPr>
                <w:b w:val="0"/>
                <w:sz w:val="17"/>
              </w:rPr>
              <w:t>Supporting content</w:t>
            </w:r>
          </w:p>
        </w:tc>
        <w:tc>
          <w:tcPr>
            <w:tcW w:type="dxa" w:w="5040"/>
            <w:vAlign w:val="top"/>
          </w:tcPr>
          <w:p>
            <w:r/>
            <w:r>
              <w:rPr>
                <w:b w:val="0"/>
                <w:sz w:val="17"/>
              </w:rPr>
              <w:t>Eligible for clearly separated ad slots after the primary task area.</w:t>
            </w:r>
          </w:p>
        </w:tc>
      </w:tr>
      <w:tr>
        <w:tc>
          <w:tcPr>
            <w:tcW w:type="dxa" w:w="5040"/>
            <w:vAlign w:val="top"/>
          </w:tcPr>
          <w:p>
            <w:r/>
            <w:r>
              <w:rPr>
                <w:b w:val="0"/>
                <w:sz w:val="17"/>
              </w:rPr>
              <w:t>Desktop side rail</w:t>
            </w:r>
          </w:p>
        </w:tc>
        <w:tc>
          <w:tcPr>
            <w:tcW w:type="dxa" w:w="5040"/>
            <w:vAlign w:val="top"/>
          </w:tcPr>
          <w:p>
            <w:r/>
            <w:r>
              <w:rPr>
                <w:b w:val="0"/>
                <w:sz w:val="17"/>
              </w:rPr>
              <w:t>Possible only with clear separation and no overlap with controls.</w:t>
            </w:r>
          </w:p>
        </w:tc>
      </w:tr>
      <w:tr>
        <w:tc>
          <w:tcPr>
            <w:tcW w:type="dxa" w:w="5040"/>
            <w:vAlign w:val="top"/>
          </w:tcPr>
          <w:p>
            <w:r/>
            <w:r>
              <w:rPr>
                <w:b w:val="0"/>
                <w:sz w:val="17"/>
              </w:rPr>
              <w:t>Mobile</w:t>
            </w:r>
          </w:p>
        </w:tc>
        <w:tc>
          <w:tcPr>
            <w:tcW w:type="dxa" w:w="5040"/>
            <w:vAlign w:val="top"/>
          </w:tcPr>
          <w:p>
            <w:r/>
            <w:r>
              <w:rPr>
                <w:b w:val="0"/>
                <w:sz w:val="17"/>
              </w:rPr>
              <w:t>Avoid sticky units that obscure focus, results or primary actions.</w:t>
            </w:r>
          </w:p>
        </w:tc>
      </w:tr>
    </w:tbl>
    <w:p/>
    <w:p>
      <w:r>
        <w:t>Reserve layout space for any ad slot before it loads to reduce reflow and accidental clicks. The application must remain visually complete with ads disabled.</w:t>
      </w:r>
    </w:p>
    <w:p>
      <w:pPr>
        <w:pStyle w:val="Heading1"/>
      </w:pPr>
      <w:r>
        <w:t>16. Performance UX</w:t>
      </w:r>
    </w:p>
    <w:p>
      <w:pPr>
        <w:pStyle w:val="ListBullet"/>
      </w:pPr>
      <w:r>
        <w:t>Do not load PDF processing libraries globally; load per tool.</w:t>
      </w:r>
    </w:p>
    <w:p>
      <w:pPr>
        <w:pStyle w:val="ListBullet"/>
      </w:pPr>
      <w:r>
        <w:t>Reserve dimensions for ads, thumbnails and result panels to reduce layout shift.</w:t>
      </w:r>
    </w:p>
    <w:p>
      <w:pPr>
        <w:pStyle w:val="ListBullet"/>
      </w:pPr>
      <w:r>
        <w:t>Provide immediate selection feedback before heavyweight modules finish loading.</w:t>
      </w:r>
    </w:p>
    <w:p>
      <w:pPr>
        <w:pStyle w:val="ListBullet"/>
      </w:pPr>
      <w:r>
        <w:t>For local operations, keep CPU-heavy work in Web Workers where possible.</w:t>
      </w:r>
    </w:p>
    <w:p>
      <w:pPr>
        <w:pStyle w:val="ListBullet"/>
      </w:pPr>
      <w:r>
        <w:t>Use skeletons only for content that is actually loading; never use fake processing animation to imply progress.</w:t>
      </w:r>
    </w:p>
    <w:p>
      <w:pPr>
        <w:pStyle w:val="ListBullet"/>
      </w:pPr>
      <w:r>
        <w:t>Performance budgets will be finalized with the testing/deployment documents and measured against current Core Web Vitals.</w:t>
      </w:r>
    </w:p>
    <w:p>
      <w:pPr>
        <w:pStyle w:val="Heading1"/>
      </w:pPr>
      <w:r>
        <w:t>17. Design System Components</w:t>
      </w:r>
    </w:p>
    <w:tbl>
      <w:tblPr>
        <w:tblStyle w:val="TableGrid"/>
        <w:tblW w:type="auto" w:w="0"/>
        <w:jc w:val="center"/>
        <w:tblLook w:firstColumn="1" w:firstRow="1" w:lastColumn="0" w:lastRow="0" w:noHBand="0" w:noVBand="1" w:val="04A0"/>
      </w:tblPr>
      <w:tblGrid>
        <w:gridCol w:w="5040"/>
        <w:gridCol w:w="5040"/>
      </w:tblGrid>
      <w:tr>
        <w:tc>
          <w:tcPr>
            <w:tcW w:type="dxa" w:w="5040"/>
            <w:shd w:fill="EEF2F6"/>
          </w:tcPr>
          <w:p>
            <w:r/>
            <w:r>
              <w:rPr>
                <w:b/>
                <w:sz w:val="17"/>
              </w:rPr>
              <w:t>Component</w:t>
            </w:r>
          </w:p>
        </w:tc>
        <w:tc>
          <w:tcPr>
            <w:tcW w:type="dxa" w:w="5040"/>
            <w:shd w:fill="EEF2F6"/>
          </w:tcPr>
          <w:p>
            <w:r/>
            <w:r>
              <w:rPr>
                <w:b/>
                <w:sz w:val="17"/>
              </w:rPr>
              <w:t>Variants / notes</w:t>
            </w:r>
          </w:p>
        </w:tc>
      </w:tr>
      <w:tr>
        <w:tc>
          <w:tcPr>
            <w:tcW w:type="dxa" w:w="5040"/>
            <w:vAlign w:val="top"/>
          </w:tcPr>
          <w:p>
            <w:r/>
            <w:r>
              <w:rPr>
                <w:b w:val="0"/>
                <w:sz w:val="17"/>
              </w:rPr>
              <w:t>Button</w:t>
            </w:r>
          </w:p>
        </w:tc>
        <w:tc>
          <w:tcPr>
            <w:tcW w:type="dxa" w:w="5040"/>
            <w:vAlign w:val="top"/>
          </w:tcPr>
          <w:p>
            <w:r/>
            <w:r>
              <w:rPr>
                <w:b w:val="0"/>
                <w:sz w:val="17"/>
              </w:rPr>
              <w:t>Primary, secondary, quiet, destructive; loading state; icon optional.</w:t>
            </w:r>
          </w:p>
        </w:tc>
      </w:tr>
      <w:tr>
        <w:tc>
          <w:tcPr>
            <w:tcW w:type="dxa" w:w="5040"/>
            <w:vAlign w:val="top"/>
          </w:tcPr>
          <w:p>
            <w:r/>
            <w:r>
              <w:rPr>
                <w:b w:val="0"/>
                <w:sz w:val="17"/>
              </w:rPr>
              <w:t>FilePicker</w:t>
            </w:r>
          </w:p>
        </w:tc>
        <w:tc>
          <w:tcPr>
            <w:tcW w:type="dxa" w:w="5040"/>
            <w:vAlign w:val="top"/>
          </w:tcPr>
          <w:p>
            <w:r/>
            <w:r>
              <w:rPr>
                <w:b w:val="0"/>
                <w:sz w:val="17"/>
              </w:rPr>
              <w:t>Single/multiple, drag/drop, mobile picker, validation state.</w:t>
            </w:r>
          </w:p>
        </w:tc>
      </w:tr>
      <w:tr>
        <w:tc>
          <w:tcPr>
            <w:tcW w:type="dxa" w:w="5040"/>
            <w:vAlign w:val="top"/>
          </w:tcPr>
          <w:p>
            <w:r/>
            <w:r>
              <w:rPr>
                <w:b w:val="0"/>
                <w:sz w:val="17"/>
              </w:rPr>
              <w:t>FileItem</w:t>
            </w:r>
          </w:p>
        </w:tc>
        <w:tc>
          <w:tcPr>
            <w:tcW w:type="dxa" w:w="5040"/>
            <w:vAlign w:val="top"/>
          </w:tcPr>
          <w:p>
            <w:r/>
            <w:r>
              <w:rPr>
                <w:b w:val="0"/>
                <w:sz w:val="17"/>
              </w:rPr>
              <w:t>Name, safe metadata, remove, reorder controls.</w:t>
            </w:r>
          </w:p>
        </w:tc>
      </w:tr>
      <w:tr>
        <w:tc>
          <w:tcPr>
            <w:tcW w:type="dxa" w:w="5040"/>
            <w:vAlign w:val="top"/>
          </w:tcPr>
          <w:p>
            <w:r/>
            <w:r>
              <w:rPr>
                <w:b w:val="0"/>
                <w:sz w:val="17"/>
              </w:rPr>
              <w:t>PrivacyIndicator</w:t>
            </w:r>
          </w:p>
        </w:tc>
        <w:tc>
          <w:tcPr>
            <w:tcW w:type="dxa" w:w="5040"/>
            <w:vAlign w:val="top"/>
          </w:tcPr>
          <w:p>
            <w:r/>
            <w:r>
              <w:rPr>
                <w:b w:val="0"/>
                <w:sz w:val="17"/>
              </w:rPr>
              <w:t>Local, Server, Hybrid with explanatory popover/dialog.</w:t>
            </w:r>
          </w:p>
        </w:tc>
      </w:tr>
      <w:tr>
        <w:tc>
          <w:tcPr>
            <w:tcW w:type="dxa" w:w="5040"/>
            <w:vAlign w:val="top"/>
          </w:tcPr>
          <w:p>
            <w:r/>
            <w:r>
              <w:rPr>
                <w:b w:val="0"/>
                <w:sz w:val="17"/>
              </w:rPr>
              <w:t>Progress</w:t>
            </w:r>
          </w:p>
        </w:tc>
        <w:tc>
          <w:tcPr>
            <w:tcW w:type="dxa" w:w="5040"/>
            <w:vAlign w:val="top"/>
          </w:tcPr>
          <w:p>
            <w:r/>
            <w:r>
              <w:rPr>
                <w:b w:val="0"/>
                <w:sz w:val="17"/>
              </w:rPr>
              <w:t>Upload determinate, processing determinate/indeterminate, step status.</w:t>
            </w:r>
          </w:p>
        </w:tc>
      </w:tr>
      <w:tr>
        <w:tc>
          <w:tcPr>
            <w:tcW w:type="dxa" w:w="5040"/>
            <w:vAlign w:val="top"/>
          </w:tcPr>
          <w:p>
            <w:r/>
            <w:r>
              <w:rPr>
                <w:b w:val="0"/>
                <w:sz w:val="17"/>
              </w:rPr>
              <w:t>ToolShell</w:t>
            </w:r>
          </w:p>
        </w:tc>
        <w:tc>
          <w:tcPr>
            <w:tcW w:type="dxa" w:w="5040"/>
            <w:vAlign w:val="top"/>
          </w:tcPr>
          <w:p>
            <w:r/>
            <w:r>
              <w:rPr>
                <w:b w:val="0"/>
                <w:sz w:val="17"/>
              </w:rPr>
              <w:t>Heading, description, privacy state, workspace, result region.</w:t>
            </w:r>
          </w:p>
        </w:tc>
      </w:tr>
      <w:tr>
        <w:tc>
          <w:tcPr>
            <w:tcW w:type="dxa" w:w="5040"/>
            <w:vAlign w:val="top"/>
          </w:tcPr>
          <w:p>
            <w:r/>
            <w:r>
              <w:rPr>
                <w:b w:val="0"/>
                <w:sz w:val="17"/>
              </w:rPr>
              <w:t>PageThumbnail</w:t>
            </w:r>
          </w:p>
        </w:tc>
        <w:tc>
          <w:tcPr>
            <w:tcW w:type="dxa" w:w="5040"/>
            <w:vAlign w:val="top"/>
          </w:tcPr>
          <w:p>
            <w:r/>
            <w:r>
              <w:rPr>
                <w:b w:val="0"/>
                <w:sz w:val="17"/>
              </w:rPr>
              <w:t>Selected, focused, rotated, loading, error.</w:t>
            </w:r>
          </w:p>
        </w:tc>
      </w:tr>
      <w:tr>
        <w:tc>
          <w:tcPr>
            <w:tcW w:type="dxa" w:w="5040"/>
            <w:vAlign w:val="top"/>
          </w:tcPr>
          <w:p>
            <w:r/>
            <w:r>
              <w:rPr>
                <w:b w:val="0"/>
                <w:sz w:val="17"/>
              </w:rPr>
              <w:t>ReorderControls</w:t>
            </w:r>
          </w:p>
        </w:tc>
        <w:tc>
          <w:tcPr>
            <w:tcW w:type="dxa" w:w="5040"/>
            <w:vAlign w:val="top"/>
          </w:tcPr>
          <w:p>
            <w:r/>
            <w:r>
              <w:rPr>
                <w:b w:val="0"/>
                <w:sz w:val="17"/>
              </w:rPr>
              <w:t>Drag handle plus Move earlier/later keyboard actions.</w:t>
            </w:r>
          </w:p>
        </w:tc>
      </w:tr>
      <w:tr>
        <w:tc>
          <w:tcPr>
            <w:tcW w:type="dxa" w:w="5040"/>
            <w:vAlign w:val="top"/>
          </w:tcPr>
          <w:p>
            <w:r/>
            <w:r>
              <w:rPr>
                <w:b w:val="0"/>
                <w:sz w:val="17"/>
              </w:rPr>
              <w:t>ResultPanel</w:t>
            </w:r>
          </w:p>
        </w:tc>
        <w:tc>
          <w:tcPr>
            <w:tcW w:type="dxa" w:w="5040"/>
            <w:vAlign w:val="top"/>
          </w:tcPr>
          <w:p>
            <w:r/>
            <w:r>
              <w:rPr>
                <w:b w:val="0"/>
                <w:sz w:val="17"/>
              </w:rPr>
              <w:t>Success summary, metrics, Download, next actions.</w:t>
            </w:r>
          </w:p>
        </w:tc>
      </w:tr>
      <w:tr>
        <w:tc>
          <w:tcPr>
            <w:tcW w:type="dxa" w:w="5040"/>
            <w:vAlign w:val="top"/>
          </w:tcPr>
          <w:p>
            <w:r/>
            <w:r>
              <w:rPr>
                <w:b w:val="0"/>
                <w:sz w:val="17"/>
              </w:rPr>
              <w:t>Alert</w:t>
            </w:r>
          </w:p>
        </w:tc>
        <w:tc>
          <w:tcPr>
            <w:tcW w:type="dxa" w:w="5040"/>
            <w:vAlign w:val="top"/>
          </w:tcPr>
          <w:p>
            <w:r/>
            <w:r>
              <w:rPr>
                <w:b w:val="0"/>
                <w:sz w:val="17"/>
              </w:rPr>
              <w:t>Info, warning, error, success; not color-only.</w:t>
            </w:r>
          </w:p>
        </w:tc>
      </w:tr>
      <w:tr>
        <w:tc>
          <w:tcPr>
            <w:tcW w:type="dxa" w:w="5040"/>
            <w:vAlign w:val="top"/>
          </w:tcPr>
          <w:p>
            <w:r/>
            <w:r>
              <w:rPr>
                <w:b w:val="0"/>
                <w:sz w:val="17"/>
              </w:rPr>
              <w:t>ToolSearch</w:t>
            </w:r>
          </w:p>
        </w:tc>
        <w:tc>
          <w:tcPr>
            <w:tcW w:type="dxa" w:w="5040"/>
            <w:vAlign w:val="top"/>
          </w:tcPr>
          <w:p>
            <w:r/>
            <w:r>
              <w:rPr>
                <w:b w:val="0"/>
                <w:sz w:val="17"/>
              </w:rPr>
              <w:t>Keyboard-friendly search with category/result grouping.</w:t>
            </w:r>
          </w:p>
        </w:tc>
      </w:tr>
      <w:tr>
        <w:tc>
          <w:tcPr>
            <w:tcW w:type="dxa" w:w="5040"/>
            <w:vAlign w:val="top"/>
          </w:tcPr>
          <w:p>
            <w:r/>
            <w:r>
              <w:rPr>
                <w:b w:val="0"/>
                <w:sz w:val="17"/>
              </w:rPr>
              <w:t>AdSlot</w:t>
            </w:r>
          </w:p>
        </w:tc>
        <w:tc>
          <w:tcPr>
            <w:tcW w:type="dxa" w:w="5040"/>
            <w:vAlign w:val="top"/>
          </w:tcPr>
          <w:p>
            <w:r/>
            <w:r>
              <w:rPr>
                <w:b w:val="0"/>
                <w:sz w:val="17"/>
              </w:rPr>
              <w:t>Reserved dimensions, clearly outside product controls.</w:t>
            </w:r>
          </w:p>
        </w:tc>
      </w:tr>
    </w:tbl>
    <w:p/>
    <w:p>
      <w:pPr>
        <w:pStyle w:val="Heading1"/>
      </w:pPr>
      <w:r>
        <w:t>18. Responsive Layout Rules</w:t>
      </w:r>
    </w:p>
    <w:tbl>
      <w:tblPr>
        <w:tblStyle w:val="TableGrid"/>
        <w:tblW w:type="auto" w:w="0"/>
        <w:jc w:val="center"/>
        <w:tblLook w:firstColumn="1" w:firstRow="1" w:lastColumn="0" w:lastRow="0" w:noHBand="0" w:noVBand="1" w:val="04A0"/>
      </w:tblPr>
      <w:tblGrid>
        <w:gridCol w:w="5040"/>
        <w:gridCol w:w="5040"/>
      </w:tblGrid>
      <w:tr>
        <w:tc>
          <w:tcPr>
            <w:tcW w:type="dxa" w:w="5040"/>
            <w:shd w:fill="EEF2F6"/>
          </w:tcPr>
          <w:p>
            <w:r/>
            <w:r>
              <w:rPr>
                <w:b/>
                <w:sz w:val="17"/>
              </w:rPr>
              <w:t>Viewport behavior</w:t>
            </w:r>
          </w:p>
        </w:tc>
        <w:tc>
          <w:tcPr>
            <w:tcW w:type="dxa" w:w="5040"/>
            <w:shd w:fill="EEF2F6"/>
          </w:tcPr>
          <w:p>
            <w:r/>
            <w:r>
              <w:rPr>
                <w:b/>
                <w:sz w:val="17"/>
              </w:rPr>
              <w:t>Rule</w:t>
            </w:r>
          </w:p>
        </w:tc>
      </w:tr>
      <w:tr>
        <w:tc>
          <w:tcPr>
            <w:tcW w:type="dxa" w:w="5040"/>
            <w:vAlign w:val="top"/>
          </w:tcPr>
          <w:p>
            <w:r/>
            <w:r>
              <w:rPr>
                <w:b w:val="0"/>
                <w:sz w:val="17"/>
              </w:rPr>
              <w:t>Small mobile</w:t>
            </w:r>
          </w:p>
        </w:tc>
        <w:tc>
          <w:tcPr>
            <w:tcW w:type="dxa" w:w="5040"/>
            <w:vAlign w:val="top"/>
          </w:tcPr>
          <w:p>
            <w:r/>
            <w:r>
              <w:rPr>
                <w:b w:val="0"/>
                <w:sz w:val="17"/>
              </w:rPr>
              <w:t>Single column; tool first; full-width primary actions; no side rail.</w:t>
            </w:r>
          </w:p>
        </w:tc>
      </w:tr>
      <w:tr>
        <w:tc>
          <w:tcPr>
            <w:tcW w:type="dxa" w:w="5040"/>
            <w:vAlign w:val="top"/>
          </w:tcPr>
          <w:p>
            <w:r/>
            <w:r>
              <w:rPr>
                <w:b w:val="0"/>
                <w:sz w:val="17"/>
              </w:rPr>
              <w:t>Large mobile/tablet</w:t>
            </w:r>
          </w:p>
        </w:tc>
        <w:tc>
          <w:tcPr>
            <w:tcW w:type="dxa" w:w="5040"/>
            <w:vAlign w:val="top"/>
          </w:tcPr>
          <w:p>
            <w:r/>
            <w:r>
              <w:rPr>
                <w:b w:val="0"/>
                <w:sz w:val="17"/>
              </w:rPr>
              <w:t>Single or adaptive two-column only where tool benefits; preserve touch targets.</w:t>
            </w:r>
          </w:p>
        </w:tc>
      </w:tr>
      <w:tr>
        <w:tc>
          <w:tcPr>
            <w:tcW w:type="dxa" w:w="5040"/>
            <w:vAlign w:val="top"/>
          </w:tcPr>
          <w:p>
            <w:r/>
            <w:r>
              <w:rPr>
                <w:b w:val="0"/>
                <w:sz w:val="17"/>
              </w:rPr>
              <w:t>Desktop</w:t>
            </w:r>
          </w:p>
        </w:tc>
        <w:tc>
          <w:tcPr>
            <w:tcW w:type="dxa" w:w="5040"/>
            <w:vAlign w:val="top"/>
          </w:tcPr>
          <w:p>
            <w:r/>
            <w:r>
              <w:rPr>
                <w:b w:val="0"/>
                <w:sz w:val="17"/>
              </w:rPr>
              <w:t>Centered content width; workspace may widen for page grids; optional non-interactive side rail.</w:t>
            </w:r>
          </w:p>
        </w:tc>
      </w:tr>
      <w:tr>
        <w:tc>
          <w:tcPr>
            <w:tcW w:type="dxa" w:w="5040"/>
            <w:vAlign w:val="top"/>
          </w:tcPr>
          <w:p>
            <w:r/>
            <w:r>
              <w:rPr>
                <w:b w:val="0"/>
                <w:sz w:val="17"/>
              </w:rPr>
              <w:t>Wide desktop</w:t>
            </w:r>
          </w:p>
        </w:tc>
        <w:tc>
          <w:tcPr>
            <w:tcW w:type="dxa" w:w="5040"/>
            <w:vAlign w:val="top"/>
          </w:tcPr>
          <w:p>
            <w:r/>
            <w:r>
              <w:rPr>
                <w:b w:val="0"/>
                <w:sz w:val="17"/>
              </w:rPr>
              <w:t>Do not stretch reading content indefinitely; page-organizer grids may use extra width.</w:t>
            </w:r>
          </w:p>
        </w:tc>
      </w:tr>
    </w:tbl>
    <w:p/>
    <w:p>
      <w:r>
        <w:t>Breakpoints should follow content needs rather than device-brand names.</w:t>
      </w:r>
    </w:p>
    <w:p>
      <w:pPr>
        <w:pStyle w:val="Heading1"/>
      </w:pPr>
      <w:r>
        <w:t>19. Content Voice</w:t>
      </w:r>
    </w:p>
    <w:p>
      <w:pPr>
        <w:pStyle w:val="ListBullet"/>
      </w:pPr>
      <w:r>
        <w:t>Direct: 'Choose PDFs to merge', not 'Begin your seamless document journey'.</w:t>
      </w:r>
    </w:p>
    <w:p>
      <w:pPr>
        <w:pStyle w:val="ListBullet"/>
      </w:pPr>
      <w:r>
        <w:t>Specific: 'Processed on your device', not 'Military-grade privacy'.</w:t>
      </w:r>
    </w:p>
    <w:p>
      <w:pPr>
        <w:pStyle w:val="ListBullet"/>
      </w:pPr>
      <w:r>
        <w:t>Honest about limitations: 'Scanned PDFs need OCR', not 'Conversion failed'.</w:t>
      </w:r>
    </w:p>
    <w:p>
      <w:pPr>
        <w:pStyle w:val="ListBullet"/>
      </w:pPr>
      <w:r>
        <w:t>Short in the workspace; deeper explanations belong below or behind details.</w:t>
      </w:r>
    </w:p>
    <w:p>
      <w:pPr>
        <w:pStyle w:val="ListBullet"/>
      </w:pPr>
      <w:r>
        <w:t>Avoid exaggerated security, speed or compression claims that cannot be measured.</w:t>
      </w:r>
    </w:p>
    <w:p>
      <w:pPr>
        <w:pStyle w:val="Heading1"/>
      </w:pPr>
      <w:r>
        <w:t>20. Initial Wireframe Direction</w:t>
      </w:r>
    </w:p>
    <w:p>
      <w:r>
        <w:t>Homepage:</w:t>
      </w:r>
    </w:p>
    <w:p>
      <w:r>
        <w:t>[Header: Brand | All Tools | Learn | Privacy]</w:t>
        <w:br/>
        <w:t>------------------------------------------------</w:t>
        <w:br/>
        <w:t>Fast, private document tools.</w:t>
        <w:br/>
        <w:t>[ Search tools: “What do you need to do?” ]</w:t>
        <w:br/>
        <w:br/>
        <w:t>Popular</w:t>
        <w:br/>
        <w:t>Merge PDF   Compress PDF   PDF→Word   Images→PDF</w:t>
        <w:br/>
        <w:br/>
        <w:t>Convert                  Organize</w:t>
        <w:br/>
        <w:t>PDF→Word                 Merge</w:t>
        <w:br/>
        <w:t>Word→PDF                 Split</w:t>
        <w:br/>
        <w:t>PDF→JPG                  Reorder</w:t>
        <w:br/>
        <w:t>Images→PDF               Extract pages</w:t>
        <w:br/>
        <w:br/>
        <w:t>[Local vs Secure Server processing explanation]</w:t>
        <w:br/>
        <w:br/>
        <w:t>Selected guides</w:t>
        <w:br/>
        <w:t>------------------------------------------------</w:t>
        <w:br/>
        <w:t>[Footer]</w:t>
      </w:r>
    </w:p>
    <w:p>
      <w:r>
        <w:t>Tool page:</w:t>
      </w:r>
    </w:p>
    <w:p>
      <w:r>
        <w:t>[Header]</w:t>
        <w:br/>
        <w:t>------------------------------------------------</w:t>
        <w:br/>
        <w:t>Merge PDF</w:t>
        <w:br/>
        <w:t>Combine PDFs in the order you choose.</w:t>
        <w:br/>
        <w:t>[🔒 Processed on your device]</w:t>
        <w:br/>
        <w:br/>
        <w:t>+----------------------------------------------+</w:t>
        <w:br/>
        <w:t>| Drop PDFs here                               |</w:t>
        <w:br/>
        <w:t>|             [Choose PDFs]                    |</w:t>
        <w:br/>
        <w:t>| PDF files • multiple files supported         |</w:t>
        <w:br/>
        <w:t>+----------------------------------------------+</w:t>
        <w:br/>
        <w:br/>
        <w:t>[Selected file list / reorder]</w:t>
        <w:br/>
        <w:t>[                 Merge PDFs                  ]</w:t>
        <w:br/>
        <w:br/>
        <w:t>--- processing/result replaces workspace state ---</w:t>
        <w:br/>
        <w:br/>
        <w:t>✓ 4 files merged • 28 pages</w:t>
        <w:br/>
        <w:t>[             Download merged PDF             ]</w:t>
        <w:br/>
        <w:t>Start over     Compress this PDF</w:t>
        <w:br/>
        <w:br/>
        <w:t>[Clearly separated optional ad/content region]</w:t>
        <w:br/>
        <w:br/>
        <w:t>How it works • Privacy • FAQ • Related tools</w:t>
        <w:br/>
        <w:t>------------------------------------------------</w:t>
        <w:br/>
        <w:t>[Footer]</w:t>
      </w:r>
    </w:p>
    <w:p>
      <w:pPr>
        <w:pStyle w:val="Heading1"/>
      </w:pPr>
      <w:r>
        <w:t>21. UX 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EEF2F6"/>
          </w:tcPr>
          <w:p>
            <w:r/>
            <w:r>
              <w:rPr>
                <w:b/>
                <w:sz w:val="17"/>
              </w:rPr>
              <w:t>ID</w:t>
            </w:r>
          </w:p>
        </w:tc>
        <w:tc>
          <w:tcPr>
            <w:tcW w:type="dxa" w:w="5040"/>
            <w:shd w:fill="EEF2F6"/>
          </w:tcPr>
          <w:p>
            <w:r/>
            <w:r>
              <w:rPr>
                <w:b/>
                <w:sz w:val="17"/>
              </w:rPr>
              <w:t>Criterion</w:t>
            </w:r>
          </w:p>
        </w:tc>
      </w:tr>
      <w:tr>
        <w:tc>
          <w:tcPr>
            <w:tcW w:type="dxa" w:w="5040"/>
            <w:vAlign w:val="top"/>
          </w:tcPr>
          <w:p>
            <w:r/>
            <w:r>
              <w:rPr>
                <w:b w:val="0"/>
                <w:sz w:val="17"/>
              </w:rPr>
              <w:t>UX-001</w:t>
            </w:r>
          </w:p>
        </w:tc>
        <w:tc>
          <w:tcPr>
            <w:tcW w:type="dxa" w:w="5040"/>
            <w:vAlign w:val="top"/>
          </w:tcPr>
          <w:p>
            <w:r/>
            <w:r>
              <w:rPr>
                <w:b w:val="0"/>
                <w:sz w:val="17"/>
              </w:rPr>
              <w:t>A first-time user can identify the primary action on a tool page without scrolling on representative desktop and common mobile viewports.</w:t>
            </w:r>
          </w:p>
        </w:tc>
      </w:tr>
      <w:tr>
        <w:tc>
          <w:tcPr>
            <w:tcW w:type="dxa" w:w="5040"/>
            <w:vAlign w:val="top"/>
          </w:tcPr>
          <w:p>
            <w:r/>
            <w:r>
              <w:rPr>
                <w:b w:val="0"/>
                <w:sz w:val="17"/>
              </w:rPr>
              <w:t>UX-002</w:t>
            </w:r>
          </w:p>
        </w:tc>
        <w:tc>
          <w:tcPr>
            <w:tcW w:type="dxa" w:w="5040"/>
            <w:vAlign w:val="top"/>
          </w:tcPr>
          <w:p>
            <w:r/>
            <w:r>
              <w:rPr>
                <w:b w:val="0"/>
                <w:sz w:val="17"/>
              </w:rPr>
              <w:t>Local/server processing mode is visible before processing begins.</w:t>
            </w:r>
          </w:p>
        </w:tc>
      </w:tr>
      <w:tr>
        <w:tc>
          <w:tcPr>
            <w:tcW w:type="dxa" w:w="5040"/>
            <w:vAlign w:val="top"/>
          </w:tcPr>
          <w:p>
            <w:r/>
            <w:r>
              <w:rPr>
                <w:b w:val="0"/>
                <w:sz w:val="17"/>
              </w:rPr>
              <w:t>UX-003</w:t>
            </w:r>
          </w:p>
        </w:tc>
        <w:tc>
          <w:tcPr>
            <w:tcW w:type="dxa" w:w="5040"/>
            <w:vAlign w:val="top"/>
          </w:tcPr>
          <w:p>
            <w:r/>
            <w:r>
              <w:rPr>
                <w:b w:val="0"/>
                <w:sz w:val="17"/>
              </w:rPr>
              <w:t>Every drag-based interaction has a non-drag alternative.</w:t>
            </w:r>
          </w:p>
        </w:tc>
      </w:tr>
      <w:tr>
        <w:tc>
          <w:tcPr>
            <w:tcW w:type="dxa" w:w="5040"/>
            <w:vAlign w:val="top"/>
          </w:tcPr>
          <w:p>
            <w:r/>
            <w:r>
              <w:rPr>
                <w:b w:val="0"/>
                <w:sz w:val="17"/>
              </w:rPr>
              <w:t>UX-004</w:t>
            </w:r>
          </w:p>
        </w:tc>
        <w:tc>
          <w:tcPr>
            <w:tcW w:type="dxa" w:w="5040"/>
            <w:vAlign w:val="top"/>
          </w:tcPr>
          <w:p>
            <w:r/>
            <w:r>
              <w:rPr>
                <w:b w:val="0"/>
                <w:sz w:val="17"/>
              </w:rPr>
              <w:t>Download is visually distinguishable from advertisements and secondary product actions.</w:t>
            </w:r>
          </w:p>
        </w:tc>
      </w:tr>
      <w:tr>
        <w:tc>
          <w:tcPr>
            <w:tcW w:type="dxa" w:w="5040"/>
            <w:vAlign w:val="top"/>
          </w:tcPr>
          <w:p>
            <w:r/>
            <w:r>
              <w:rPr>
                <w:b w:val="0"/>
                <w:sz w:val="17"/>
              </w:rPr>
              <w:t>UX-005</w:t>
            </w:r>
          </w:p>
        </w:tc>
        <w:tc>
          <w:tcPr>
            <w:tcW w:type="dxa" w:w="5040"/>
            <w:vAlign w:val="top"/>
          </w:tcPr>
          <w:p>
            <w:r/>
            <w:r>
              <w:rPr>
                <w:b w:val="0"/>
                <w:sz w:val="17"/>
              </w:rPr>
              <w:t>No ad slot occupies the upload, interactive organizer, processing or download action cluster.</w:t>
            </w:r>
          </w:p>
        </w:tc>
      </w:tr>
      <w:tr>
        <w:tc>
          <w:tcPr>
            <w:tcW w:type="dxa" w:w="5040"/>
            <w:vAlign w:val="top"/>
          </w:tcPr>
          <w:p>
            <w:r/>
            <w:r>
              <w:rPr>
                <w:b w:val="0"/>
                <w:sz w:val="17"/>
              </w:rPr>
              <w:t>UX-006</w:t>
            </w:r>
          </w:p>
        </w:tc>
        <w:tc>
          <w:tcPr>
            <w:tcW w:type="dxa" w:w="5040"/>
            <w:vAlign w:val="top"/>
          </w:tcPr>
          <w:p>
            <w:r/>
            <w:r>
              <w:rPr>
                <w:b w:val="0"/>
                <w:sz w:val="17"/>
              </w:rPr>
              <w:t>Keyboard focus remains visible and is not obscured by author-created sticky UI.</w:t>
            </w:r>
          </w:p>
        </w:tc>
      </w:tr>
      <w:tr>
        <w:tc>
          <w:tcPr>
            <w:tcW w:type="dxa" w:w="5040"/>
            <w:vAlign w:val="top"/>
          </w:tcPr>
          <w:p>
            <w:r/>
            <w:r>
              <w:rPr>
                <w:b w:val="0"/>
                <w:sz w:val="17"/>
              </w:rPr>
              <w:t>UX-007</w:t>
            </w:r>
          </w:p>
        </w:tc>
        <w:tc>
          <w:tcPr>
            <w:tcW w:type="dxa" w:w="5040"/>
            <w:vAlign w:val="top"/>
          </w:tcPr>
          <w:p>
            <w:r/>
            <w:r>
              <w:rPr>
                <w:b w:val="0"/>
                <w:sz w:val="17"/>
              </w:rPr>
              <w:t>Errors provide a human-readable cause category and recovery action where possible.</w:t>
            </w:r>
          </w:p>
        </w:tc>
      </w:tr>
      <w:tr>
        <w:tc>
          <w:tcPr>
            <w:tcW w:type="dxa" w:w="5040"/>
            <w:vAlign w:val="top"/>
          </w:tcPr>
          <w:p>
            <w:r/>
            <w:r>
              <w:rPr>
                <w:b w:val="0"/>
                <w:sz w:val="17"/>
              </w:rPr>
              <w:t>UX-008</w:t>
            </w:r>
          </w:p>
        </w:tc>
        <w:tc>
          <w:tcPr>
            <w:tcW w:type="dxa" w:w="5040"/>
            <w:vAlign w:val="top"/>
          </w:tcPr>
          <w:p>
            <w:r/>
            <w:r>
              <w:rPr>
                <w:b w:val="0"/>
                <w:sz w:val="17"/>
              </w:rPr>
              <w:t>Mobile users can complete Images→PDF without requiring desktop interaction patterns.</w:t>
            </w:r>
          </w:p>
        </w:tc>
      </w:tr>
      <w:tr>
        <w:tc>
          <w:tcPr>
            <w:tcW w:type="dxa" w:w="5040"/>
            <w:vAlign w:val="top"/>
          </w:tcPr>
          <w:p>
            <w:r/>
            <w:r>
              <w:rPr>
                <w:b w:val="0"/>
                <w:sz w:val="17"/>
              </w:rPr>
              <w:t>UX-009</w:t>
            </w:r>
          </w:p>
        </w:tc>
        <w:tc>
          <w:tcPr>
            <w:tcW w:type="dxa" w:w="5040"/>
            <w:vAlign w:val="top"/>
          </w:tcPr>
          <w:p>
            <w:r/>
            <w:r>
              <w:rPr>
                <w:b w:val="0"/>
                <w:sz w:val="17"/>
              </w:rPr>
              <w:t>The UI works and remains coherent when advertisements are unavailable/disabled.</w:t>
            </w:r>
          </w:p>
        </w:tc>
      </w:tr>
      <w:tr>
        <w:tc>
          <w:tcPr>
            <w:tcW w:type="dxa" w:w="5040"/>
            <w:vAlign w:val="top"/>
          </w:tcPr>
          <w:p>
            <w:r/>
            <w:r>
              <w:rPr>
                <w:b w:val="0"/>
                <w:sz w:val="17"/>
              </w:rPr>
              <w:t>UX-010</w:t>
            </w:r>
          </w:p>
        </w:tc>
        <w:tc>
          <w:tcPr>
            <w:tcW w:type="dxa" w:w="5040"/>
            <w:vAlign w:val="top"/>
          </w:tcPr>
          <w:p>
            <w:r/>
            <w:r>
              <w:rPr>
                <w:b w:val="0"/>
                <w:sz w:val="17"/>
              </w:rPr>
              <w:t>Reduced-motion users can complete every workflow without essential animated movement.</w:t>
            </w:r>
          </w:p>
        </w:tc>
      </w:tr>
    </w:tbl>
    <w:p/>
    <w:p>
      <w:pPr>
        <w:pStyle w:val="Heading1"/>
      </w:pPr>
      <w:r>
        <w:t>22. What Is Intentionally Deferred</w:t>
      </w:r>
    </w:p>
    <w:p>
      <w:pPr>
        <w:pStyle w:val="ListBullet"/>
      </w:pPr>
      <w:r>
        <w:t>Final product name, logo and brand accent color.</w:t>
      </w:r>
    </w:p>
    <w:p>
      <w:pPr>
        <w:pStyle w:val="ListBullet"/>
      </w:pPr>
      <w:r>
        <w:t>Pixel-perfect high-fidelity visual mockups.</w:t>
      </w:r>
    </w:p>
    <w:p>
      <w:pPr>
        <w:pStyle w:val="ListBullet"/>
      </w:pPr>
      <w:r>
        <w:t>Dark mode; it is optional and should not delay MVP.</w:t>
      </w:r>
    </w:p>
    <w:p>
      <w:pPr>
        <w:pStyle w:val="ListBullet"/>
      </w:pPr>
      <w:r>
        <w:t>Account/dashboard UX, because accounts are post-MVP.</w:t>
      </w:r>
    </w:p>
    <w:p>
      <w:pPr>
        <w:pStyle w:val="ListBullet"/>
      </w:pPr>
      <w:r>
        <w:t>Workflow-builder UX, batch-processing UX and AI document interfaces.</w:t>
      </w:r>
    </w:p>
    <w:p>
      <w:pPr>
        <w:pStyle w:val="ListBullet"/>
      </w:pPr>
      <w:r>
        <w:t>Final ad unit sizes/locations until the real responsive interface can be tested safely.</w:t>
      </w:r>
    </w:p>
    <w:p>
      <w:pPr>
        <w:pStyle w:val="Heading1"/>
      </w:pPr>
      <w:r>
        <w:t>23. External Standards / Policy Basis</w:t>
      </w:r>
    </w:p>
    <w:p>
      <w:pPr>
        <w:pStyle w:val="ListBullet"/>
      </w:pPr>
      <w:r>
        <w:t>W3C WCAG 2.2: target WCAG 2.2 AA for core journeys; especially keyboard focus visibility, focus not obscured and target sizing.</w:t>
      </w:r>
    </w:p>
    <w:p>
      <w:pPr>
        <w:pStyle w:val="ListBullet"/>
      </w:pPr>
      <w:r>
        <w:t>Google AdSense placement policies: prevent accidental clicks and keep ads distinguishable from navigation/download/application controls.</w:t>
      </w:r>
    </w:p>
    <w:p>
      <w:pPr>
        <w:pStyle w:val="ListBullet"/>
      </w:pPr>
      <w:r>
        <w:t>Google AdSense best practices: prioritize the user's task, navigation clarity and a clean, uncluttered page.</w:t>
      </w:r>
    </w:p>
    <w:p>
      <w:pPr>
        <w:pStyle w:val="ListBullet"/>
      </w:pPr>
      <w:r>
        <w:t>Performance/Core Web Vitals requirements will be finalized in the QA/DevOps documents using current Google guidance.</w:t>
      </w:r>
    </w:p>
    <w:p>
      <w:pPr>
        <w:pStyle w:val="Heading1"/>
      </w:pPr>
      <w:r>
        <w:t>24. Phase Decision</w:t>
      </w:r>
    </w:p>
    <w:p>
      <w:r>
        <w:t>APPROVED UX DIRECTION: Build a restrained, professional utility interface whose visual identity comes from typography, spacing, interaction quality and a distinctive future brand system—not generic AI/SaaS decoration. This specification is the baseline for high-fidelity design and component implementation.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UI/UX baseline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Document &amp; File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1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314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31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1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