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145"/>
          <w:sz w:val="48"/>
        </w:rPr>
        <w:t>Codex Engineering Instructions</w:t>
      </w:r>
    </w:p>
    <w:p>
      <w:pPr>
        <w:jc w:val="center"/>
      </w:pPr>
      <w:r>
        <w:rPr>
          <w:i/>
          <w:sz w:val="22"/>
        </w:rPr>
        <w:t>Repository operating rules for AI-assisted implementation, review and learning</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Field</w:t>
            </w:r>
          </w:p>
        </w:tc>
        <w:tc>
          <w:tcPr>
            <w:tcW w:type="dxa" w:w="5083"/>
            <w:shd w:fill="EEF2F6"/>
          </w:tcPr>
          <w:p>
            <w:r/>
            <w:r>
              <w:rPr>
                <w:b/>
                <w:sz w:val="17"/>
              </w:rPr>
              <w:t>Value</w:t>
            </w:r>
          </w:p>
        </w:tc>
      </w:tr>
      <w:tr>
        <w:tc>
          <w:tcPr>
            <w:tcW w:type="dxa" w:w="5083"/>
            <w:vAlign w:val="top"/>
          </w:tcPr>
          <w:p>
            <w:r/>
            <w:r>
              <w:rPr>
                <w:b w:val="0"/>
                <w:sz w:val="17"/>
              </w:rPr>
              <w:t>Version</w:t>
            </w:r>
          </w:p>
        </w:tc>
        <w:tc>
          <w:tcPr>
            <w:tcW w:type="dxa" w:w="5083"/>
            <w:vAlign w:val="top"/>
          </w:tcPr>
          <w:p>
            <w:r/>
            <w:r>
              <w:rPr>
                <w:b w:val="0"/>
                <w:sz w:val="17"/>
              </w:rPr>
              <w:t>0.1 — Baseline</w:t>
            </w:r>
          </w:p>
        </w:tc>
      </w:tr>
      <w:tr>
        <w:tc>
          <w:tcPr>
            <w:tcW w:type="dxa" w:w="5083"/>
            <w:vAlign w:val="top"/>
          </w:tcPr>
          <w:p>
            <w:r/>
            <w:r>
              <w:rPr>
                <w:b w:val="0"/>
                <w:sz w:val="17"/>
              </w:rPr>
              <w:t>Date</w:t>
            </w:r>
          </w:p>
        </w:tc>
        <w:tc>
          <w:tcPr>
            <w:tcW w:type="dxa" w:w="5083"/>
            <w:vAlign w:val="top"/>
          </w:tcPr>
          <w:p>
            <w:r/>
            <w:r>
              <w:rPr>
                <w:b w:val="0"/>
                <w:sz w:val="17"/>
              </w:rPr>
              <w:t>24 September 2026</w:t>
            </w:r>
          </w:p>
        </w:tc>
      </w:tr>
      <w:tr>
        <w:tc>
          <w:tcPr>
            <w:tcW w:type="dxa" w:w="5083"/>
            <w:vAlign w:val="top"/>
          </w:tcPr>
          <w:p>
            <w:r/>
            <w:r>
              <w:rPr>
                <w:b w:val="0"/>
                <w:sz w:val="17"/>
              </w:rPr>
              <w:t>Status</w:t>
            </w:r>
          </w:p>
        </w:tc>
        <w:tc>
          <w:tcPr>
            <w:tcW w:type="dxa" w:w="5083"/>
            <w:vAlign w:val="top"/>
          </w:tcPr>
          <w:p>
            <w:r/>
            <w:r>
              <w:rPr>
                <w:b w:val="0"/>
                <w:sz w:val="17"/>
              </w:rPr>
              <w:t>Implementation planning baseline</w:t>
            </w:r>
          </w:p>
        </w:tc>
      </w:tr>
      <w:tr>
        <w:tc>
          <w:tcPr>
            <w:tcW w:type="dxa" w:w="5083"/>
            <w:vAlign w:val="top"/>
          </w:tcPr>
          <w:p>
            <w:r/>
            <w:r>
              <w:rPr>
                <w:b w:val="0"/>
                <w:sz w:val="17"/>
              </w:rPr>
              <w:t>Project</w:t>
            </w:r>
          </w:p>
        </w:tc>
        <w:tc>
          <w:tcPr>
            <w:tcW w:type="dxa" w:w="5083"/>
            <w:vAlign w:val="top"/>
          </w:tcPr>
          <w:p>
            <w:r/>
            <w:r>
              <w:rPr>
                <w:b w:val="0"/>
                <w:sz w:val="17"/>
              </w:rPr>
              <w:t>Document &amp; File Platform</w:t>
            </w:r>
          </w:p>
        </w:tc>
      </w:tr>
    </w:tbl>
    <w:p/>
    <w:p>
      <w:pPr>
        <w:pStyle w:val="Heading1"/>
      </w:pPr>
      <w:r>
        <w:t>1. Purpose</w:t>
      </w:r>
    </w:p>
    <w:p>
      <w:r>
        <w:t>These instructions govern Codex/AI-agent work in the repository. The agent is an implementation partner, not the product owner or architect. The approved documents are the source of truth; ambiguous decisions are surfaced rather than silently invented.</w:t>
      </w:r>
    </w:p>
    <w:p>
      <w:pPr>
        <w:pStyle w:val="Heading1"/>
      </w:pPr>
      <w:r>
        <w:t>2. Source-of-Truth Order</w:t>
      </w:r>
    </w:p>
    <w:p>
      <w:pPr>
        <w:pStyle w:val="ListNumber"/>
      </w:pPr>
      <w:r>
        <w:t>Current user instruction for the specific task.</w:t>
      </w:r>
    </w:p>
    <w:p>
      <w:pPr>
        <w:pStyle w:val="ListNumber"/>
      </w:pPr>
      <w:r>
        <w:t>Approved PRD/SRS and requirement IDs.</w:t>
      </w:r>
    </w:p>
    <w:p>
      <w:pPr>
        <w:pStyle w:val="ListNumber"/>
      </w:pPr>
      <w:r>
        <w:t>System Architecture &amp; Technical Design.</w:t>
      </w:r>
    </w:p>
    <w:p>
      <w:pPr>
        <w:pStyle w:val="ListNumber"/>
      </w:pPr>
      <w:r>
        <w:t>Security &amp; Privacy Architecture.</w:t>
      </w:r>
    </w:p>
    <w:p>
      <w:pPr>
        <w:pStyle w:val="ListNumber"/>
      </w:pPr>
      <w:r>
        <w:t>UI/UX Specification.</w:t>
      </w:r>
    </w:p>
    <w:p>
      <w:pPr>
        <w:pStyle w:val="ListNumber"/>
      </w:pPr>
      <w:r>
        <w:t>SEO/Growth Strategy.</w:t>
      </w:r>
    </w:p>
    <w:p>
      <w:pPr>
        <w:pStyle w:val="ListNumber"/>
      </w:pPr>
      <w:r>
        <w:t>Testing/QA Strategy and DevOps Plan.</w:t>
      </w:r>
    </w:p>
    <w:p>
      <w:pPr>
        <w:pStyle w:val="ListNumber"/>
      </w:pPr>
      <w:r>
        <w:t>Roadmap/backlog and ADRs.</w:t>
      </w:r>
    </w:p>
    <w:p>
      <w:pPr>
        <w:pStyle w:val="ListNumber"/>
      </w:pPr>
      <w:r>
        <w:t>Existing code conventions/tests.</w:t>
      </w:r>
    </w:p>
    <w:p>
      <w:pPr>
        <w:pStyle w:val="Heading1"/>
      </w:pPr>
      <w:r>
        <w:t>3. Mandatory Agent Behavior</w:t>
      </w:r>
    </w:p>
    <w:p>
      <w:pPr>
        <w:pStyle w:val="ListBullet"/>
      </w:pPr>
      <w:r>
        <w:t>Read the relevant requirement and architecture sections before changing code.</w:t>
      </w:r>
    </w:p>
    <w:p>
      <w:pPr>
        <w:pStyle w:val="ListBullet"/>
      </w:pPr>
      <w:r>
        <w:t>State a short implementation plan before non-trivial changes.</w:t>
      </w:r>
    </w:p>
    <w:p>
      <w:pPr>
        <w:pStyle w:val="ListBullet"/>
      </w:pPr>
      <w:r>
        <w:t>Change only what is necessary for the assigned task; avoid opportunistic rewrites.</w:t>
      </w:r>
    </w:p>
    <w:p>
      <w:pPr>
        <w:pStyle w:val="ListBullet"/>
      </w:pPr>
      <w:r>
        <w:t>Never silently change architecture, processing mode, retention, licensing assumptions or MVP scope.</w:t>
      </w:r>
    </w:p>
    <w:p>
      <w:pPr>
        <w:pStyle w:val="ListBullet"/>
      </w:pPr>
      <w:r>
        <w:t>Prefer existing abstractions over creating duplicate frameworks/helpers.</w:t>
      </w:r>
    </w:p>
    <w:p>
      <w:pPr>
        <w:pStyle w:val="ListBullet"/>
      </w:pPr>
      <w:r>
        <w:t>Add/update tests in the same change.</w:t>
      </w:r>
    </w:p>
    <w:p>
      <w:pPr>
        <w:pStyle w:val="ListBullet"/>
      </w:pPr>
      <w:r>
        <w:t>Run the relevant checks and report exactly what passed/failed.</w:t>
      </w:r>
    </w:p>
    <w:p>
      <w:pPr>
        <w:pStyle w:val="ListBullet"/>
      </w:pPr>
      <w:r>
        <w:t>Explain important implementation choices in plain language so the human developer learns from the change.</w:t>
      </w:r>
    </w:p>
    <w:p>
      <w:pPr>
        <w:pStyle w:val="Heading1"/>
      </w:pPr>
      <w:r>
        <w:t>4. Forbidden Behavior</w:t>
      </w:r>
    </w:p>
    <w:p>
      <w:pPr>
        <w:pStyle w:val="ListBullet"/>
      </w:pPr>
      <w:r>
        <w:t>Do not add authentication, PostgreSQL, Redis, queues, AI APIs or cloud storage unless the task/document explicitly requires them.</w:t>
      </w:r>
    </w:p>
    <w:p>
      <w:pPr>
        <w:pStyle w:val="ListBullet"/>
      </w:pPr>
      <w:r>
        <w:t>Do not upload a LOCAL tool's document bytes to the backend.</w:t>
      </w:r>
    </w:p>
    <w:p>
      <w:pPr>
        <w:pStyle w:val="ListBullet"/>
      </w:pPr>
      <w:r>
        <w:t>Do not use PyMuPDF or Ghostscript under AGPL in the proprietary MVP without an explicit licensing decision.</w:t>
      </w:r>
    </w:p>
    <w:p>
      <w:pPr>
        <w:pStyle w:val="ListBullet"/>
      </w:pPr>
      <w:r>
        <w:t>Do not log file contents, extracted text, secrets or sensitive raw filenames.</w:t>
      </w:r>
    </w:p>
    <w:p>
      <w:pPr>
        <w:pStyle w:val="ListBullet"/>
      </w:pPr>
      <w:r>
        <w:t>Do not use shell interpolation with user-controlled filenames/options.</w:t>
      </w:r>
    </w:p>
    <w:p>
      <w:pPr>
        <w:pStyle w:val="ListBullet"/>
      </w:pPr>
      <w:r>
        <w:t>Do not invent product copy, limits or security claims as facts.</w:t>
      </w:r>
    </w:p>
    <w:p>
      <w:pPr>
        <w:pStyle w:val="ListBullet"/>
      </w:pPr>
      <w:r>
        <w:t>Do not add generic AI gradients/glassmorphism/marketing sections contrary to the UX spec.</w:t>
      </w:r>
    </w:p>
    <w:p>
      <w:pPr>
        <w:pStyle w:val="ListBullet"/>
      </w:pPr>
      <w:r>
        <w:t>Do not add ad placements inside upload, processing, organizer or download action clusters.</w:t>
      </w:r>
    </w:p>
    <w:p>
      <w:pPr>
        <w:pStyle w:val="ListBullet"/>
      </w:pPr>
      <w:r>
        <w:t>Do not disable tests/lint/type checks to make CI pass.</w:t>
      </w:r>
    </w:p>
    <w:p>
      <w:pPr>
        <w:pStyle w:val="Heading1"/>
      </w:pPr>
      <w:r>
        <w:t>5. Code Structure Rules</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Area</w:t>
            </w:r>
          </w:p>
        </w:tc>
        <w:tc>
          <w:tcPr>
            <w:tcW w:type="dxa" w:w="5083"/>
            <w:shd w:fill="EEF2F6"/>
          </w:tcPr>
          <w:p>
            <w:r/>
            <w:r>
              <w:rPr>
                <w:b/>
                <w:sz w:val="17"/>
              </w:rPr>
              <w:t>Rule</w:t>
            </w:r>
          </w:p>
        </w:tc>
      </w:tr>
      <w:tr>
        <w:tc>
          <w:tcPr>
            <w:tcW w:type="dxa" w:w="5083"/>
            <w:vAlign w:val="top"/>
          </w:tcPr>
          <w:p>
            <w:r/>
            <w:r>
              <w:rPr>
                <w:b w:val="0"/>
                <w:sz w:val="17"/>
              </w:rPr>
              <w:t>apps/web</w:t>
            </w:r>
          </w:p>
        </w:tc>
        <w:tc>
          <w:tcPr>
            <w:tcW w:type="dxa" w:w="5083"/>
            <w:vAlign w:val="top"/>
          </w:tcPr>
          <w:p>
            <w:r/>
            <w:r>
              <w:rPr>
                <w:b w:val="0"/>
                <w:sz w:val="17"/>
              </w:rPr>
              <w:t>Next.js application and route composition; no native document engine binaries.</w:t>
            </w:r>
          </w:p>
        </w:tc>
      </w:tr>
      <w:tr>
        <w:tc>
          <w:tcPr>
            <w:tcW w:type="dxa" w:w="5083"/>
            <w:vAlign w:val="top"/>
          </w:tcPr>
          <w:p>
            <w:r/>
            <w:r>
              <w:rPr>
                <w:b w:val="0"/>
                <w:sz w:val="17"/>
              </w:rPr>
              <w:t>services/processor</w:t>
            </w:r>
          </w:p>
        </w:tc>
        <w:tc>
          <w:tcPr>
            <w:tcW w:type="dxa" w:w="5083"/>
            <w:vAlign w:val="top"/>
          </w:tcPr>
          <w:p>
            <w:r/>
            <w:r>
              <w:rPr>
                <w:b w:val="0"/>
                <w:sz w:val="17"/>
              </w:rPr>
              <w:t>FastAPI control plane + processing adapters; isolated server operations.</w:t>
            </w:r>
          </w:p>
        </w:tc>
      </w:tr>
      <w:tr>
        <w:tc>
          <w:tcPr>
            <w:tcW w:type="dxa" w:w="5083"/>
            <w:vAlign w:val="top"/>
          </w:tcPr>
          <w:p>
            <w:r/>
            <w:r>
              <w:rPr>
                <w:b w:val="0"/>
                <w:sz w:val="17"/>
              </w:rPr>
              <w:t>packages/tool-registry</w:t>
            </w:r>
          </w:p>
        </w:tc>
        <w:tc>
          <w:tcPr>
            <w:tcW w:type="dxa" w:w="5083"/>
            <w:vAlign w:val="top"/>
          </w:tcPr>
          <w:p>
            <w:r/>
            <w:r>
              <w:rPr>
                <w:b w:val="0"/>
                <w:sz w:val="17"/>
              </w:rPr>
              <w:t>Single source for tool slug/category/privacy/related metadata.</w:t>
            </w:r>
          </w:p>
        </w:tc>
      </w:tr>
      <w:tr>
        <w:tc>
          <w:tcPr>
            <w:tcW w:type="dxa" w:w="5083"/>
            <w:vAlign w:val="top"/>
          </w:tcPr>
          <w:p>
            <w:r/>
            <w:r>
              <w:rPr>
                <w:b w:val="0"/>
                <w:sz w:val="17"/>
              </w:rPr>
              <w:t>packages/pdf-browser</w:t>
            </w:r>
          </w:p>
        </w:tc>
        <w:tc>
          <w:tcPr>
            <w:tcW w:type="dxa" w:w="5083"/>
            <w:vAlign w:val="top"/>
          </w:tcPr>
          <w:p>
            <w:r/>
            <w:r>
              <w:rPr>
                <w:b w:val="0"/>
                <w:sz w:val="17"/>
              </w:rPr>
              <w:t>Browser PDF wrappers/workers; keep direct library usage behind stable interfaces.</w:t>
            </w:r>
          </w:p>
        </w:tc>
      </w:tr>
      <w:tr>
        <w:tc>
          <w:tcPr>
            <w:tcW w:type="dxa" w:w="5083"/>
            <w:vAlign w:val="top"/>
          </w:tcPr>
          <w:p>
            <w:r/>
            <w:r>
              <w:rPr>
                <w:b w:val="0"/>
                <w:sz w:val="17"/>
              </w:rPr>
              <w:t>packages/ui</w:t>
            </w:r>
          </w:p>
        </w:tc>
        <w:tc>
          <w:tcPr>
            <w:tcW w:type="dxa" w:w="5083"/>
            <w:vAlign w:val="top"/>
          </w:tcPr>
          <w:p>
            <w:r/>
            <w:r>
              <w:rPr>
                <w:b w:val="0"/>
                <w:sz w:val="17"/>
              </w:rPr>
              <w:t>Reusable accessible product primitives; no tool-specific business logic.</w:t>
            </w:r>
          </w:p>
        </w:tc>
      </w:tr>
      <w:tr>
        <w:tc>
          <w:tcPr>
            <w:tcW w:type="dxa" w:w="5083"/>
            <w:vAlign w:val="top"/>
          </w:tcPr>
          <w:p>
            <w:r/>
            <w:r>
              <w:rPr>
                <w:b w:val="0"/>
                <w:sz w:val="17"/>
              </w:rPr>
              <w:t>tests/fixtures</w:t>
            </w:r>
          </w:p>
        </w:tc>
        <w:tc>
          <w:tcPr>
            <w:tcW w:type="dxa" w:w="5083"/>
            <w:vAlign w:val="top"/>
          </w:tcPr>
          <w:p>
            <w:r/>
            <w:r>
              <w:rPr>
                <w:b w:val="0"/>
                <w:sz w:val="17"/>
              </w:rPr>
              <w:t>Curated safe/adversarial fixture corpus; document provenance/license recorded where needed.</w:t>
            </w:r>
          </w:p>
        </w:tc>
      </w:tr>
      <w:tr>
        <w:tc>
          <w:tcPr>
            <w:tcW w:type="dxa" w:w="5083"/>
            <w:vAlign w:val="top"/>
          </w:tcPr>
          <w:p>
            <w:r/>
            <w:r>
              <w:rPr>
                <w:b w:val="0"/>
                <w:sz w:val="17"/>
              </w:rPr>
              <w:t>docs/adr</w:t>
            </w:r>
          </w:p>
        </w:tc>
        <w:tc>
          <w:tcPr>
            <w:tcW w:type="dxa" w:w="5083"/>
            <w:vAlign w:val="top"/>
          </w:tcPr>
          <w:p>
            <w:r/>
            <w:r>
              <w:rPr>
                <w:b w:val="0"/>
                <w:sz w:val="17"/>
              </w:rPr>
              <w:t>Material architecture decisions and deviations.</w:t>
            </w:r>
          </w:p>
        </w:tc>
      </w:tr>
    </w:tbl>
    <w:p/>
    <w:p>
      <w:pPr>
        <w:pStyle w:val="Heading1"/>
      </w:pPr>
      <w:r>
        <w:t>6. TypeScript / Frontend Rules</w:t>
      </w:r>
    </w:p>
    <w:p>
      <w:pPr>
        <w:pStyle w:val="ListBullet"/>
      </w:pPr>
      <w:r>
        <w:t>Strict TypeScript; avoid any unless justified and localized.</w:t>
      </w:r>
    </w:p>
    <w:p>
      <w:pPr>
        <w:pStyle w:val="ListBullet"/>
      </w:pPr>
      <w:r>
        <w:t>Prefer Server Components/static rendering for descriptive SEO content; client components only where interaction requires them.</w:t>
      </w:r>
    </w:p>
    <w:p>
      <w:pPr>
        <w:pStyle w:val="ListBullet"/>
      </w:pPr>
      <w:r>
        <w:t>Lazy-load heavyweight PDF libraries per tool.</w:t>
      </w:r>
    </w:p>
    <w:p>
      <w:pPr>
        <w:pStyle w:val="ListBullet"/>
      </w:pPr>
      <w:r>
        <w:t>CPU-heavy local processing should use Web Workers when benchmarked need exists.</w:t>
      </w:r>
    </w:p>
    <w:p>
      <w:pPr>
        <w:pStyle w:val="ListBullet"/>
      </w:pPr>
      <w:r>
        <w:t>Every drag interaction has a button/keyboard alternative.</w:t>
      </w:r>
    </w:p>
    <w:p>
      <w:pPr>
        <w:pStyle w:val="ListBullet"/>
      </w:pPr>
      <w:r>
        <w:t>Do not render document-derived strings as unsafe HTML.</w:t>
      </w:r>
    </w:p>
    <w:p>
      <w:pPr>
        <w:pStyle w:val="ListBullet"/>
      </w:pPr>
      <w:r>
        <w:t>Revoke Blob/Object URLs after use/cleanup.</w:t>
      </w:r>
    </w:p>
    <w:p>
      <w:pPr>
        <w:pStyle w:val="Heading1"/>
      </w:pPr>
      <w:r>
        <w:t>7. Python / Processor Rules</w:t>
      </w:r>
    </w:p>
    <w:p>
      <w:pPr>
        <w:pStyle w:val="ListBullet"/>
      </w:pPr>
      <w:r>
        <w:t>Typed request/response models; stable safe error categories.</w:t>
      </w:r>
    </w:p>
    <w:p>
      <w:pPr>
        <w:pStyle w:val="ListBullet"/>
      </w:pPr>
      <w:r>
        <w:t>Every job gets a random isolated workspace.</w:t>
      </w:r>
    </w:p>
    <w:p>
      <w:pPr>
        <w:pStyle w:val="ListBullet"/>
      </w:pPr>
      <w:r>
        <w:t>Invoke external engines with argument arrays, never shell-concatenated user input.</w:t>
      </w:r>
    </w:p>
    <w:p>
      <w:pPr>
        <w:pStyle w:val="ListBullet"/>
      </w:pPr>
      <w:r>
        <w:t>Enforce timeout/resource/output limits at the execution boundary.</w:t>
      </w:r>
    </w:p>
    <w:p>
      <w:pPr>
        <w:pStyle w:val="ListBullet"/>
      </w:pPr>
      <w:r>
        <w:t>Validate output before release.</w:t>
      </w:r>
    </w:p>
    <w:p>
      <w:pPr>
        <w:pStyle w:val="ListBullet"/>
      </w:pPr>
      <w:r>
        <w:t>Cleanup in finally/error paths plus independent stale cleanup.</w:t>
      </w:r>
    </w:p>
    <w:p>
      <w:pPr>
        <w:pStyle w:val="ListBullet"/>
      </w:pPr>
      <w:r>
        <w:t>Keep FastAPI thin; engine-specific logic belongs in adapters.</w:t>
      </w:r>
    </w:p>
    <w:p>
      <w:pPr>
        <w:pStyle w:val="Heading1"/>
      </w:pPr>
      <w:r>
        <w:t>8. Testing Rules</w:t>
      </w:r>
    </w:p>
    <w:p>
      <w:pPr>
        <w:pStyle w:val="ListBullet"/>
      </w:pPr>
      <w:r>
        <w:t>Tests prove output semantics, not only HTTP 200/UI visibility.</w:t>
      </w:r>
    </w:p>
    <w:p>
      <w:pPr>
        <w:pStyle w:val="ListBullet"/>
      </w:pPr>
      <w:r>
        <w:t>Use fixture documents and expected page counts/order/content markers.</w:t>
      </w:r>
    </w:p>
    <w:p>
      <w:pPr>
        <w:pStyle w:val="ListBullet"/>
      </w:pPr>
      <w:r>
        <w:t>LOCAL tool E2E tests assert no document upload network call.</w:t>
      </w:r>
    </w:p>
    <w:p>
      <w:pPr>
        <w:pStyle w:val="ListBullet"/>
      </w:pPr>
      <w:r>
        <w:t>Server tests cover corrupt, wrong-type, oversized and timeout paths.</w:t>
      </w:r>
    </w:p>
    <w:p>
      <w:pPr>
        <w:pStyle w:val="ListBullet"/>
      </w:pPr>
      <w:r>
        <w:t>Every fixed bug gets a regression test when reasonably reproducible.</w:t>
      </w:r>
    </w:p>
    <w:p>
      <w:pPr>
        <w:pStyle w:val="Heading1"/>
      </w:pPr>
      <w:r>
        <w:t>9. Security Checklist for Every File-Processing Change</w:t>
      </w:r>
    </w:p>
    <w:p>
      <w:pPr>
        <w:pStyle w:val="ListBullet"/>
      </w:pPr>
      <w:r>
        <w:t>Could user input reach a path, command, HTML sink or log?</w:t>
      </w:r>
    </w:p>
    <w:p>
      <w:pPr>
        <w:pStyle w:val="ListBullet"/>
      </w:pPr>
      <w:r>
        <w:t>Are type/size/page/resource limits enforced at the correct boundary?</w:t>
      </w:r>
    </w:p>
    <w:p>
      <w:pPr>
        <w:pStyle w:val="ListBullet"/>
      </w:pPr>
      <w:r>
        <w:t>Does the change expand network access or data retention?</w:t>
      </w:r>
    </w:p>
    <w:p>
      <w:pPr>
        <w:pStyle w:val="ListBullet"/>
      </w:pPr>
      <w:r>
        <w:t>Can one user's job/output be accessed by another?</w:t>
      </w:r>
    </w:p>
    <w:p>
      <w:pPr>
        <w:pStyle w:val="ListBullet"/>
      </w:pPr>
      <w:r>
        <w:t>Are temporary artifacts removed after all terminal states?</w:t>
      </w:r>
    </w:p>
    <w:p>
      <w:pPr>
        <w:pStyle w:val="ListBullet"/>
      </w:pPr>
      <w:r>
        <w:t>Does a third-party dependency introduce licensing/security risk?</w:t>
      </w:r>
    </w:p>
    <w:p>
      <w:pPr>
        <w:pStyle w:val="Heading1"/>
      </w:pPr>
      <w:r>
        <w:t>10. UX Checklist</w:t>
      </w:r>
    </w:p>
    <w:p>
      <w:pPr>
        <w:pStyle w:val="ListBullet"/>
      </w:pPr>
      <w:r>
        <w:t>Is the primary task obvious before scrolling?</w:t>
      </w:r>
    </w:p>
    <w:p>
      <w:pPr>
        <w:pStyle w:val="ListBullet"/>
      </w:pPr>
      <w:r>
        <w:t>Does the privacy indicator match implementation?</w:t>
      </w:r>
    </w:p>
    <w:p>
      <w:pPr>
        <w:pStyle w:val="ListBullet"/>
      </w:pPr>
      <w:r>
        <w:t>Does keyboard-only usage work?</w:t>
      </w:r>
    </w:p>
    <w:p>
      <w:pPr>
        <w:pStyle w:val="ListBullet"/>
      </w:pPr>
      <w:r>
        <w:t>Are mobile controls usable without desktop assumptions?</w:t>
      </w:r>
    </w:p>
    <w:p>
      <w:pPr>
        <w:pStyle w:val="ListBullet"/>
      </w:pPr>
      <w:r>
        <w:t>Is Download the unmistakable primary result action?</w:t>
      </w:r>
    </w:p>
    <w:p>
      <w:pPr>
        <w:pStyle w:val="ListBullet"/>
      </w:pPr>
      <w:r>
        <w:t>Are errors actionable and non-technical?</w:t>
      </w:r>
    </w:p>
    <w:p>
      <w:pPr>
        <w:pStyle w:val="ListBullet"/>
      </w:pPr>
      <w:r>
        <w:t>Does the UI avoid generic AI/SaaS decoration?</w:t>
      </w:r>
    </w:p>
    <w:p>
      <w:pPr>
        <w:pStyle w:val="Heading1"/>
      </w:pPr>
      <w:r>
        <w:t>11. Commit / PR Expectations</w:t>
      </w:r>
    </w:p>
    <w:p>
      <w:r>
        <w:t>For each meaningful change, the agent should produce a concise summary containing: what changed; requirement/task IDs; tests run; known limitations; screenshots/visual notes when UI changed; any follow-up. Commits should not mix unrelated refactors with feature work.</w:t>
      </w:r>
    </w:p>
    <w:p>
      <w:pPr>
        <w:pStyle w:val="Heading1"/>
      </w:pPr>
      <w:r>
        <w:t>12. Task Prompt Template for Codex</w:t>
      </w:r>
    </w:p>
    <w:p>
      <w:r>
        <w:t>TASK: &lt;one concrete task&gt;</w:t>
        <w:br/>
        <w:t>SOURCE OF TRUTH: &lt;requirement IDs / document sections&gt;</w:t>
        <w:br/>
        <w:t>GOAL: &lt;observable outcome&gt;</w:t>
        <w:br/>
        <w:t>CONSTRAINTS: &lt;privacy, architecture, licensing, UX&gt;</w:t>
        <w:br/>
        <w:t>ACCEPTANCE:</w:t>
        <w:br/>
        <w:t>- &lt;testable condition&gt;</w:t>
        <w:br/>
        <w:t>- &lt;testable condition&gt;</w:t>
        <w:br/>
        <w:t>REQUIRED TESTS: &lt;unit/integration/E2E&gt;</w:t>
        <w:br/>
        <w:t>DO NOT: &lt;scope exclusions&gt;</w:t>
        <w:br/>
        <w:t>Before coding, inspect the relevant existing code and give a short plan. After coding, run the required checks and explain the implementation and any remaining limitation.</w:t>
      </w:r>
    </w:p>
    <w:p>
      <w:pPr>
        <w:pStyle w:val="Heading1"/>
      </w:pPr>
      <w:r>
        <w:t>13. Human Learning Rule</w:t>
      </w:r>
    </w:p>
    <w:p>
      <w:r>
        <w:t>The agent must not turn the repository into code the owner cannot understand. For important modules, explain the data flow, why the chosen abstraction exists, what could fail, and how to debug it. The human developer should be able to reproduce the reasoning without the agent.</w:t>
      </w:r>
    </w:p>
    <w:p>
      <w:pPr>
        <w:pStyle w:val="Heading1"/>
      </w:pPr>
      <w:r>
        <w:t>14. Escalation Rules</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Situation</w:t>
            </w:r>
          </w:p>
        </w:tc>
        <w:tc>
          <w:tcPr>
            <w:tcW w:type="dxa" w:w="5083"/>
            <w:shd w:fill="EEF2F6"/>
          </w:tcPr>
          <w:p>
            <w:r/>
            <w:r>
              <w:rPr>
                <w:b/>
                <w:sz w:val="17"/>
              </w:rPr>
              <w:t>Agent action</w:t>
            </w:r>
          </w:p>
        </w:tc>
      </w:tr>
      <w:tr>
        <w:tc>
          <w:tcPr>
            <w:tcW w:type="dxa" w:w="5083"/>
            <w:vAlign w:val="top"/>
          </w:tcPr>
          <w:p>
            <w:r/>
            <w:r>
              <w:rPr>
                <w:b w:val="0"/>
                <w:sz w:val="17"/>
              </w:rPr>
              <w:t>Requirement conflicts with architecture</w:t>
            </w:r>
          </w:p>
        </w:tc>
        <w:tc>
          <w:tcPr>
            <w:tcW w:type="dxa" w:w="5083"/>
            <w:vAlign w:val="top"/>
          </w:tcPr>
          <w:p>
            <w:r/>
            <w:r>
              <w:rPr>
                <w:b w:val="0"/>
                <w:sz w:val="17"/>
              </w:rPr>
              <w:t>Stop and surface conflict; do not choose silently.</w:t>
            </w:r>
          </w:p>
        </w:tc>
      </w:tr>
      <w:tr>
        <w:tc>
          <w:tcPr>
            <w:tcW w:type="dxa" w:w="5083"/>
            <w:vAlign w:val="top"/>
          </w:tcPr>
          <w:p>
            <w:r/>
            <w:r>
              <w:rPr>
                <w:b w:val="0"/>
                <w:sz w:val="17"/>
              </w:rPr>
              <w:t>Library license unclear</w:t>
            </w:r>
          </w:p>
        </w:tc>
        <w:tc>
          <w:tcPr>
            <w:tcW w:type="dxa" w:w="5083"/>
            <w:vAlign w:val="top"/>
          </w:tcPr>
          <w:p>
            <w:r/>
            <w:r>
              <w:rPr>
                <w:b w:val="0"/>
                <w:sz w:val="17"/>
              </w:rPr>
              <w:t>Do not add dependency until reviewed.</w:t>
            </w:r>
          </w:p>
        </w:tc>
      </w:tr>
      <w:tr>
        <w:tc>
          <w:tcPr>
            <w:tcW w:type="dxa" w:w="5083"/>
            <w:vAlign w:val="top"/>
          </w:tcPr>
          <w:p>
            <w:r/>
            <w:r>
              <w:rPr>
                <w:b w:val="0"/>
                <w:sz w:val="17"/>
              </w:rPr>
              <w:t>Security-sensitive shortcut required</w:t>
            </w:r>
          </w:p>
        </w:tc>
        <w:tc>
          <w:tcPr>
            <w:tcW w:type="dxa" w:w="5083"/>
            <w:vAlign w:val="top"/>
          </w:tcPr>
          <w:p>
            <w:r/>
            <w:r>
              <w:rPr>
                <w:b w:val="0"/>
                <w:sz w:val="17"/>
              </w:rPr>
              <w:t>Stop and propose safe alternatives.</w:t>
            </w:r>
          </w:p>
        </w:tc>
      </w:tr>
      <w:tr>
        <w:tc>
          <w:tcPr>
            <w:tcW w:type="dxa" w:w="5083"/>
            <w:vAlign w:val="top"/>
          </w:tcPr>
          <w:p>
            <w:r/>
            <w:r>
              <w:rPr>
                <w:b w:val="0"/>
                <w:sz w:val="17"/>
              </w:rPr>
              <w:t>PDF→Word/compression quality inadequate</w:t>
            </w:r>
          </w:p>
        </w:tc>
        <w:tc>
          <w:tcPr>
            <w:tcW w:type="dxa" w:w="5083"/>
            <w:vAlign w:val="top"/>
          </w:tcPr>
          <w:p>
            <w:r/>
            <w:r>
              <w:rPr>
                <w:b w:val="0"/>
                <w:sz w:val="17"/>
              </w:rPr>
              <w:t>Report benchmark evidence; do not hide limitation.</w:t>
            </w:r>
          </w:p>
        </w:tc>
      </w:tr>
      <w:tr>
        <w:tc>
          <w:tcPr>
            <w:tcW w:type="dxa" w:w="5083"/>
            <w:vAlign w:val="top"/>
          </w:tcPr>
          <w:p>
            <w:r/>
            <w:r>
              <w:rPr>
                <w:b w:val="0"/>
                <w:sz w:val="17"/>
              </w:rPr>
              <w:t>Task requires new persistent infrastructure</w:t>
            </w:r>
          </w:p>
        </w:tc>
        <w:tc>
          <w:tcPr>
            <w:tcW w:type="dxa" w:w="5083"/>
            <w:vAlign w:val="top"/>
          </w:tcPr>
          <w:p>
            <w:r/>
            <w:r>
              <w:rPr>
                <w:b w:val="0"/>
                <w:sz w:val="17"/>
              </w:rPr>
              <w:t>Explain why and request architecture decision.</w:t>
            </w:r>
          </w:p>
        </w:tc>
      </w:tr>
      <w:tr>
        <w:tc>
          <w:tcPr>
            <w:tcW w:type="dxa" w:w="5083"/>
            <w:vAlign w:val="top"/>
          </w:tcPr>
          <w:p>
            <w:r/>
            <w:r>
              <w:rPr>
                <w:b w:val="0"/>
                <w:sz w:val="17"/>
              </w:rPr>
              <w:t>Tests reveal existing unrelated bug</w:t>
            </w:r>
          </w:p>
        </w:tc>
        <w:tc>
          <w:tcPr>
            <w:tcW w:type="dxa" w:w="5083"/>
            <w:vAlign w:val="top"/>
          </w:tcPr>
          <w:p>
            <w:r/>
            <w:r>
              <w:rPr>
                <w:b w:val="0"/>
                <w:sz w:val="17"/>
              </w:rPr>
              <w:t>Report separately; do not expand scope unless necessary.</w:t>
            </w:r>
          </w:p>
        </w:tc>
      </w:tr>
    </w:tbl>
    <w:p/>
    <w:p>
      <w:pPr>
        <w:pStyle w:val="Heading1"/>
      </w:pPr>
      <w:r>
        <w:t>15. Initial Codex Mission</w:t>
      </w:r>
    </w:p>
    <w:p>
      <w:r>
        <w:t>The first implementation assignment should be M0/M1 foundation plus Merge PDF vertical slice—not the entire platform. Codex should create the skeleton, quality tooling, tool registry, core UI primitives and local Merge flow with tests, then stop for review.</w:t>
      </w:r>
    </w:p>
    <w:p>
      <w:pPr>
        <w:pStyle w:val="Heading1"/>
      </w:pPr>
      <w:r>
        <w:t>16. Decision</w:t>
      </w:r>
    </w:p>
    <w:p>
      <w:r>
        <w:t>APPROVED AGENT POLICY: Codex implements small reviewed slices under documented architecture; it does not independently redesign the product.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Codex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Document &amp; File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1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314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1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1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