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How to specify Zeidon OI URLs and DbHandler.</w:t>
      </w:r>
    </w:p>
    <w:p>
      <w:pPr>
        <w:pStyle w:val="style0"/>
      </w:pPr>
      <w:r>
        <w:rPr/>
        <w:t>When an OI is activated or committed the logic for determining the server is initiated by the config setting oiServerUrl in the application group in the config file.  For example:</w:t>
      </w:r>
    </w:p>
    <w:p>
      <w:pPr>
        <w:pStyle w:val="style0"/>
      </w:pPr>
      <w:r>
        <w:rPr/>
      </w:r>
    </w:p>
    <w:p>
      <w:pPr>
        <w:pStyle w:val="style0"/>
      </w:pPr>
      <w:r>
        <w:rPr/>
        <w:tab/>
      </w:r>
      <w:r>
        <w:rPr>
          <w:rFonts w:ascii="Monospace" w:hAnsi="Monospace"/>
        </w:rPr>
        <w:t>[ZENCAs]</w:t>
      </w:r>
    </w:p>
    <w:p>
      <w:pPr>
        <w:pStyle w:val="style0"/>
      </w:pPr>
      <w:r>
        <w:rPr>
          <w:rFonts w:ascii="Monospace" w:hAnsi="Monospace"/>
        </w:rPr>
        <w:tab/>
        <w:t>oiServerUrl=jdbc:mysql://192.168.1.100/zencasa</w:t>
      </w:r>
    </w:p>
    <w:p>
      <w:pPr>
        <w:pStyle w:val="style0"/>
      </w:pPr>
      <w:r>
        <w:rPr/>
      </w:r>
    </w:p>
    <w:p>
      <w:pPr>
        <w:pStyle w:val="style0"/>
      </w:pPr>
      <w:r>
        <w:rPr/>
        <w:t>The first section of the URL specifies the protocol ('jdbc' in the above example).  The protocol is used to decide how the OI will be activated/committed.</w:t>
      </w:r>
    </w:p>
    <w:p>
      <w:pPr>
        <w:pStyle w:val="style0"/>
      </w:pPr>
      <w:r>
        <w:rPr/>
      </w:r>
    </w:p>
    <w:p>
      <w:pPr>
        <w:pStyle w:val="style1"/>
        <w:numPr>
          <w:ilvl w:val="0"/>
          <w:numId w:val="1"/>
        </w:numPr>
      </w:pPr>
      <w:r>
        <w:rPr/>
        <w:t>JDBC protocol</w:t>
      </w:r>
    </w:p>
    <w:p>
      <w:pPr>
        <w:pStyle w:val="style0"/>
      </w:pPr>
      <w:r>
        <w:rPr/>
        <w:t>If the protocol is 'jdbc' a DbHandler that talks to a JDBC database is used.  The second part of the URL specifies the DB type which determines which DB handler is used.  The default is com.quinsoft.zeidon.dbhandler.JdbcHandler.  The following will be used for specific DB types:</w:t>
      </w:r>
    </w:p>
    <w:p>
      <w:pPr>
        <w:pStyle w:val="style0"/>
      </w:pPr>
      <w:r>
        <w:rPr/>
      </w:r>
    </w:p>
    <w:p>
      <w:pPr>
        <w:pStyle w:val="style0"/>
      </w:pPr>
      <w:r>
        <w:rPr/>
        <w:t>mysql:  com.quinsoft.zeidon.dbhandler.MySqlJdbcHandler</w:t>
      </w:r>
    </w:p>
    <w:p>
      <w:pPr>
        <w:pStyle w:val="style0"/>
      </w:pPr>
      <w:r>
        <w:rPr/>
        <w:t>sqlite:  com.quinsoft.zeidon.dbhandler.SqliteJdbcHandler</w:t>
      </w:r>
    </w:p>
    <w:p>
      <w:pPr>
        <w:pStyle w:val="style0"/>
      </w:pPr>
      <w:r>
        <w:rPr/>
      </w:r>
    </w:p>
    <w:p>
      <w:pPr>
        <w:pStyle w:val="style1"/>
        <w:numPr>
          <w:ilvl w:val="0"/>
          <w:numId w:val="1"/>
        </w:numPr>
      </w:pPr>
      <w:r>
        <w:rPr/>
        <w:t>Specifying config values for JDBC dbhandlers.</w:t>
      </w:r>
    </w:p>
    <w:p>
      <w:pPr>
        <w:pStyle w:val="style0"/>
      </w:pPr>
      <w:r>
        <w:rPr/>
        <w:t>Config values are specified in the config file using a group name constructed like this:</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sz w:val="20"/>
          <w:szCs w:val="20"/>
        </w:rPr>
        <w:tab/>
      </w:r>
      <w:r>
        <w:rPr>
          <w:rFonts w:ascii="Monospace" w:cs="Monospace" w:eastAsia="Monospace" w:hAnsi="Monospace"/>
          <w:b/>
          <w:bCs/>
          <w:sz w:val="24"/>
          <w:szCs w:val="24"/>
        </w:rPr>
        <w:t>APPNAME.DBNAME.</w:t>
      </w:r>
      <w:r>
        <w:rPr>
          <w:rFonts w:ascii="Monospace" w:cs="Monospace" w:eastAsia="Monospace" w:hAnsi="Monospace"/>
          <w:b w:val="false"/>
          <w:bCs w:val="false"/>
          <w:sz w:val="24"/>
          <w:szCs w:val="24"/>
        </w:rPr>
        <w:t>jdbc</w:t>
      </w:r>
      <w:r>
        <w:rPr>
          <w:rFonts w:ascii="Monospace" w:cs="Monospace" w:eastAsia="Monospace" w:hAnsi="Monospace"/>
          <w:b/>
          <w:bCs/>
          <w:sz w:val="24"/>
          <w:szCs w:val="24"/>
        </w:rPr>
        <w:t>.PROTOCOL</w:t>
      </w:r>
    </w:p>
    <w:p>
      <w:pPr>
        <w:pStyle w:val="style0"/>
        <w:autoSpaceDE w:val="false"/>
        <w:ind w:hanging="0" w:left="0" w:right="0"/>
        <w:jc w:val="left"/>
      </w:pPr>
      <w:r>
        <w:rPr>
          <w:rFonts w:ascii="Monospace" w:cs="Monospace" w:eastAsia="Monospace" w:hAnsi="Monospace"/>
          <w:sz w:val="24"/>
          <w:szCs w:val="24"/>
        </w:rPr>
      </w:r>
    </w:p>
    <w:p>
      <w:pPr>
        <w:pStyle w:val="style0"/>
        <w:autoSpaceDE w:val="false"/>
        <w:ind w:hanging="0" w:left="0" w:right="0"/>
        <w:jc w:val="left"/>
      </w:pPr>
      <w:r>
        <w:rPr>
          <w:rFonts w:ascii="Times New Roman" w:cs="Monospace" w:eastAsia="Monospace" w:hAnsi="Times New Roman"/>
          <w:b w:val="false"/>
          <w:bCs w:val="false"/>
          <w:sz w:val="24"/>
          <w:szCs w:val="24"/>
        </w:rPr>
        <w:t>For example:</w:t>
      </w:r>
    </w:p>
    <w:p>
      <w:pPr>
        <w:pStyle w:val="style0"/>
        <w:autoSpaceDE w:val="false"/>
        <w:ind w:hanging="0" w:left="0" w:right="0"/>
        <w:jc w:val="left"/>
      </w:pPr>
      <w:r>
        <w:rPr>
          <w:rFonts w:ascii="Monospace" w:cs="Monospace" w:eastAsia="Monospace" w:hAnsi="Monospace"/>
          <w:sz w:val="24"/>
          <w:szCs w:val="24"/>
        </w:rPr>
        <w:tab/>
        <w:t>[ZENCAs.ZENCASS.jdbc.sqlite]</w:t>
      </w:r>
    </w:p>
    <w:p>
      <w:pPr>
        <w:pStyle w:val="style0"/>
        <w:autoSpaceDE w:val="false"/>
        <w:ind w:hanging="0" w:left="0" w:right="0"/>
        <w:jc w:val="left"/>
      </w:pPr>
      <w:r>
        <w:rPr>
          <w:rFonts w:ascii="Monospace" w:cs="Monospace" w:eastAsia="Monospace" w:hAnsi="Monospace"/>
          <w:sz w:val="24"/>
          <w:szCs w:val="24"/>
        </w:rPr>
        <w:tab/>
      </w:r>
      <w:r>
        <w:rPr>
          <w:rFonts w:ascii="Times New Roman" w:cs="Monospace" w:eastAsia="Monospace" w:hAnsi="Times New Roman"/>
          <w:sz w:val="24"/>
          <w:szCs w:val="24"/>
        </w:rPr>
        <w:t>-or-</w:t>
      </w:r>
    </w:p>
    <w:p>
      <w:pPr>
        <w:pStyle w:val="style0"/>
        <w:autoSpaceDE w:val="false"/>
        <w:ind w:hanging="0" w:left="0" w:right="0"/>
        <w:jc w:val="left"/>
      </w:pPr>
      <w:r>
        <w:rPr>
          <w:rFonts w:ascii="Monospace" w:cs="Monospace" w:eastAsia="Monospace" w:hAnsi="Monospace"/>
          <w:sz w:val="24"/>
          <w:szCs w:val="24"/>
        </w:rPr>
        <w:tab/>
        <w:t>[ePamms.ePammsM.jdbc.mysql]</w:t>
      </w:r>
    </w:p>
    <w:p>
      <w:pPr>
        <w:pStyle w:val="style0"/>
        <w:autoSpaceDE w:val="false"/>
        <w:ind w:hanging="0" w:left="0" w:right="0"/>
        <w:jc w:val="left"/>
      </w:pPr>
      <w:r>
        <w:rPr>
          <w:rFonts w:ascii="Monospace" w:cs="Monospace" w:eastAsia="Monospace" w:hAnsi="Monospace"/>
          <w:sz w:val="24"/>
          <w:szCs w:val="24"/>
        </w:rPr>
      </w:r>
    </w:p>
    <w:p>
      <w:pPr>
        <w:pStyle w:val="style0"/>
      </w:pPr>
      <w:r>
        <w:rPr>
          <w:sz w:val="24"/>
          <w:szCs w:val="24"/>
        </w:rPr>
      </w:r>
    </w:p>
    <w:p>
      <w:pPr>
        <w:pStyle w:val="style0"/>
      </w:pPr>
      <w:r>
        <w:rPr>
          <w:sz w:val="24"/>
          <w:szCs w:val="24"/>
        </w:rPr>
        <w:t>Config values are specified under the group.  Here are some sample config values:</w:t>
      </w:r>
    </w:p>
    <w:p>
      <w:pPr>
        <w:pStyle w:val="style0"/>
      </w:pPr>
      <w:r>
        <w:rPr>
          <w:sz w:val="24"/>
          <w:szCs w:val="24"/>
        </w:rPr>
      </w:r>
    </w:p>
    <w:p>
      <w:pPr>
        <w:pStyle w:val="style0"/>
        <w:autoSpaceDE w:val="false"/>
        <w:ind w:hanging="0" w:left="0" w:right="0"/>
        <w:jc w:val="left"/>
      </w:pPr>
      <w:r>
        <w:rPr>
          <w:rFonts w:ascii="Monospace" w:cs="Monospace" w:eastAsia="Monospace" w:hAnsi="Monospace"/>
          <w:sz w:val="24"/>
          <w:szCs w:val="24"/>
        </w:rPr>
        <w:tab/>
        <w:t>[ZENCAs.ZENCASS.jdbc.sqlite]</w:t>
      </w:r>
    </w:p>
    <w:p>
      <w:pPr>
        <w:pStyle w:val="style0"/>
        <w:autoSpaceDE w:val="false"/>
        <w:ind w:hanging="0" w:left="0" w:right="0"/>
        <w:jc w:val="left"/>
      </w:pPr>
      <w:r>
        <w:rPr>
          <w:rFonts w:ascii="Monospace" w:cs="Monospace" w:eastAsia="Monospace" w:hAnsi="Monospace"/>
          <w:color w:val="1A1A1A"/>
          <w:sz w:val="24"/>
          <w:szCs w:val="24"/>
          <w:u w:val="single"/>
        </w:rPr>
        <w:t xml:space="preserve"> </w:t>
      </w:r>
      <w:r>
        <w:rPr>
          <w:rFonts w:ascii="Monospace" w:cs="Monospace" w:eastAsia="Monospace" w:hAnsi="Monospace"/>
          <w:color w:val="1A1A1A"/>
          <w:sz w:val="24"/>
          <w:szCs w:val="24"/>
          <w:u w:val="single"/>
        </w:rPr>
        <w:tab/>
        <w:t>Username</w:t>
      </w:r>
      <w:r>
        <w:rPr>
          <w:rFonts w:ascii="Monospace" w:cs="Monospace" w:eastAsia="Monospace" w:hAnsi="Monospace"/>
          <w:sz w:val="24"/>
          <w:szCs w:val="24"/>
        </w:rPr>
        <w:t>=Test</w:t>
      </w:r>
    </w:p>
    <w:p>
      <w:pPr>
        <w:pStyle w:val="style0"/>
        <w:autoSpaceDE w:val="false"/>
        <w:ind w:hanging="0" w:left="0" w:right="0"/>
        <w:jc w:val="left"/>
      </w:pPr>
      <w:r>
        <w:rPr>
          <w:rFonts w:ascii="Monospace" w:cs="Monospace" w:eastAsia="Monospace" w:hAnsi="Monospace"/>
          <w:sz w:val="24"/>
          <w:szCs w:val="24"/>
        </w:rPr>
        <w:tab/>
        <w:t>Password=</w:t>
      </w:r>
    </w:p>
    <w:p>
      <w:pPr>
        <w:pStyle w:val="style0"/>
        <w:autoSpaceDE w:val="false"/>
        <w:ind w:hanging="0" w:left="0" w:right="0"/>
        <w:jc w:val="left"/>
      </w:pPr>
      <w:r>
        <w:rPr>
          <w:rFonts w:ascii="Monospace" w:cs="Monospace" w:eastAsia="Monospace" w:hAnsi="Monospace"/>
          <w:sz w:val="24"/>
          <w:szCs w:val="24"/>
        </w:rPr>
        <w:tab/>
        <w:t>DbHandler=com.quinsoft.zencas.ZencasSqliteDbHandler</w:t>
      </w:r>
    </w:p>
    <w:p>
      <w:pPr>
        <w:pStyle w:val="style0"/>
        <w:autoSpaceDE w:val="false"/>
        <w:ind w:hanging="0" w:left="0" w:right="0"/>
        <w:jc w:val="left"/>
      </w:pPr>
      <w:r>
        <w:rPr>
          <w:rFonts w:ascii="Monospace" w:cs="Monospace" w:eastAsia="Monospace" w:hAnsi="Monospace"/>
          <w:sz w:val="24"/>
          <w:szCs w:val="24"/>
        </w:rPr>
        <w:tab/>
        <w:t>Translator=com.quinsoft.zeidon.dbhandler.SqliteJdbcTranslator</w:t>
      </w:r>
    </w:p>
    <w:p>
      <w:pPr>
        <w:pStyle w:val="style0"/>
        <w:autoSpaceDE w:val="false"/>
        <w:ind w:hanging="0" w:left="0" w:right="0"/>
        <w:jc w:val="left"/>
      </w:pPr>
      <w:r>
        <w:rPr>
          <w:rFonts w:ascii="Monospace" w:cs="Monospace" w:eastAsia="Monospace" w:hAnsi="Monospace"/>
          <w:sz w:val="24"/>
          <w:szCs w:val="24"/>
        </w:rPr>
        <w:tab/>
        <w:t>BindAllValues=false</w:t>
      </w:r>
    </w:p>
    <w:p>
      <w:pPr>
        <w:pStyle w:val="style0"/>
        <w:autoSpaceDE w:val="false"/>
        <w:ind w:hanging="0" w:left="0" w:right="0"/>
        <w:jc w:val="left"/>
      </w:pPr>
      <w:r>
        <w:rPr>
          <w:rFonts w:ascii="Monospace" w:cs="Monospace" w:eastAsia="Monospace" w:hAnsi="Monospace"/>
          <w:sz w:val="24"/>
          <w:szCs w:val="24"/>
        </w:rPr>
        <w:tab/>
        <w:t>DateFormat=</w:t>
      </w:r>
      <w:r>
        <w:rPr>
          <w:rFonts w:ascii="Monospace" w:cs="Monospace" w:eastAsia="Monospace" w:hAnsi="Monospace"/>
          <w:color w:val="1A1A1A"/>
          <w:sz w:val="24"/>
          <w:szCs w:val="24"/>
          <w:u w:val="single"/>
        </w:rPr>
        <w:t>yyyy</w:t>
      </w:r>
      <w:r>
        <w:rPr>
          <w:rFonts w:ascii="Monospace" w:cs="Monospace" w:eastAsia="Monospace" w:hAnsi="Monospace"/>
          <w:sz w:val="24"/>
          <w:szCs w:val="24"/>
        </w:rPr>
        <w:t>-MM-</w:t>
      </w:r>
      <w:r>
        <w:rPr>
          <w:rFonts w:ascii="Monospace" w:cs="Monospace" w:eastAsia="Monospace" w:hAnsi="Monospace"/>
          <w:color w:val="1A1A1A"/>
          <w:sz w:val="24"/>
          <w:szCs w:val="24"/>
          <w:u w:val="single"/>
        </w:rPr>
        <w:t>dd</w:t>
      </w:r>
    </w:p>
    <w:p>
      <w:pPr>
        <w:pStyle w:val="style0"/>
      </w:pPr>
      <w:r>
        <w:rPr>
          <w:sz w:val="24"/>
          <w:szCs w:val="24"/>
        </w:rPr>
      </w:r>
    </w:p>
    <w:p>
      <w:pPr>
        <w:pStyle w:val="style0"/>
      </w:pPr>
      <w:r>
        <w:rPr>
          <w:sz w:val="24"/>
          <w:szCs w:val="24"/>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 w:type="paragraph">
    <w:name w:val="Heading 1"/>
    <w:basedOn w:val="style15"/>
    <w:next w:val="style16"/>
    <w:pPr>
      <w:numPr>
        <w:ilvl w:val="0"/>
        <w:numId w:val="1"/>
      </w:numPr>
      <w:outlineLvl w:val="0"/>
    </w:pPr>
    <w:rPr>
      <w:b/>
      <w:bCs/>
      <w:sz w:val="32"/>
      <w:szCs w:val="32"/>
    </w:rPr>
  </w:style>
  <w:style w:styleId="style15" w:type="paragraph">
    <w:name w:val="Heading"/>
    <w:basedOn w:val="style0"/>
    <w:next w:val="style16"/>
    <w:pPr>
      <w:keepNext/>
      <w:spacing w:after="120" w:before="240"/>
    </w:pPr>
    <w:rPr>
      <w:rFonts w:ascii="Arial" w:cs="Lohit Hindi" w:eastAsia="Droid San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2014-02-12T21:33:28.00Z</dcterms:created>
  <cp:revision>0</cp:revision>
</cp:coreProperties>
</file>