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28"/>
        </w:rPr>
        <w:t>DOCUAUDIT</w:t>
      </w:r>
    </w:p>
    <w:p>
      <w:pPr>
        <w:jc w:val="center"/>
      </w:pPr>
      <w:r>
        <w:rPr>
          <w:b/>
          <w:color w:val="24527A"/>
          <w:sz w:val="28"/>
        </w:rPr>
        <w:t>Evidence Based Invoice Extraction and Verification System</w:t>
      </w:r>
    </w:p>
    <w:p>
      <w:pPr>
        <w:jc w:val="center"/>
      </w:pPr>
      <w:r>
        <w:t>A Final Year Project Report</w:t>
      </w:r>
    </w:p>
    <w:p>
      <w:pPr>
        <w:jc w:val="center"/>
      </w:pPr>
      <w:r>
        <w:t>Submitted in partial fulfilment of the requirements for the award of</w:t>
        <w:br/>
        <w:t>[Degree / Programme Name]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Submission detail</w:t>
            </w:r>
          </w:p>
        </w:tc>
        <w:tc>
          <w:tcPr>
            <w:tcW w:type="dxa" w:w="4896"/>
            <w:shd w:fill="17365D"/>
          </w:tcPr>
          <w:p>
            <w:r>
              <w:rPr>
                <w:b/>
                <w:color w:val="FFFFFF"/>
                <w:sz w:val="24"/>
              </w:rPr>
              <w:t>Information</w:t>
            </w:r>
          </w:p>
        </w:tc>
      </w:tr>
      <w:tr>
        <w:tc>
          <w:tcPr>
            <w:tcW w:type="dxa" w:w="4896"/>
            <w:vAlign w:val="center"/>
          </w:tcPr>
          <w:p>
            <w:pPr>
              <w:spacing w:line="276" w:lineRule="auto"/>
            </w:pPr>
            <w:r>
              <w:rPr>
                <w:sz w:val="24"/>
              </w:rPr>
              <w:t>Submitted by</w:t>
            </w:r>
          </w:p>
        </w:tc>
        <w:tc>
          <w:tcPr>
            <w:tcW w:type="dxa" w:w="4896"/>
            <w:vAlign w:val="center"/>
          </w:tcPr>
          <w:p>
            <w:pPr>
              <w:spacing w:line="276" w:lineRule="auto"/>
            </w:pPr>
            <w:r>
              <w:rPr>
                <w:sz w:val="24"/>
              </w:rPr>
              <w:t>[Student name]</w:t>
            </w:r>
          </w:p>
        </w:tc>
      </w:tr>
      <w:tr>
        <w:tc>
          <w:tcPr>
            <w:tcW w:type="dxa" w:w="4896"/>
            <w:vAlign w:val="center"/>
            <w:shd w:fill="EAF0F6"/>
          </w:tcPr>
          <w:p>
            <w:pPr>
              <w:spacing w:line="276" w:lineRule="auto"/>
            </w:pPr>
            <w:r>
              <w:rPr>
                <w:sz w:val="24"/>
              </w:rPr>
              <w:t>Registration / roll number</w:t>
            </w:r>
          </w:p>
        </w:tc>
        <w:tc>
          <w:tcPr>
            <w:tcW w:type="dxa" w:w="4896"/>
            <w:vAlign w:val="center"/>
            <w:shd w:fill="EAF0F6"/>
          </w:tcPr>
          <w:p>
            <w:pPr>
              <w:spacing w:line="276" w:lineRule="auto"/>
            </w:pPr>
            <w:r>
              <w:rPr>
                <w:sz w:val="24"/>
              </w:rPr>
              <w:t>[Registration number]</w:t>
            </w:r>
          </w:p>
        </w:tc>
      </w:tr>
      <w:tr>
        <w:tc>
          <w:tcPr>
            <w:tcW w:type="dxa" w:w="4896"/>
            <w:vAlign w:val="center"/>
          </w:tcPr>
          <w:p>
            <w:pPr>
              <w:spacing w:line="276" w:lineRule="auto"/>
            </w:pPr>
            <w:r>
              <w:rPr>
                <w:sz w:val="24"/>
              </w:rPr>
              <w:t>Department</w:t>
            </w:r>
          </w:p>
        </w:tc>
        <w:tc>
          <w:tcPr>
            <w:tcW w:type="dxa" w:w="4896"/>
            <w:vAlign w:val="center"/>
          </w:tcPr>
          <w:p>
            <w:pPr>
              <w:spacing w:line="276" w:lineRule="auto"/>
            </w:pPr>
            <w:r>
              <w:rPr>
                <w:sz w:val="24"/>
              </w:rPr>
              <w:t>[Department name]</w:t>
            </w:r>
          </w:p>
        </w:tc>
      </w:tr>
      <w:tr>
        <w:tc>
          <w:tcPr>
            <w:tcW w:type="dxa" w:w="4896"/>
            <w:vAlign w:val="center"/>
            <w:shd w:fill="EAF0F6"/>
          </w:tcPr>
          <w:p>
            <w:pPr>
              <w:spacing w:line="276" w:lineRule="auto"/>
            </w:pPr>
            <w:r>
              <w:rPr>
                <w:sz w:val="24"/>
              </w:rPr>
              <w:t>Institution</w:t>
            </w:r>
          </w:p>
        </w:tc>
        <w:tc>
          <w:tcPr>
            <w:tcW w:type="dxa" w:w="4896"/>
            <w:vAlign w:val="center"/>
            <w:shd w:fill="EAF0F6"/>
          </w:tcPr>
          <w:p>
            <w:pPr>
              <w:spacing w:line="276" w:lineRule="auto"/>
            </w:pPr>
            <w:r>
              <w:rPr>
                <w:sz w:val="24"/>
              </w:rPr>
              <w:t>[University / college name]</w:t>
            </w:r>
          </w:p>
        </w:tc>
      </w:tr>
      <w:tr>
        <w:tc>
          <w:tcPr>
            <w:tcW w:type="dxa" w:w="4896"/>
            <w:vAlign w:val="center"/>
          </w:tcPr>
          <w:p>
            <w:pPr>
              <w:spacing w:line="276" w:lineRule="auto"/>
            </w:pPr>
            <w:r>
              <w:rPr>
                <w:sz w:val="24"/>
              </w:rPr>
              <w:t>Project supervisor</w:t>
            </w:r>
          </w:p>
        </w:tc>
        <w:tc>
          <w:tcPr>
            <w:tcW w:type="dxa" w:w="4896"/>
            <w:vAlign w:val="center"/>
          </w:tcPr>
          <w:p>
            <w:pPr>
              <w:spacing w:line="276" w:lineRule="auto"/>
            </w:pPr>
            <w:r>
              <w:rPr>
                <w:sz w:val="24"/>
              </w:rPr>
              <w:t>[Supervisor name and designation]</w:t>
            </w:r>
          </w:p>
        </w:tc>
      </w:tr>
      <w:tr>
        <w:tc>
          <w:tcPr>
            <w:tcW w:type="dxa" w:w="4896"/>
            <w:vAlign w:val="center"/>
            <w:shd w:fill="EAF0F6"/>
          </w:tcPr>
          <w:p>
            <w:pPr>
              <w:spacing w:line="276" w:lineRule="auto"/>
            </w:pPr>
            <w:r>
              <w:rPr>
                <w:sz w:val="24"/>
              </w:rPr>
              <w:t>Academic year</w:t>
            </w:r>
          </w:p>
        </w:tc>
        <w:tc>
          <w:tcPr>
            <w:tcW w:type="dxa" w:w="4896"/>
            <w:vAlign w:val="center"/>
            <w:shd w:fill="EAF0F6"/>
          </w:tcPr>
          <w:p>
            <w:pPr>
              <w:spacing w:line="276" w:lineRule="auto"/>
            </w:pPr>
            <w:r>
              <w:rPr>
                <w:sz w:val="24"/>
              </w:rPr>
              <w:t>[Academic year]</w:t>
            </w:r>
          </w:p>
        </w:tc>
      </w:tr>
      <w:tr>
        <w:tc>
          <w:tcPr>
            <w:tcW w:type="dxa" w:w="4896"/>
            <w:vAlign w:val="center"/>
          </w:tcPr>
          <w:p>
            <w:pPr>
              <w:spacing w:line="276" w:lineRule="auto"/>
            </w:pPr>
            <w:r>
              <w:rPr>
                <w:sz w:val="24"/>
              </w:rPr>
              <w:t>Submission date</w:t>
            </w:r>
          </w:p>
        </w:tc>
        <w:tc>
          <w:tcPr>
            <w:tcW w:type="dxa" w:w="4896"/>
            <w:vAlign w:val="center"/>
          </w:tcPr>
          <w:p>
            <w:pPr>
              <w:spacing w:line="276" w:lineRule="auto"/>
            </w:pPr>
            <w:r>
              <w:rPr>
                <w:sz w:val="24"/>
              </w:rPr>
              <w:t>16 October 2026</w:t>
            </w:r>
          </w:p>
        </w:tc>
      </w:tr>
    </w:tbl>
    <w:p/>
    <w:p>
      <w:pPr>
        <w:jc w:val="center"/>
      </w:pPr>
      <w:r>
        <w:t>Project repository: Deeksha412-c/docuaudit</w:t>
      </w:r>
    </w:p>
    <w:p>
      <w:r>
        <w:br w:type="page"/>
      </w:r>
    </w:p>
    <w:p>
      <w:pPr>
        <w:pStyle w:val="Heading1"/>
        <w:keepNext/>
      </w:pPr>
      <w:r>
        <w:t>Project Declaration</w:t>
      </w:r>
    </w:p>
    <w:p>
      <w:r>
        <w:t>I declare that this report, titled “DocuAudit: Evidence Based Invoice Extraction and Verification System,” is submitted as part of the academic requirements for [degree/programme]. The implementation and evaluation described here are based on the project repository and accompanying documentation. The student should complete and sign this declaration according to institutional requirements.</w:t>
      </w:r>
    </w:p>
    <w:p>
      <w:r>
        <w:t>Student name: ______________________________     Registration number: ______________________________</w:t>
      </w:r>
    </w:p>
    <w:p>
      <w:r>
        <w:t>Signature: __________________________________     Date: __________________________________________</w:t>
      </w:r>
    </w:p>
    <w:p>
      <w:r>
        <w:br w:type="page"/>
      </w:r>
    </w:p>
    <w:p>
      <w:pPr>
        <w:pStyle w:val="Heading1"/>
        <w:keepNext/>
      </w:pPr>
      <w:r>
        <w:t>Certificate</w:t>
      </w:r>
    </w:p>
    <w:p>
      <w:r>
        <w:t>This is to certify that the project report titled “DocuAudit: Evidence Based Invoice Extraction and Verification System” has been prepared by [student name] under my supervision and is submitted for examination in partial fulfilment of the requirements for [degree/programme].</w:t>
      </w:r>
    </w:p>
    <w:p>
      <w:r>
        <w:t>Supervisor: _________________________________     Designation: ____________________________________</w:t>
      </w:r>
    </w:p>
    <w:p>
      <w:r>
        <w:t>Signature: __________________________________     Date: __________________________________________</w:t>
      </w:r>
    </w:p>
    <w:p>
      <w:r>
        <w:br w:type="page"/>
      </w:r>
    </w:p>
    <w:p>
      <w:pPr>
        <w:pStyle w:val="Heading1"/>
        <w:keepNext/>
      </w:pPr>
      <w:r>
        <w:t>Acknowledgement</w:t>
      </w:r>
    </w:p>
    <w:p>
      <w:r>
        <w:t>I would like to express my sincere gratitude to my project supervisor, [Supervisor Name and Designation], for the guidance, feedback, and encouragement provided during the development of this project. The discussions and reviews helped me refine the project scope, examine implementation choices, and present the results with appropriate attention to their limitations. I am grateful for the time and academic support given throughout the work.</w:t>
      </w:r>
    </w:p>
    <w:p>
      <w:r>
        <w:t>I also thank the faculty members and staff of [Department Name] at [Institution Name] for providing the learning environment and resources that supported this project. Their teaching in areas such as software engineering, databases, artificial intelligence, and project development helped me build the background needed to design and evaluate DocuAudit. I appreciate the assistance of classmates and peers who discussed ideas, reviewed demonstrations, or offered feedback during development.</w:t>
      </w:r>
    </w:p>
    <w:p>
      <w:r>
        <w:t>Finally, I thank my family and friends for their patience, understanding, and encouragement during the planning, implementation, evaluation, and preparation of this report. Their support helped me continue through technical challenges and complete the work. I remain responsible for the implementation and for the accuracy of the claims presented in this report.</w:t>
      </w:r>
    </w:p>
    <w:p>
      <w:r>
        <w:t>I also acknowledge [Other Contributor or Organization] for [specific contribution, if applicable]. Any errors or omissions that remain in this report are my responsibility.</w:t>
      </w:r>
    </w:p>
    <w:p>
      <w:r>
        <w:br w:type="page"/>
      </w:r>
    </w:p>
    <w:p>
      <w:pPr>
        <w:pStyle w:val="Heading1"/>
        <w:keepNext/>
      </w:pPr>
      <w:r>
        <w:t>Abstract</w:t>
      </w:r>
    </w:p>
    <w:p>
      <w:r>
        <w:t>DocuAudit is a document-processing prototype that extracts structured information from native-text invoice PDFs and records evidence for each field that it accepts. The project addresses a central limitation of automated document extraction: a plausible value may be present in a model response without being the correct value for the requested field. To reduce this risk, extraction and verification are implemented as separate stages. The fixed invoice schema contains invoice number, invoice date, vendor name, due date, subtotal, tax, and total. The intended outcome is not only a set of extracted values, but also a field-level decision that can distinguish supported information from uncertain or absent information.</w:t>
      </w:r>
    </w:p>
    <w:p>
      <w:r>
        <w:t>The system uses PyMuPDF to read PDF text, a RoBERTa SQuAD2 question-answering model to propose field values, BAAI bge-small-en-v1.5 embeddings with Qdrant for document-scoped retrieval, deterministic type and label checks, and an optional DeBERTa natural-language-inference check. A LangGraph workflow coordinates retrieval, extraction, compliance screening, audit, one bounded repair pass, and final routing. FastAPI accepts uploads and serves document results; Celery and Redis move long-running processing out of the request path; PostgreSQL stores workflow and audit records; and a Streamlit interface supports upload, status polling, result inspection, and a basic review queue. Compliance checks include selected person/location entity detection, duplicate invoice-number lookup, subtotal-plus-tax arithmetic, and a configured amount threshold.</w:t>
      </w:r>
    </w:p>
    <w:p>
      <w:r>
        <w:t>The repository reports evaluation on 27 synthetic invoices containing 186 labelled field values. On the final development benchmark, the default veto configuration reports field F1, verified precision, coverage, compliance flag accuracy, and absent-field handling of 1.000, with three of 27 invoices routed to review because they had no due date. In an earlier run on ten then-held-out invoices, the reported field F1 was 0.986 and verified precision was 1.000; those examples were later incorporated into the development set after the results informed fixes. The NLI ablation reported that strict mode increased review cases without improving verified precision on this benchmark, while veto and rules-only modes had the same measured outcomes.</w:t>
      </w:r>
    </w:p>
    <w:p>
      <w:r>
        <w:t>These scores demonstrate behavior on a small, constructed dataset and do not establish accuracy on real business invoices. The project is limited to native-text PDFs, uses simplified amount and label rules, and does not provide OCR, page-coordinate provenance, or a reviewer correction and approval workflow. The work concludes that evidence-based audit and explicit review routing are useful design patterns, while larger independent evaluation, stronger provenance, data protection controls, and human correction are required before operational use.</w:t>
      </w:r>
    </w:p>
    <w:p>
      <w:r>
        <w:t>Keywords: invoice processing, information extraction, evidence verification, natural language inference, document AI, human review</w:t>
      </w:r>
    </w:p>
    <w:p>
      <w:r>
        <w:br w:type="page"/>
      </w:r>
    </w:p>
    <w:p>
      <w:pPr>
        <w:pStyle w:val="Heading1"/>
        <w:keepNext/>
      </w:pPr>
      <w:r>
        <w:t>Contents</w:t>
      </w:r>
    </w:p>
    <w:p>
      <w:r>
        <w:t>Project Declaration</w:t>
      </w:r>
    </w:p>
    <w:p>
      <w:r>
        <w:t>Certificate</w:t>
      </w:r>
    </w:p>
    <w:p>
      <w:r>
        <w:t>Acknowledgement</w:t>
      </w:r>
    </w:p>
    <w:p>
      <w:r>
        <w:t>Abstract</w:t>
      </w:r>
    </w:p>
    <w:p>
      <w:r>
        <w:t>List of Figures</w:t>
      </w:r>
    </w:p>
    <w:p>
      <w:r>
        <w:t>List of Tables</w:t>
      </w:r>
    </w:p>
    <w:p>
      <w:r>
        <w:t>1. Introduction</w:t>
      </w:r>
    </w:p>
    <w:p>
      <w:r>
        <w:t>2. Background and Related Concepts</w:t>
      </w:r>
    </w:p>
    <w:p>
      <w:r>
        <w:t>3. Requirements and Scope</w:t>
      </w:r>
    </w:p>
    <w:p>
      <w:r>
        <w:t>4. System Architecture and Design</w:t>
      </w:r>
    </w:p>
    <w:p>
      <w:r>
        <w:t>5. Implementation</w:t>
      </w:r>
    </w:p>
    <w:p>
      <w:r>
        <w:t>6. Processing and Verification Method</w:t>
      </w:r>
    </w:p>
    <w:p>
      <w:r>
        <w:t>7. Testing and Evaluation</w:t>
      </w:r>
    </w:p>
    <w:p>
      <w:r>
        <w:t>8. Results and Discussion</w:t>
      </w:r>
    </w:p>
    <w:p>
      <w:r>
        <w:t>9. Limitations, Privacy, and Risk</w:t>
      </w:r>
    </w:p>
    <w:p>
      <w:r>
        <w:t>10. Conclusion and Future Work</w:t>
      </w:r>
    </w:p>
    <w:p>
      <w:r>
        <w:t>11. Use Cases and User Journeys</w:t>
      </w:r>
    </w:p>
    <w:p>
      <w:r>
        <w:t>12. User and Operator Guide</w:t>
      </w:r>
    </w:p>
    <w:p>
      <w:r>
        <w:t>13. Deployment and Operations</w:t>
      </w:r>
    </w:p>
    <w:p>
      <w:r>
        <w:t>14. Test Engineering and Acceptance Plan</w:t>
      </w:r>
    </w:p>
    <w:p>
      <w:r>
        <w:t>15. Project Feasibility and Risk Management</w:t>
      </w:r>
    </w:p>
    <w:p>
      <w:r>
        <w:t>16. Detailed Component Architecture</w:t>
      </w:r>
    </w:p>
    <w:p>
      <w:r>
        <w:t>17. Data Dictionary and Record Lifecycle</w:t>
      </w:r>
    </w:p>
    <w:p>
      <w:r>
        <w:t>18. Security, Privacy, and Threat Analysis</w:t>
      </w:r>
    </w:p>
    <w:p>
      <w:r>
        <w:t>19. Reproducibility and Metric Interpretation</w:t>
      </w:r>
    </w:p>
    <w:p>
      <w:r>
        <w:t>20. Alternative Designs and Trade-offs</w:t>
      </w:r>
    </w:p>
    <w:p>
      <w:r>
        <w:t>21. Extended Implementation Plan</w:t>
      </w:r>
    </w:p>
    <w:p>
      <w:r>
        <w:t>References</w:t>
      </w:r>
    </w:p>
    <w:p>
      <w:r>
        <w:t>Appendix A. API and Setup Summary</w:t>
      </w:r>
    </w:p>
    <w:p>
      <w:r>
        <w:t>Appendix B. Repository Structure</w:t>
      </w:r>
    </w:p>
    <w:p>
      <w:r>
        <w:t>Appendix C. Abbreviations</w:t>
      </w:r>
    </w:p>
    <w:p>
      <w:r>
        <w:t>Appendix D. API Contract Reference</w:t>
      </w:r>
    </w:p>
    <w:p>
      <w:r>
        <w:t>Appendix E. Configuration Reference</w:t>
      </w:r>
    </w:p>
    <w:p>
      <w:r>
        <w:t>Appendix F. Field Rules Reference</w:t>
      </w:r>
    </w:p>
    <w:p>
      <w:r>
        <w:t>Appendix G. Test Case Catalogue</w:t>
      </w:r>
    </w:p>
    <w:p>
      <w:r>
        <w:t>Appendix H. Worked Illustrative Review</w:t>
      </w:r>
    </w:p>
    <w:p>
      <w:r>
        <w:t>Appendix I. Operations and Troubleshooting</w:t>
      </w:r>
    </w:p>
    <w:p>
      <w:r>
        <w:t>Appendix J. Setup and Service Runbook</w:t>
      </w:r>
    </w:p>
    <w:p>
      <w:r>
        <w:t>Appendix K. Model and Dataset Cards</w:t>
      </w:r>
    </w:p>
    <w:p>
      <w:r>
        <w:t>Appendix L. Client Interaction Walkthrough</w:t>
      </w:r>
    </w:p>
    <w:p>
      <w:r>
        <w:t>Appendix M. Annotation Handbook</w:t>
      </w:r>
    </w:p>
    <w:p>
      <w:r>
        <w:t>Appendix N. Release and Evaluation Record</w:t>
      </w:r>
    </w:p>
    <w:p>
      <w:r>
        <w:t>Appendix O. Extended Glossary</w:t>
      </w:r>
    </w:p>
    <w:p>
      <w:r>
        <w:br w:type="page"/>
      </w:r>
    </w:p>
    <w:p>
      <w:pPr>
        <w:pStyle w:val="Heading1"/>
        <w:keepNext/>
      </w:pPr>
      <w:r>
        <w:t>List of Figures</w:t>
      </w:r>
    </w:p>
    <w:p>
      <w:pPr/>
      <w:r>
        <w:t>Figure 1. DocuAudit system architecture.</w:t>
      </w:r>
    </w:p>
    <w:p>
      <w:pPr/>
      <w:r>
        <w:t>Figure 2. DocuAudit Level 1 data flow diagram.</w:t>
      </w:r>
    </w:p>
    <w:p>
      <w:pPr/>
      <w:r>
        <w:t>Figure 3. Invoice processing workflow.</w:t>
      </w:r>
    </w:p>
    <w:p>
      <w:pPr/>
      <w:r>
        <w:t>Figure 4. DocuAudit relational data model.</w:t>
      </w:r>
    </w:p>
    <w:p>
      <w:pPr/>
      <w:r>
        <w:t>Figure 5. Example completed invoice in the user interface.</w:t>
      </w:r>
    </w:p>
    <w:p>
      <w:pPr/>
      <w:r>
        <w:t>Figure 6. Example invoice routed to needs_review.</w:t>
      </w:r>
    </w:p>
    <w:p>
      <w:pPr/>
      <w:r>
        <w:t>Figure 7. Evaluation dataset profile.</w:t>
      </w:r>
    </w:p>
    <w:p>
      <w:pPr/>
      <w:r>
        <w:t>Figure 8. Evaluation and regression-gate workflow.</w:t>
      </w:r>
    </w:p>
    <w:p>
      <w:r>
        <w:br w:type="page"/>
      </w:r>
    </w:p>
    <w:p>
      <w:pPr>
        <w:pStyle w:val="Heading1"/>
        <w:keepNext/>
      </w:pPr>
      <w:r>
        <w:t>List of Tables</w:t>
      </w:r>
    </w:p>
    <w:p>
      <w:pPr/>
      <w:r>
        <w:t>Table 1. Functional Requirements Traceability</w:t>
      </w:r>
    </w:p>
    <w:p>
      <w:pPr/>
      <w:r>
        <w:t>Table 2. Constraints and Acceptance Criteria</w:t>
      </w:r>
    </w:p>
    <w:p>
      <w:pPr/>
      <w:r>
        <w:t>Table 3. System Components and Responsibilities</w:t>
      </w:r>
    </w:p>
    <w:p>
      <w:pPr/>
      <w:r>
        <w:t>Table 4. Document Data Model</w:t>
      </w:r>
    </w:p>
    <w:p>
      <w:pPr/>
      <w:r>
        <w:t>Table 5. Document Processing States</w:t>
      </w:r>
    </w:p>
    <w:p>
      <w:pPr/>
      <w:r>
        <w:t>Table 6. Architecture Decisions and Trade-offs</w:t>
      </w:r>
    </w:p>
    <w:p>
      <w:pPr/>
      <w:r>
        <w:t>Table 7. API Routes and Functions</w:t>
      </w:r>
    </w:p>
    <w:p>
      <w:pPr/>
      <w:r>
        <w:t>Table 8. Evaluation Metric Definitions</w:t>
      </w:r>
    </w:p>
    <w:p>
      <w:pPr/>
      <w:r>
        <w:t>Table 9. Reported Evaluation Results</w:t>
      </w:r>
    </w:p>
    <w:p>
      <w:pPr/>
      <w:r>
        <w:t>Table 10. Unit-Test Coverage Map</w:t>
      </w:r>
    </w:p>
    <w:p>
      <w:pPr/>
      <w:r>
        <w:t>Table 11. Threats to Validity</w:t>
      </w:r>
    </w:p>
    <w:p>
      <w:pPr/>
      <w:r>
        <w:t>Table 12. Prioritized Development Roadmap</w:t>
      </w:r>
    </w:p>
    <w:p>
      <w:pPr/>
      <w:r>
        <w:t>Table 13. Use Case and Actor Matrix</w:t>
      </w:r>
    </w:p>
    <w:p>
      <w:pPr/>
      <w:r>
        <w:t>Table 14. User Workflow and Outcome Matrix</w:t>
      </w:r>
    </w:p>
    <w:p>
      <w:pPr/>
      <w:r>
        <w:t>Table 15. API Response and Error Interpretation</w:t>
      </w:r>
    </w:p>
    <w:p>
      <w:pPr/>
      <w:r>
        <w:t>Table 16. Deployment Service Dependencies</w:t>
      </w:r>
    </w:p>
    <w:p>
      <w:pPr/>
      <w:r>
        <w:t>Table 17. Environment Configuration Reference</w:t>
      </w:r>
    </w:p>
    <w:p>
      <w:pPr/>
      <w:r>
        <w:t>Table 18. Operational Monitoring Checklist</w:t>
      </w:r>
    </w:p>
    <w:p>
      <w:pPr/>
      <w:r>
        <w:t>Table 19. Test Design and Coverage Matrix</w:t>
      </w:r>
    </w:p>
    <w:p>
      <w:pPr/>
      <w:r>
        <w:t>Table 20. Detailed Test Case Specification</w:t>
      </w:r>
    </w:p>
    <w:p>
      <w:pPr/>
      <w:r>
        <w:t>Table 21. Requirement-to-Evidence Traceability</w:t>
      </w:r>
    </w:p>
    <w:p>
      <w:pPr/>
      <w:r>
        <w:t>Table 22. Project Risk Register</w:t>
      </w:r>
    </w:p>
    <w:p>
      <w:pPr/>
      <w:r>
        <w:t>Table 23. Repository Structure</w:t>
      </w:r>
    </w:p>
    <w:p>
      <w:pPr/>
      <w:r>
        <w:t>Table 24. Abbreviations</w:t>
      </w:r>
    </w:p>
    <w:p>
      <w:pPr/>
      <w:r>
        <w:t>Table 25. API Endpoint Request and Response Summary</w:t>
      </w:r>
    </w:p>
    <w:p>
      <w:pPr/>
      <w:r>
        <w:t>Table 26. Configuration Reference</w:t>
      </w:r>
    </w:p>
    <w:p>
      <w:pPr/>
      <w:r>
        <w:t>Table 27. Invoice Field Rule Reference</w:t>
      </w:r>
    </w:p>
    <w:p>
      <w:pPr/>
      <w:r>
        <w:t>Table 28. Worked Example Audit Record</w:t>
      </w:r>
    </w:p>
    <w:p>
      <w:pPr/>
      <w:r>
        <w:t>Table 29. Troubleshooting Guide</w:t>
      </w:r>
    </w:p>
    <w:p>
      <w:pPr>
        <w:sectPr>
          <w:headerReference w:type="default" r:id="rId9"/>
          <w:footerReference w:type="default" r:id="rId10"/>
          <w:pgSz w:w="12240" w:h="15840"/>
          <w:pgMar w:top="1008" w:right="1224" w:bottom="1008" w:left="1224" w:header="720" w:footer="720" w:gutter="0"/>
          <w:cols w:space="720"/>
          <w:docGrid w:linePitch="360"/>
        </w:sectPr>
      </w:pPr>
    </w:p>
    <w:p>
      <w:pPr>
        <w:pStyle w:val="Heading1"/>
        <w:keepNext/>
      </w:pPr>
      <w:r>
        <w:t>1. Introduction</w:t>
      </w:r>
    </w:p>
    <w:p>
      <w:r>
        <w:t>DocuAudit is a software project that processes native-text invoice PDFs and produces a structured set of invoice fields together with checks that explain whether each field is supported by the document. The prototype combines document ingestion, semantic retrieval, extractive question answering, deterministic validation, optional natural-language inference, compliance screening, persistence, and a web interface. Its central design choice is to separate proposing a value from deciding whether the value should be treated as verified. If the checks cannot support a value, the system keeps that uncertainty visible and routes the document to review.</w:t>
      </w:r>
    </w:p>
    <w:p>
      <w:r>
        <w:t>This introduction sets out why invoice processing is a suitable but challenging automation problem, defines the project problem and objectives, explains the contribution and research questions, and states the intended outcomes. The implementation focuses on seven common invoice fields and on evaluating correctness and safe refusal on a small synthetic dataset. The project is therefore a measured engineering prototype rather than a general document-understanding product or a replacement for financial approval controls.</w:t>
      </w:r>
    </w:p>
    <w:p>
      <w:pPr>
        <w:pStyle w:val="Heading2"/>
        <w:keepNext/>
      </w:pPr>
      <w:r>
        <w:t>1.1 Context</w:t>
      </w:r>
    </w:p>
    <w:p>
      <w:r>
        <w:t>Invoices contain recurring business fields, but wording, formatting, placement, and layout vary. Automation can reduce data entry; however, silently accepting a wrong amount, date, or supplier reference can create downstream accounting and compliance problems. Extraction quality alone does not establish that a value is supported by its source.</w:t>
      </w:r>
    </w:p>
    <w:p>
      <w:r>
        <w:t>A single invoice may display several dates, identifiers, and totals. “Invoice Date” can appear near “Due Date”; a purchase-order reference may look like an invoice number; subtotal, tax, and amount due may all be numeric and close together. Different suppliers place labels beside values, above them, or in separate columns. A document system must therefore interpret both the text of a value and its local context. A span that looks like a valid date is not sufficient evidence that it is the payment date requested by the application.</w:t>
      </w:r>
    </w:p>
    <w:p>
      <w:r>
        <w:t>Document automation also creates a distinction between throughput and trust. A pipeline can return a complete set of values quickly while still making an undetected error. In a financial setting, an incorrect accepted amount can affect payment, reconciliation, compliance review, or supplier communication. Conversely, a system that rejects every uncertain value may protect against false acceptance but provide little automation. The project treats these outcomes as separate measures and uses review routing as a controlled response to uncertainty.</w:t>
      </w:r>
    </w:p>
    <w:p>
      <w:r>
        <w:t>DocuAudit narrows the input domain to PDFs with machine-readable text. This restriction makes the initial system easier to evaluate because it can concentrate on field extraction and evidence checking rather than also solving optical character recognition and page-layout reconstruction. It remains an important limitation: a scanned invoice or complex line-item table may not produce a usable text stream and is outside the tested scope.</w:t>
      </w:r>
    </w:p>
    <w:p>
      <w:pPr>
        <w:pStyle w:val="Heading2"/>
        <w:keepNext/>
      </w:pPr>
      <w:r>
        <w:t>1.2 Problem Statement</w:t>
      </w:r>
    </w:p>
    <w:p>
      <w:r>
        <w:t>This project addresses the risk that a language-model document pipeline returns plausible values without a reliable link to the source. The engineering task is to extract a fixed invoice schema, check each candidate against the text and its label, retain supporting evidence, and route unsupported fields for review.</w:t>
      </w:r>
    </w:p>
    <w:p>
      <w:r>
        <w:t>The core design problem has two separate questions for every field: did the extractor find a plausible value, and does the invoice text justify treating that value as correct for this field? These questions cannot be collapsed into one model confidence score. A number may appear on the page and still be the subtotal rather than the total, or an invoice date rather than a payment due date. The system therefore records extraction output and audit decisions separately, allowing an operator to see when a value was proposed but not verified.</w:t>
      </w:r>
    </w:p>
    <w:p>
      <w:r>
        <w:t>The project addresses the gap between an extracted answer and a trustworthy field value. Model output may be truncated, may select a nearby label rather than its value, or may answer a related but different field question. If the system returns only the value, downstream users cannot easily tell whether it was found in the PDF, inferred from surrounding context, or confused with another amount or date. The engineering problem is to make that decision inspectable and to avoid treating unsupported values as successful results.</w:t>
      </w:r>
    </w:p>
    <w:p>
      <w:r>
        <w:t>The project also addresses a workflow problem. Transformer inference may take longer than an ordinary web request, so document processing should continue independently of the browser connection. The system must persist enough state to let a client query progress and later inspect the result. It must distinguish a processing exception from an invoice that was processed successfully but still needs a human to resolve one or more fields.</w:t>
      </w:r>
    </w:p>
    <w:p>
      <w:r>
        <w:t>The scope is intentionally bounded. DocuAudit does not attempt to validate whether an invoice is legally valid, whether a supplier is genuine, or whether payment should be authorized. Its configured compliance checks are limited to selected entities and simple rules. The primary problem is field-level extraction and evidence verification under a declared input and schema, with a clear route for uncertainty.</w:t>
      </w:r>
    </w:p>
    <w:p>
      <w:pPr>
        <w:pStyle w:val="Heading2"/>
        <w:keepNext/>
      </w:pPr>
      <w:r>
        <w:t>1.3 Aim and Objectives</w:t>
      </w:r>
    </w:p>
    <w:p>
      <w:r>
        <w:t>The aim is to design, implement, and evaluate a deployable prototype for invoice processing that prioritizes traceability and safe refusal alongside extraction quality. “Deployable” here means that the repository provides an integrated API, worker, storage services, and interface that can be run using its documented development setup; it does not imply production readiness or a service-level guarantee.</w:t>
      </w:r>
    </w:p>
    <w:p>
      <w:r>
        <w:t>The objectives translate this aim into implementation and evaluation tasks:</w:t>
      </w:r>
    </w:p>
    <w:p>
      <w:pPr>
        <w:pStyle w:val="ListBullet"/>
      </w:pPr>
      <w:r>
        <w:t>Extract invoice number, invoice date, vendor name, due date, subtotal, tax, and total from native-text PDF invoices.</w:t>
      </w:r>
    </w:p>
    <w:p>
      <w:pPr>
        <w:pStyle w:val="ListBullet"/>
      </w:pPr>
      <w:r>
        <w:t>Associate candidates with source evidence and validate field type and label.</w:t>
      </w:r>
    </w:p>
    <w:p>
      <w:pPr>
        <w:pStyle w:val="ListBullet"/>
      </w:pPr>
      <w:r>
        <w:t>Check arithmetic consistency, a configured amount threshold, duplicate invoice numbers per vendor, and selected person/location entities.</w:t>
      </w:r>
    </w:p>
    <w:p>
      <w:pPr>
        <w:pStyle w:val="ListBullet"/>
      </w:pPr>
      <w:r>
        <w:t>Attempt one bounded repair pass and accept a replacement only after verification.</w:t>
      </w:r>
    </w:p>
    <w:p>
      <w:pPr>
        <w:pStyle w:val="ListBullet"/>
      </w:pPr>
      <w:r>
        <w:t>Expose asynchronous processing through an API and review interface.</w:t>
      </w:r>
    </w:p>
    <w:p>
      <w:pPr>
        <w:pStyle w:val="ListBullet"/>
      </w:pPr>
      <w:r>
        <w:t>Measure extraction, verified precision, verification coverage, compliance flag accuracy, and missing-field handling.</w:t>
      </w:r>
    </w:p>
    <w:p>
      <w:r>
        <w:t>The objectives are evaluated at different levels. Field extraction is measured against annotated values; audit behavior is measured by whether accepted values are correct and absent fields remain unsupported; compliance behavior is measured by exact flag agreement; and the software architecture is assessed by whether a document can move from upload through asynchronous processing to a queryable result. This separation prevents one aggregate score from concealing weaknesses in a particular stage.</w:t>
      </w:r>
    </w:p>
    <w:p>
      <w:pPr>
        <w:pStyle w:val="Heading2"/>
        <w:keepNext/>
      </w:pPr>
      <w:r>
        <w:t>1.4 Contribution</w:t>
      </w:r>
    </w:p>
    <w:p>
      <w:r>
        <w:t>The main contribution is a pattern in which extraction proposes values, an independent audit checks them against labelled evidence, and unresolved fields remain visible for human review. A regression gate treats any wrong verified value as a failure.</w:t>
      </w:r>
    </w:p>
    <w:p>
      <w:r>
        <w:t>The implementation contribution is an end-to-end demonstration of that pattern across asynchronous ingestion, retrieval, extraction, compliance checks, bounded repair, persistence, and a review-oriented interface. The evaluation contribution is an explicit comparison of three NLI policies and metrics that distinguish extraction similarity, verification coverage, and correctness among accepted values. The prototype is deliberately scoped so these behaviors can be measured on a small, labelled invoice set.</w:t>
      </w:r>
    </w:p>
    <w:p>
      <w:r>
        <w:t>A further contribution is the explicit representation of uncertainty as a normal workflow outcome. The system does not require every field to be populated before a document can finish processing. Instead, it can retain a candidate, attach an unsupported decision, and route the invoice to needs_review. This is important for missing values: an absent due date should remain absent rather than being guessed to satisfy the schema.</w:t>
      </w:r>
    </w:p>
    <w:p>
      <w:r>
        <w:t>The report also documents the boundary of the evidence. It distinguishes final development-set results from an earlier held-out measurement whose examples were later used during tuning. It discusses storage, data privacy, dependency management, and operational gaps so that the prototype’s academic results are not mistaken for a guarantee of production performance.</w:t>
      </w:r>
    </w:p>
    <w:p>
      <w:pPr>
        <w:pStyle w:val="Heading2"/>
        <w:keepNext/>
      </w:pPr>
      <w:r>
        <w:t>1.5 Research Questions</w:t>
      </w:r>
    </w:p>
    <w:p>
      <w:pPr>
        <w:pStyle w:val="ListNumber"/>
      </w:pPr>
      <w:r>
        <w:t>Can a fixed-schema question-answering pipeline extract common invoice values from native-text PDFs? This question examines whether extractive QA can populate a practical invoice schema when input text is machine-readable and the requested fields are known in advance.</w:t>
      </w:r>
    </w:p>
    <w:p>
      <w:pPr>
        <w:pStyle w:val="ListNumber"/>
      </w:pPr>
      <w:r>
        <w:t>Can type checks, field-label rules, and source evidence prevent observed extraction errors from being reported as verified? This question focuses on the auditor’s ability to distinguish a plausible answer from a candidate linked to the correct kind of label.</w:t>
      </w:r>
    </w:p>
    <w:p>
      <w:pPr>
        <w:pStyle w:val="ListNumber"/>
      </w:pPr>
      <w:r>
        <w:t>How does strict NLI support checking compare with contradiction-only veto and rules-only verification on the project benchmark? This question evaluates whether requiring semantic entailment changes correctness or review volume relative to deterministic checks and contradiction detection.</w:t>
      </w:r>
    </w:p>
    <w:p>
      <w:pPr>
        <w:pStyle w:val="ListNumber"/>
      </w:pPr>
      <w:r>
        <w:t>What limitations remain before the prototype can be used with independent, real-world invoices? This question considers data representativeness, privacy, page provenance, OCR, security, operational resilience, and human approval.</w:t>
      </w:r>
    </w:p>
    <w:p>
      <w:r>
        <w:t>The questions are answered using repository implementation evidence, unit-test coverage descriptions, benchmark scorecards, and a comparison of NLI modes. The benchmark is not large enough to support broad claims about the population of commercial invoices; the questions are therefore framed around the prototype and its declared data rather than universal system performance.</w:t>
      </w:r>
    </w:p>
    <w:p>
      <w:pPr>
        <w:pStyle w:val="Heading2"/>
        <w:keepNext/>
      </w:pPr>
      <w:r>
        <w:t>1.6 Expected Outcomes</w:t>
      </w:r>
    </w:p>
    <w:p>
      <w:r>
        <w:t>The expected engineering outcome is a runnable prototype with asynchronous PDF handling, auditable field results, compliance flags, bounded repair, a basic review queue, unit-test coverage, and a reproducible evaluation script. The academic outcome is a measured account of performance on a declared benchmark, including a discussion of the risks of synthetic data and tuning against observed errors.</w:t>
      </w:r>
    </w:p>
    <w:p>
      <w:r>
        <w:t>At the user level, the expected outcome is a document identifier returned after upload, a status that communicates processing progress, and a result view containing fields, compliance information, and audit details. At the system level, the expected outcome is a modular pipeline that separates ingestion, retrieval, extraction, compliance, verification, and persistence. At the evaluation level, the expected outcome is a scorecard that reports both correctness and coverage, including whether unsupported or absent fields were incorrectly accepted.</w:t>
      </w:r>
    </w:p>
    <w:p>
      <w:r>
        <w:t>The expected research outcome is not a claim that the project has solved general invoice understanding. It is a documented case study of how an extractive pipeline can be paired with deterministic checks, optional NLI, one constrained repair pass, and a review state. The report identifies what the small benchmark supports, which design choices were informed by the ablation, and which further evidence would be needed to make a stronger claim.</w:t>
      </w:r>
    </w:p>
    <w:p>
      <w:r>
        <w:t>The expected future-work outcome is a prioritized set of requirements for a more reliable system: independent data, richer source provenance, OCR and layout support, a reviewer correction workflow, secure upload and access controls, explicit model/version capture, and measured operational capacity. These outcomes provide a path from an academic prototype toward a controlled pilot without presenting that pilot as already implemented.</w:t>
      </w:r>
    </w:p>
    <w:p>
      <w:pPr>
        <w:pStyle w:val="Heading2"/>
        <w:keepNext/>
      </w:pPr>
      <w:r>
        <w:t>1.7 Organization of the Report</w:t>
      </w:r>
    </w:p>
    <w:p>
      <w:r>
        <w:t>The report is organized from project motivation to implementation evidence and then to operational recommendations. Chapters 2 and 3 introduce the relevant concepts, requirements, and scope. Chapters 4 and 5 describe system architecture, data flow, implementation modules, and persistent records. Chapter 6 formalizes the field schema, verification rules, repair path, and evaluation metrics. Chapters 7 and 8 present the test strategy, benchmark results, and their interpretation, while Chapter 9 discusses limitations, privacy, and risk.</w:t>
      </w:r>
    </w:p>
    <w:p>
      <w:r>
        <w:t>Chapters 10 through 15 summarize conclusions, future work, use cases, operating guidance, deployment, test engineering, and project feasibility. Chapters 16 through 21 provide a deeper component walkthrough, data dictionary, security analysis, reproducibility guidance, design alternatives, and an extended implementation plan. The appendices contain API and setup references, repository structure, field rules, illustrative examples, operational procedures, annotation guidance, release-record templates, and a glossary. References are listed before the appendices.</w:t>
      </w:r>
    </w:p>
    <w:p>
      <w:r>
        <w:br w:type="page"/>
      </w:r>
    </w:p>
    <w:p>
      <w:pPr>
        <w:pStyle w:val="Heading1"/>
        <w:keepNext/>
      </w:pPr>
      <w:r>
        <w:t>2. Background and Related Concepts</w:t>
      </w:r>
    </w:p>
    <w:p>
      <w:pPr>
        <w:pStyle w:val="Heading2"/>
        <w:keepNext/>
      </w:pPr>
      <w:r>
        <w:t>2.1 Information Extraction</w:t>
      </w:r>
    </w:p>
    <w:p>
      <w:r>
        <w:t>Question-answering models identify spans in context in response to natural-language questions. DocuAudit uses fixed questions for a seven-field invoice schema; it aims to return text already present in the PDF rather than free-form prose. The selected RoBERTa checkpoint is published as a SQuAD2 question-answering model [1].</w:t>
      </w:r>
    </w:p>
    <w:p>
      <w:r>
        <w:t>For each invoice, the extractor asks one primary question per schema field and searches for an answer span in the full context. The implementation truncates the model input to a maximum sequence length of 512 tokens and considers answer spans up to 30 tokens. The returned answer is reduced to its first line and may be extended to the end of that source line when the model appears to have stopped part-way through a value. This design favors short, source-grounded outputs but means relevant text beyond the model context window can be missed.</w:t>
      </w:r>
    </w:p>
    <w:p>
      <w:r>
        <w:t>Information extraction converts unstructured or semi-structured document content into named fields that a later application can store and compare. In invoice processing, a field schema provides the target structure, while the PDF provides the evidence from which values must be selected. Different implementation families solve this task in different ways: fixed templates and regular expressions depend on known layouts; OCR converts image pixels into text; named-entity or sequence models identify token categories; and question-answering systems select a text span in response to a field-specific question. These approaches have different assumptions about layout, field wording, and the quality of source text.</w:t>
      </w:r>
    </w:p>
    <w:p>
      <w:r>
        <w:t>DocuAudit uses extractive question answering because the initial scope is native-text invoices and the target schema is fixed. The model is asked a natural-language question such as “What is the invoice date?” and returns a span from the supplied context. Returning a source span makes it possible to compare the value with invoice text, but it does not guarantee that the span answers the intended question. A model may choose a nearby date or label, or return a value from a semantically similar field. That is why the answer is treated as a candidate rather than a verified result.</w:t>
      </w:r>
    </w:p>
    <w:p>
      <w:r>
        <w:t>The extraction module uses one primary wording per field on the first pass and holds alternate question phrasings for repair. This design limits model calls during the ordinary path while allowing the repair path to vary the question and context when the initial candidate fails audit. It is a bounded strategy rather than an exhaustive search: if the text layout is unusual or the relevant passage falls outside the model context, the pipeline may still send the field to review.</w:t>
      </w:r>
    </w:p>
    <w:p>
      <w:pPr>
        <w:pStyle w:val="Heading2"/>
        <w:keepNext/>
      </w:pPr>
      <w:r>
        <w:t>2.2 Retrieval and Semantic Search</w:t>
      </w:r>
    </w:p>
    <w:p>
      <w:r>
        <w:t>Sentence-transformer embeddings represent text as vectors for semantic retrieval. The project uses BAAI bge-small-en-v1.5 with Qdrant cosine similarity and a document-ID filter [2]. The current worker indexes the whole extracted invoice as one chunk, so retrieval is document-scoped but offers little fine-grained ranking within long documents.</w:t>
      </w:r>
    </w:p>
    <w:p>
      <w:r>
        <w:t>An embedding maps text into a numeric vector intended to place semantically related texts near one another in vector space. A vector database stores those representations and returns points whose vectors are similar to a query vector. In a document-processing system, retrieval can be used to select relevant pages or passages before asking a model to extract a field. Filtering results by document identifier is essential in a shared collection because a semantically similar passage from another invoice must not be used as evidence for the current document.</w:t>
      </w:r>
    </w:p>
    <w:p>
      <w:r>
        <w:t>The current pipeline asks a broad query about invoice details and filters Qdrant points to the active document. The worker indexes the joined text as one chunk, so for a short invoice retrieval usually returns the document text as a whole. This supports an integrated retrieval component but does not demonstrate fine-grained passage ranking. For longer documents, chunking by page or section could improve context selection; however, chunking also requires decisions about overlap, page metadata, label/value boundaries, and how evidence is mapped back to the original source.</w:t>
      </w:r>
    </w:p>
    <w:p>
      <w:r>
        <w:t>Vector search is complementary to, rather than a replacement for, explicit label rules. A vector similarity score measures a relation between text representations and a query; it does not prove that an amount is the total or that a date is the due date. A lexical search can be a useful baseline for invoices because fields often have explicit labels. A future retrieval experiment should compare lexical, vector, and hybrid methods using retrieval recall, field accuracy, review rate, and runtime rather than assuming one method is best for every document.</w:t>
      </w:r>
    </w:p>
    <w:p>
      <w:pPr>
        <w:pStyle w:val="Heading2"/>
        <w:keepNext/>
      </w:pPr>
      <w:r>
        <w:t>2.3 Verification and NLI</w:t>
      </w:r>
    </w:p>
    <w:p>
      <w:r>
        <w:t>The audit combines deterministic checks with a text-pair classifier. Rules reject empty or ill-typed values, missing source matches, and evidence carrying incompatible labels. An optional DeBERTa NLI model classifies a labelled line against a plain-language claim as entailment, contradiction, or neutral [3]. NLI is an additional check, not proof of truth; project evaluation found strict support requirements could increase unnecessary review.</w:t>
      </w:r>
    </w:p>
    <w:p>
      <w:r>
        <w:t>Verification asks a different question from extraction. Extraction proposes a value; verification tests whether that value is sufficiently supported by the source under the project’s rules. DocuAudit first checks whether the value has a plausible type, then searches for the value in extracted text, then checks whether the containing line has a compatible field label and no known conflicting label. This order catches inexpensive structural mistakes before invoking a language model. For example, a value can be a valid date yet still be rejected as a due date if it occurs only beside an invoice-date label.</w:t>
      </w:r>
    </w:p>
    <w:p>
      <w:r>
        <w:t>Natural-language inference provides a second kind of semantic comparison. The auditor forms a premise from labelled evidence and a hypothesis from a plain-language field claim. The NLI classifier assigns a label and score. In veto mode, a sufficiently confident contradiction can reject a candidate, while a neutral result does not override successful deterministic checks. In strict mode, the premise must entail the hypothesis above the threshold. In off mode, the model is not loaded and the deterministic rules decide. These modes encode different operating policies, not interchangeable confidence levels.</w:t>
      </w:r>
    </w:p>
    <w:p>
      <w:r>
        <w:t>A model score should not be interpreted as a calibrated probability that a value is true. NLI can be affected by wording, context length, model training data, and label semantics. Deterministic rules can also be wrong when labels are unfamiliar or text extraction has disrupted reading order. The project therefore combines evidence sources and reports the policy, while acknowledging that neither an NLI result nor a rule pass proves invoice authenticity or business correctness.</w:t>
      </w:r>
    </w:p>
    <w:p>
      <w:r>
        <w:t>The separation between candidate value, evidence, and support decision is a form of decision transparency. A user can see that a model proposed a value but the auditor did not accept it, or inspect the line that supported an accepted value. This is more informative than returning only a completed JSON object. The current implementation still lacks page-coordinate provenance and a structured reviewer correction record, so transparency is limited to extracted text and stored audit fields.</w:t>
      </w:r>
    </w:p>
    <w:p>
      <w:pPr>
        <w:pStyle w:val="Heading2"/>
        <w:keepNext/>
      </w:pPr>
      <w:r>
        <w:t>2.4 Human Review</w:t>
      </w:r>
    </w:p>
    <w:p>
      <w:r>
        <w:t>A review state is an explicit outcome. If a field remains unsupported after repair, the document is marked needs_review and shown in the interface queue. The current application does not let a reviewer edit, approve, or correct the document.</w:t>
      </w:r>
    </w:p>
    <w:p>
      <w:r>
        <w:t>Human-in-the-loop processing combines automated decisions with a person’s ability to resolve ambiguity or correct an output. In a cautious workflow, automation handles fields that meet defined evidence requirements, while uncertain cases are presented to a reviewer. This pattern can reduce the pressure to guess, but it shifts some workload to people and requires a clear interface that distinguishes verified information from suggestions.</w:t>
      </w:r>
    </w:p>
    <w:p>
      <w:r>
        <w:t>DocuAudit implements the routing part of this pattern but not the full resolution loop. The application lists needs_review documents and displays extracted fields and diagnostics. It does not provide assignment, field correction, approval, reviewer notes, or a durable history of human decisions. Accordingly, the report describes the interface as a basic review queue rather than a complete human-approval system. The distinction matters because a queue that can show uncertainty does not by itself establish that the uncertainty was resolved.</w:t>
      </w:r>
    </w:p>
    <w:p>
      <w:r>
        <w:t>The one-pass repair stage is an automated recovery attempt before human review. It tries alternative phrasings and values near field labels, then retains a candidate only if the same audit accepts it. This is a constrained form of self-correction: the model may propose alternatives, but it cannot override the evidence policy. Limiting repair to one round bounds processing and makes the terminal outcome easier to reason about; it can also leave recoverable values unsupported when the candidate-generation strategy is too narrow.</w:t>
      </w:r>
    </w:p>
    <w:p>
      <w:pPr>
        <w:pStyle w:val="Heading2"/>
        <w:keepNext/>
      </w:pPr>
      <w:r>
        <w:t>2.5 Compliance Screening and Field Verification</w:t>
      </w:r>
    </w:p>
    <w:p>
      <w:r>
        <w:t>Field verification and compliance screening are related but distinct functions. Field verification asks whether an individual value is supported as the requested field. Compliance screening looks for selected document-level conditions such as arithmetic inconsistency, an amount above a configured threshold, a repeated invoice number, or detected person/location entities. One function cannot substitute for the other: a total may be clearly printed and pass field verification while still failing the arithmetic consistency rule.</w:t>
      </w:r>
    </w:p>
    <w:p>
      <w:r>
        <w:t>In DocuAudit, compliance results contain a list of flags, a simple risk-level value, and selected NER detections. The amount rule compares subtotal plus tax with total using a fixed tolerance; another rule compares total with a configured threshold; duplicate detection checks invoice numbers for a normalized vendor; and the NER component returns person and location entities. These are screening signals for inspection, not a complete regulatory compliance engine. The project does not establish currency-aware policy interpretation, supplier validation, tax-law analysis, or payment authorization.</w:t>
      </w:r>
    </w:p>
    <w:p>
      <w:r>
        <w:t>The distinction also affects evaluation. Field metrics compare extracted values and audit decisions with gold field labels, while compliance flag accuracy compares the predicted flag set with the expected set for each invoice. An invoice can have excellent field extraction and still receive an incorrect compliance flag. Reporting these results separately helps identify whether an observed weakness lies in value extraction, evidence validation, or document-level rule logic.</w:t>
      </w:r>
    </w:p>
    <w:p>
      <w:pPr>
        <w:pStyle w:val="Heading2"/>
        <w:keepNext/>
      </w:pPr>
      <w:r>
        <w:t>2.6 Asynchronous Processing and Workflow State</w:t>
      </w:r>
    </w:p>
    <w:p>
      <w:r>
        <w:t>Asynchronous processing is a design pattern in which a client submits work and receives an identifier before the long-running task has completed. A background worker later performs the work, while the client checks status or receives a notification. This pattern avoids requiring the browser and API request to remain connected throughout model loading, inference, retrieval, and persistence.</w:t>
      </w:r>
    </w:p>
    <w:p>
      <w:r>
        <w:t>The project uses Celery with Redis to queue work. The API creates a document record and returns its ID; the worker changes the record through pending and processing states and finally writes complete, needs_review, or failed. The frontend polls the detail endpoint. This creates eventual consistency: a client can briefly observe a pending state after a task has been queued, and a browser timeout does not necessarily mean the worker failed. Durable state in PostgreSQL is therefore the source for later status queries, while Redis carries work messages.</w:t>
      </w:r>
    </w:p>
    <w:p>
      <w:r>
        <w:t>A status model should communicate both execution and decision outcomes. Failed means processing was interrupted by an exception; needs_review means processing finished but at least one field remained unsupported; complete means all submitted fields passed the configured audit. These states should not be collapsed into one success boolean. In larger deployments, queue retries, duplicate task delivery, idempotency, queue monitoring, and dependency readiness also become important because asynchronous systems can expose partial or delayed work.</w:t>
      </w:r>
    </w:p>
    <w:p>
      <w:pPr>
        <w:pStyle w:val="Heading2"/>
        <w:keepNext/>
      </w:pPr>
      <w:r>
        <w:t>2.7 Data Provenance and Reproducible Evaluation</w:t>
      </w:r>
    </w:p>
    <w:p>
      <w:r>
        <w:t>Data provenance describes how a result can be traced to its source, transformation, and decision history. In invoice automation, useful provenance includes the source file, its hash, the page and location of evidence, the extracted text span, the model and rule version, and any human correction. DocuAudit currently retains source files and text-line evidence but does not preserve page coordinates, a cryptographic source reference in the audit record, or populated model-version metadata.</w:t>
      </w:r>
    </w:p>
    <w:p>
      <w:r>
        <w:t>Evaluation reproducibility requires more than a score. A result should be tied to a code revision, dependencies, model checkpoints, NLI mode and threshold, dataset version, annotation policy, and scoring implementation. The repository includes a golden dataset and score scripts, which provide a basis for repeated measurement. However, the ten examples first described as held out were later merged into the development set after their failures informed changes. The final development results must therefore not be described as an independent test result.</w:t>
      </w:r>
    </w:p>
    <w:p>
      <w:r>
        <w:t>This background motivates the report’s emphasis on raw counts, multiple metrics, and explicit limitations. Field F1 reflects similarity of extracted text to gold values; verified precision concerns the correctness of accepted values; coverage concerns how many present values are accepted; absent-field handling concerns hallucinated values; and flag accuracy concerns compliance rules. No single measure captures all of these behaviors, and results on synthetic data do not prove performance on real-world invoices.</w:t>
      </w:r>
    </w:p>
    <w:p>
      <w:pPr>
        <w:pStyle w:val="Heading2"/>
        <w:keepNext/>
      </w:pPr>
      <w:r>
        <w:t>2.8 Relationship of Concepts to DocuAudit</w:t>
      </w:r>
    </w:p>
    <w:p>
      <w:r>
        <w:t>The concepts in this chapter are combined in a deliberate sequence. Text extraction converts a PDF into a form that the models can read. Retrieval supplies document-scoped context. Question answering proposes values for a fixed schema. Type, source, and label rules validate candidate structure and evidence. NLI optionally provides an additional semantic check. Compliance logic evaluates selected invoice-level conditions. Bounded repair searches for an alternative when a field is unsupported, and the asynchronous workflow persists a final state for a user to inspect.</w:t>
      </w:r>
    </w:p>
    <w:p>
      <w:r>
        <w:t>Each concept addresses a different failure mode, and each introduces its own limitations. Text extraction can lose layout; retrieval can select overly broad context; question answering can select the wrong span; rules can miss unfamiliar labels; NLI can be uncertain; compliance rules can oversimplify policy; and human review can remain incomplete if the interface has no correction action. The system’s overall trustworthiness therefore depends on the full chain and on the quality of its evaluation data, not on the presence of any single model or component.</w:t>
      </w:r>
    </w:p>
    <w:p>
      <w:r>
        <w:t>The project should be understood as an evidence-oriented prototype. It demonstrates a way to make uncertain extraction visible, measures selected behaviors on a controlled dataset, and identifies work needed for broader deployment. The next chapters translate these concepts into explicit requirements, system design, implementation detail, test evidence, measured results, and an extended plan for further development.</w:t>
      </w:r>
    </w:p>
    <w:p>
      <w:r>
        <w:br w:type="page"/>
      </w:r>
    </w:p>
    <w:p>
      <w:pPr>
        <w:pStyle w:val="Heading1"/>
        <w:keepNext/>
      </w:pPr>
      <w:r>
        <w:t>3. Requirements and Scope</w:t>
      </w:r>
    </w:p>
    <w:p>
      <w:pPr>
        <w:pStyle w:val="Heading2"/>
        <w:keepNext/>
      </w:pPr>
      <w:r>
        <w:t>3.1 Functional Requirements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ID</w:t>
            </w:r>
          </w:p>
        </w:tc>
        <w:tc>
          <w:tcPr>
            <w:tcW w:type="dxa" w:w="3264"/>
            <w:shd w:fill="17365D"/>
          </w:tcPr>
          <w:p>
            <w:r>
              <w:rPr>
                <w:b/>
                <w:color w:val="FFFFFF"/>
                <w:sz w:val="24"/>
              </w:rPr>
              <w:t>Requirement</w:t>
            </w:r>
          </w:p>
        </w:tc>
        <w:tc>
          <w:tcPr>
            <w:tcW w:type="dxa" w:w="3264"/>
            <w:shd w:fill="17365D"/>
          </w:tcPr>
          <w:p>
            <w:r>
              <w:rPr>
                <w:b/>
                <w:color w:val="FFFFFF"/>
                <w:sz w:val="24"/>
              </w:rPr>
              <w:t>Implementation</w:t>
            </w:r>
          </w:p>
        </w:tc>
      </w:tr>
      <w:tr>
        <w:tc>
          <w:tcPr>
            <w:tcW w:type="dxa" w:w="3264"/>
            <w:vAlign w:val="center"/>
          </w:tcPr>
          <w:p>
            <w:pPr>
              <w:spacing w:line="276" w:lineRule="auto"/>
            </w:pPr>
            <w:r>
              <w:rPr>
                <w:sz w:val="24"/>
              </w:rPr>
              <w:t>FR-1</w:t>
            </w:r>
          </w:p>
        </w:tc>
        <w:tc>
          <w:tcPr>
            <w:tcW w:type="dxa" w:w="3264"/>
            <w:vAlign w:val="center"/>
          </w:tcPr>
          <w:p>
            <w:pPr>
              <w:spacing w:line="276" w:lineRule="auto"/>
            </w:pPr>
            <w:r>
              <w:rPr>
                <w:sz w:val="24"/>
              </w:rPr>
              <w:t>Accept PDF and return a document ID.</w:t>
            </w:r>
          </w:p>
        </w:tc>
        <w:tc>
          <w:tcPr>
            <w:tcW w:type="dxa" w:w="3264"/>
            <w:vAlign w:val="center"/>
          </w:tcPr>
          <w:p>
            <w:pPr>
              <w:spacing w:line="276" w:lineRule="auto"/>
            </w:pPr>
            <w:r>
              <w:rPr>
                <w:sz w:val="24"/>
              </w:rPr>
              <w:t>POST /documents saves file and queues Celery.</w:t>
            </w:r>
          </w:p>
        </w:tc>
      </w:tr>
      <w:tr>
        <w:tc>
          <w:tcPr>
            <w:tcW w:type="dxa" w:w="3264"/>
            <w:vAlign w:val="center"/>
            <w:shd w:fill="EAF0F6"/>
          </w:tcPr>
          <w:p>
            <w:pPr>
              <w:spacing w:line="276" w:lineRule="auto"/>
            </w:pPr>
            <w:r>
              <w:rPr>
                <w:sz w:val="24"/>
              </w:rPr>
              <w:t>FR-2</w:t>
            </w:r>
          </w:p>
        </w:tc>
        <w:tc>
          <w:tcPr>
            <w:tcW w:type="dxa" w:w="3264"/>
            <w:vAlign w:val="center"/>
            <w:shd w:fill="EAF0F6"/>
          </w:tcPr>
          <w:p>
            <w:pPr>
              <w:spacing w:line="276" w:lineRule="auto"/>
            </w:pPr>
            <w:r>
              <w:rPr>
                <w:sz w:val="24"/>
              </w:rPr>
              <w:t>Process asynchronously and expose status.</w:t>
            </w:r>
          </w:p>
        </w:tc>
        <w:tc>
          <w:tcPr>
            <w:tcW w:type="dxa" w:w="3264"/>
            <w:vAlign w:val="center"/>
            <w:shd w:fill="EAF0F6"/>
          </w:tcPr>
          <w:p>
            <w:pPr>
              <w:spacing w:line="276" w:lineRule="auto"/>
            </w:pPr>
            <w:r>
              <w:rPr>
                <w:sz w:val="24"/>
              </w:rPr>
              <w:t>pending, processing, complete, needs_review, failed.</w:t>
            </w:r>
          </w:p>
        </w:tc>
      </w:tr>
      <w:tr>
        <w:tc>
          <w:tcPr>
            <w:tcW w:type="dxa" w:w="3264"/>
            <w:vAlign w:val="center"/>
          </w:tcPr>
          <w:p>
            <w:pPr>
              <w:spacing w:line="276" w:lineRule="auto"/>
            </w:pPr>
            <w:r>
              <w:rPr>
                <w:sz w:val="24"/>
              </w:rPr>
              <w:t>FR-3</w:t>
            </w:r>
          </w:p>
        </w:tc>
        <w:tc>
          <w:tcPr>
            <w:tcW w:type="dxa" w:w="3264"/>
            <w:vAlign w:val="center"/>
          </w:tcPr>
          <w:p>
            <w:pPr>
              <w:spacing w:line="276" w:lineRule="auto"/>
            </w:pPr>
            <w:r>
              <w:rPr>
                <w:sz w:val="24"/>
              </w:rPr>
              <w:t>Extract seven invoice fields.</w:t>
            </w:r>
          </w:p>
        </w:tc>
        <w:tc>
          <w:tcPr>
            <w:tcW w:type="dxa" w:w="3264"/>
            <w:vAlign w:val="center"/>
          </w:tcPr>
          <w:p>
            <w:pPr>
              <w:spacing w:line="276" w:lineRule="auto"/>
            </w:pPr>
            <w:r>
              <w:rPr>
                <w:sz w:val="24"/>
              </w:rPr>
              <w:t>Fixed schema and question templates.</w:t>
            </w:r>
          </w:p>
        </w:tc>
      </w:tr>
      <w:tr>
        <w:tc>
          <w:tcPr>
            <w:tcW w:type="dxa" w:w="3264"/>
            <w:vAlign w:val="center"/>
            <w:shd w:fill="EAF0F6"/>
          </w:tcPr>
          <w:p>
            <w:pPr>
              <w:spacing w:line="276" w:lineRule="auto"/>
            </w:pPr>
            <w:r>
              <w:rPr>
                <w:sz w:val="24"/>
              </w:rPr>
              <w:t>FR-4</w:t>
            </w:r>
          </w:p>
        </w:tc>
        <w:tc>
          <w:tcPr>
            <w:tcW w:type="dxa" w:w="3264"/>
            <w:vAlign w:val="center"/>
            <w:shd w:fill="EAF0F6"/>
          </w:tcPr>
          <w:p>
            <w:pPr>
              <w:spacing w:line="276" w:lineRule="auto"/>
            </w:pPr>
            <w:r>
              <w:rPr>
                <w:sz w:val="24"/>
              </w:rPr>
              <w:t>Audit candidates with field evidence.</w:t>
            </w:r>
          </w:p>
        </w:tc>
        <w:tc>
          <w:tcPr>
            <w:tcW w:type="dxa" w:w="3264"/>
            <w:vAlign w:val="center"/>
            <w:shd w:fill="EAF0F6"/>
          </w:tcPr>
          <w:p>
            <w:pPr>
              <w:spacing w:line="276" w:lineRule="auto"/>
            </w:pPr>
            <w:r>
              <w:rPr>
                <w:sz w:val="24"/>
              </w:rPr>
              <w:t>Type/label rules, source lines, optional NLI.</w:t>
            </w:r>
          </w:p>
        </w:tc>
      </w:tr>
      <w:tr>
        <w:tc>
          <w:tcPr>
            <w:tcW w:type="dxa" w:w="3264"/>
            <w:vAlign w:val="center"/>
          </w:tcPr>
          <w:p>
            <w:pPr>
              <w:spacing w:line="276" w:lineRule="auto"/>
            </w:pPr>
            <w:r>
              <w:rPr>
                <w:sz w:val="24"/>
              </w:rPr>
              <w:t>FR-5</w:t>
            </w:r>
          </w:p>
        </w:tc>
        <w:tc>
          <w:tcPr>
            <w:tcW w:type="dxa" w:w="3264"/>
            <w:vAlign w:val="center"/>
          </w:tcPr>
          <w:p>
            <w:pPr>
              <w:spacing w:line="276" w:lineRule="auto"/>
            </w:pPr>
            <w:r>
              <w:rPr>
                <w:sz w:val="24"/>
              </w:rPr>
              <w:t>Detect compliance conditions.</w:t>
            </w:r>
          </w:p>
        </w:tc>
        <w:tc>
          <w:tcPr>
            <w:tcW w:type="dxa" w:w="3264"/>
            <w:vAlign w:val="center"/>
          </w:tcPr>
          <w:p>
            <w:pPr>
              <w:spacing w:line="276" w:lineRule="auto"/>
            </w:pPr>
            <w:r>
              <w:rPr>
                <w:sz w:val="24"/>
              </w:rPr>
              <w:t>Arithmetic, threshold, duplicates, NER.</w:t>
            </w:r>
          </w:p>
        </w:tc>
      </w:tr>
      <w:tr>
        <w:tc>
          <w:tcPr>
            <w:tcW w:type="dxa" w:w="3264"/>
            <w:vAlign w:val="center"/>
            <w:shd w:fill="EAF0F6"/>
          </w:tcPr>
          <w:p>
            <w:pPr>
              <w:spacing w:line="276" w:lineRule="auto"/>
            </w:pPr>
            <w:r>
              <w:rPr>
                <w:sz w:val="24"/>
              </w:rPr>
              <w:t>FR-6</w:t>
            </w:r>
          </w:p>
        </w:tc>
        <w:tc>
          <w:tcPr>
            <w:tcW w:type="dxa" w:w="3264"/>
            <w:vAlign w:val="center"/>
            <w:shd w:fill="EAF0F6"/>
          </w:tcPr>
          <w:p>
            <w:pPr>
              <w:spacing w:line="276" w:lineRule="auto"/>
            </w:pPr>
            <w:r>
              <w:rPr>
                <w:sz w:val="24"/>
              </w:rPr>
              <w:t>Repair once and route unresolved fields.</w:t>
            </w:r>
          </w:p>
        </w:tc>
        <w:tc>
          <w:tcPr>
            <w:tcW w:type="dxa" w:w="3264"/>
            <w:vAlign w:val="center"/>
            <w:shd w:fill="EAF0F6"/>
          </w:tcPr>
          <w:p>
            <w:pPr>
              <w:spacing w:line="276" w:lineRule="auto"/>
            </w:pPr>
            <w:r>
              <w:rPr>
                <w:sz w:val="24"/>
              </w:rPr>
              <w:t>Candidate must pass audit.</w:t>
            </w:r>
          </w:p>
        </w:tc>
      </w:tr>
      <w:tr>
        <w:tc>
          <w:tcPr>
            <w:tcW w:type="dxa" w:w="3264"/>
            <w:vAlign w:val="center"/>
          </w:tcPr>
          <w:p>
            <w:pPr>
              <w:spacing w:line="276" w:lineRule="auto"/>
            </w:pPr>
            <w:r>
              <w:rPr>
                <w:sz w:val="24"/>
              </w:rPr>
              <w:t>FR-7</w:t>
            </w:r>
          </w:p>
        </w:tc>
        <w:tc>
          <w:tcPr>
            <w:tcW w:type="dxa" w:w="3264"/>
            <w:vAlign w:val="center"/>
          </w:tcPr>
          <w:p>
            <w:pPr>
              <w:spacing w:line="276" w:lineRule="auto"/>
            </w:pPr>
            <w:r>
              <w:rPr>
                <w:sz w:val="24"/>
              </w:rPr>
              <w:t>Present results and review queue.</w:t>
            </w:r>
          </w:p>
        </w:tc>
        <w:tc>
          <w:tcPr>
            <w:tcW w:type="dxa" w:w="3264"/>
            <w:vAlign w:val="center"/>
          </w:tcPr>
          <w:p>
            <w:pPr>
              <w:spacing w:line="276" w:lineRule="auto"/>
            </w:pPr>
            <w:r>
              <w:rPr>
                <w:sz w:val="24"/>
              </w:rPr>
              <w:t>Streamlit UI.</w:t>
            </w:r>
          </w:p>
        </w:tc>
      </w:tr>
    </w:tbl>
    <w:p>
      <w:pPr>
        <w:pStyle w:val="Caption"/>
        <w:keepLines/>
        <w:jc w:val="center"/>
      </w:pPr>
      <w:r>
        <w:t>Table 1. Functional Requirements Traceability</w:t>
      </w:r>
    </w:p>
    <w:p/>
    <w:p>
      <w:r>
        <w:t>The requirements reflect a single-document workflow. An upload creates a record that can be polled by ID; the interface is not expected to hold a long-running HTTP request open while model inference runs. The audit requirement applies independently to each extracted field, so a partially supported invoice can be completed as a processing task while still receiving the needs_review outcome. This keeps pipeline completion distinct from acceptance of all extracted data.</w:t>
      </w:r>
    </w:p>
    <w:p>
      <w:pPr>
        <w:pStyle w:val="Heading2"/>
        <w:keepNext/>
      </w:pPr>
      <w:r>
        <w:t>3.2 Non-Functional Requirements</w:t>
      </w:r>
    </w:p>
    <w:p>
      <w:pPr>
        <w:pStyle w:val="ListBullet"/>
      </w:pPr>
      <w:r>
        <w:t>Traceability: return per-field support decisions and evidence text.</w:t>
      </w:r>
    </w:p>
    <w:p>
      <w:pPr>
        <w:pStyle w:val="ListBullet"/>
      </w:pPr>
      <w:r>
        <w:t>Reliability: isolate long-running inference from the request path and record terminal status.</w:t>
      </w:r>
    </w:p>
    <w:p>
      <w:pPr>
        <w:pStyle w:val="ListBullet"/>
      </w:pPr>
      <w:r>
        <w:t>Maintainability: separate agents, workflow, API, persistence, and evaluation.</w:t>
      </w:r>
    </w:p>
    <w:p>
      <w:pPr>
        <w:pStyle w:val="ListBullet"/>
      </w:pPr>
      <w:r>
        <w:t>Reproducibility: Docker Compose deployment and pinned core packages.</w:t>
      </w:r>
    </w:p>
    <w:p>
      <w:pPr>
        <w:pStyle w:val="ListBullet"/>
      </w:pPr>
      <w:r>
        <w:t>Safety orientation: emphasize verified precision and route unresolved fields to review.</w:t>
      </w:r>
    </w:p>
    <w:p>
      <w:pPr>
        <w:pStyle w:val="Heading2"/>
        <w:keepNext/>
      </w:pPr>
      <w:r>
        <w:t>3.3 Scope and Assumptions</w:t>
      </w:r>
    </w:p>
    <w:p>
      <w:r>
        <w:t>The implementation is limited to native-text invoice PDFs and a fixed schema. It does not include OCR for scans, robust table parsing, general document understanding, or an operational approval workflow. It assumes PyMuPDF can extract useful text and that field labels are sufficiently informative. The compliance amount threshold is 10,000; no currency or jurisdiction-specific policy interpretation is established.</w:t>
      </w:r>
    </w:p>
    <w:p>
      <w:pPr>
        <w:pStyle w:val="Heading2"/>
        <w:keepNext/>
      </w:pPr>
      <w:r>
        <w:t>3.4 Constraints and Acceptance Criteria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Constraint</w:t>
            </w:r>
          </w:p>
        </w:tc>
        <w:tc>
          <w:tcPr>
            <w:tcW w:type="dxa" w:w="3264"/>
            <w:shd w:fill="17365D"/>
          </w:tcPr>
          <w:p>
            <w:r>
              <w:rPr>
                <w:b/>
                <w:color w:val="FFFFFF"/>
                <w:sz w:val="24"/>
              </w:rPr>
              <w:t>Design response</w:t>
            </w:r>
          </w:p>
        </w:tc>
        <w:tc>
          <w:tcPr>
            <w:tcW w:type="dxa" w:w="3264"/>
            <w:shd w:fill="17365D"/>
          </w:tcPr>
          <w:p>
            <w:r>
              <w:rPr>
                <w:b/>
                <w:color w:val="FFFFFF"/>
                <w:sz w:val="24"/>
              </w:rPr>
              <w:t>Acceptance evidence</w:t>
            </w:r>
          </w:p>
        </w:tc>
      </w:tr>
      <w:tr>
        <w:tc>
          <w:tcPr>
            <w:tcW w:type="dxa" w:w="3264"/>
            <w:vAlign w:val="center"/>
          </w:tcPr>
          <w:p>
            <w:pPr>
              <w:spacing w:line="276" w:lineRule="auto"/>
            </w:pPr>
            <w:r>
              <w:rPr>
                <w:sz w:val="24"/>
              </w:rPr>
              <w:t>Long-running model inference</w:t>
            </w:r>
          </w:p>
        </w:tc>
        <w:tc>
          <w:tcPr>
            <w:tcW w:type="dxa" w:w="3264"/>
            <w:vAlign w:val="center"/>
          </w:tcPr>
          <w:p>
            <w:pPr>
              <w:spacing w:line="276" w:lineRule="auto"/>
            </w:pPr>
            <w:r>
              <w:rPr>
                <w:sz w:val="24"/>
              </w:rPr>
              <w:t>Queue work through Celery and Redis.</w:t>
            </w:r>
          </w:p>
        </w:tc>
        <w:tc>
          <w:tcPr>
            <w:tcW w:type="dxa" w:w="3264"/>
            <w:vAlign w:val="center"/>
          </w:tcPr>
          <w:p>
            <w:pPr>
              <w:spacing w:line="276" w:lineRule="auto"/>
            </w:pPr>
            <w:r>
              <w:rPr>
                <w:sz w:val="24"/>
              </w:rPr>
              <w:t>Upload returns an ID before processing completes.</w:t>
            </w:r>
          </w:p>
        </w:tc>
      </w:tr>
      <w:tr>
        <w:tc>
          <w:tcPr>
            <w:tcW w:type="dxa" w:w="3264"/>
            <w:vAlign w:val="center"/>
            <w:shd w:fill="EAF0F6"/>
          </w:tcPr>
          <w:p>
            <w:pPr>
              <w:spacing w:line="276" w:lineRule="auto"/>
            </w:pPr>
            <w:r>
              <w:rPr>
                <w:sz w:val="24"/>
              </w:rPr>
              <w:t>Hallucinated or mismatched values</w:t>
            </w:r>
          </w:p>
        </w:tc>
        <w:tc>
          <w:tcPr>
            <w:tcW w:type="dxa" w:w="3264"/>
            <w:vAlign w:val="center"/>
            <w:shd w:fill="EAF0F6"/>
          </w:tcPr>
          <w:p>
            <w:pPr>
              <w:spacing w:line="276" w:lineRule="auto"/>
            </w:pPr>
            <w:r>
              <w:rPr>
                <w:sz w:val="24"/>
              </w:rPr>
              <w:t>Separate extraction from evidence audit.</w:t>
            </w:r>
          </w:p>
        </w:tc>
        <w:tc>
          <w:tcPr>
            <w:tcW w:type="dxa" w:w="3264"/>
            <w:vAlign w:val="center"/>
            <w:shd w:fill="EAF0F6"/>
          </w:tcPr>
          <w:p>
            <w:pPr>
              <w:spacing w:line="276" w:lineRule="auto"/>
            </w:pPr>
            <w:r>
              <w:rPr>
                <w:sz w:val="24"/>
              </w:rPr>
              <w:t>Wrong values should remain unsupported.</w:t>
            </w:r>
          </w:p>
        </w:tc>
      </w:tr>
      <w:tr>
        <w:tc>
          <w:tcPr>
            <w:tcW w:type="dxa" w:w="3264"/>
            <w:vAlign w:val="center"/>
          </w:tcPr>
          <w:p>
            <w:pPr>
              <w:spacing w:line="276" w:lineRule="auto"/>
            </w:pPr>
            <w:r>
              <w:rPr>
                <w:sz w:val="24"/>
              </w:rPr>
              <w:t>Variable invoice text</w:t>
            </w:r>
          </w:p>
        </w:tc>
        <w:tc>
          <w:tcPr>
            <w:tcW w:type="dxa" w:w="3264"/>
            <w:vAlign w:val="center"/>
          </w:tcPr>
          <w:p>
            <w:pPr>
              <w:spacing w:line="276" w:lineRule="auto"/>
            </w:pPr>
            <w:r>
              <w:rPr>
                <w:sz w:val="24"/>
              </w:rPr>
              <w:t>Use label alternatives and limited candidate repair.</w:t>
            </w:r>
          </w:p>
        </w:tc>
        <w:tc>
          <w:tcPr>
            <w:tcW w:type="dxa" w:w="3264"/>
            <w:vAlign w:val="center"/>
          </w:tcPr>
          <w:p>
            <w:pPr>
              <w:spacing w:line="276" w:lineRule="auto"/>
            </w:pPr>
            <w:r>
              <w:rPr>
                <w:sz w:val="24"/>
              </w:rPr>
              <w:t>Golden cases cover varied labels and stacked layouts.</w:t>
            </w:r>
          </w:p>
        </w:tc>
      </w:tr>
      <w:tr>
        <w:tc>
          <w:tcPr>
            <w:tcW w:type="dxa" w:w="3264"/>
            <w:vAlign w:val="center"/>
            <w:shd w:fill="EAF0F6"/>
          </w:tcPr>
          <w:p>
            <w:pPr>
              <w:spacing w:line="276" w:lineRule="auto"/>
            </w:pPr>
            <w:r>
              <w:rPr>
                <w:sz w:val="24"/>
              </w:rPr>
              <w:t>Unavailable field</w:t>
            </w:r>
          </w:p>
        </w:tc>
        <w:tc>
          <w:tcPr>
            <w:tcW w:type="dxa" w:w="3264"/>
            <w:vAlign w:val="center"/>
            <w:shd w:fill="EAF0F6"/>
          </w:tcPr>
          <w:p>
            <w:pPr>
              <w:spacing w:line="276" w:lineRule="auto"/>
            </w:pPr>
            <w:r>
              <w:rPr>
                <w:sz w:val="24"/>
              </w:rPr>
              <w:t>Permit an empty or unsupported result.</w:t>
            </w:r>
          </w:p>
        </w:tc>
        <w:tc>
          <w:tcPr>
            <w:tcW w:type="dxa" w:w="3264"/>
            <w:vAlign w:val="center"/>
            <w:shd w:fill="EAF0F6"/>
          </w:tcPr>
          <w:p>
            <w:pPr>
              <w:spacing w:line="276" w:lineRule="auto"/>
            </w:pPr>
            <w:r>
              <w:rPr>
                <w:sz w:val="24"/>
              </w:rPr>
              <w:t>Absent due-date examples are routed to review.</w:t>
            </w:r>
          </w:p>
        </w:tc>
      </w:tr>
      <w:tr>
        <w:tc>
          <w:tcPr>
            <w:tcW w:type="dxa" w:w="3264"/>
            <w:vAlign w:val="center"/>
          </w:tcPr>
          <w:p>
            <w:pPr>
              <w:spacing w:line="276" w:lineRule="auto"/>
            </w:pPr>
            <w:r>
              <w:rPr>
                <w:sz w:val="24"/>
              </w:rPr>
              <w:t>Regression risk</w:t>
            </w:r>
          </w:p>
        </w:tc>
        <w:tc>
          <w:tcPr>
            <w:tcW w:type="dxa" w:w="3264"/>
            <w:vAlign w:val="center"/>
          </w:tcPr>
          <w:p>
            <w:pPr>
              <w:spacing w:line="276" w:lineRule="auto"/>
            </w:pPr>
            <w:r>
              <w:rPr>
                <w:sz w:val="24"/>
              </w:rPr>
              <w:t>Run a golden-set gate.</w:t>
            </w:r>
          </w:p>
        </w:tc>
        <w:tc>
          <w:tcPr>
            <w:tcW w:type="dxa" w:w="3264"/>
            <w:vAlign w:val="center"/>
          </w:tcPr>
          <w:p>
            <w:pPr>
              <w:spacing w:line="276" w:lineRule="auto"/>
            </w:pPr>
            <w:r>
              <w:rPr>
                <w:sz w:val="24"/>
              </w:rPr>
              <w:t>Gate fails when any baseline metric falls below threshold.</w:t>
            </w:r>
          </w:p>
        </w:tc>
      </w:tr>
    </w:tbl>
    <w:p>
      <w:pPr>
        <w:pStyle w:val="Caption"/>
        <w:keepLines/>
        <w:jc w:val="center"/>
      </w:pPr>
      <w:r>
        <w:t>Table 2. Constraints and Acceptance Criteria</w:t>
      </w:r>
    </w:p>
    <w:p/>
    <w:p>
      <w:r>
        <w:t>The repository does not specify a formal latency SLA, concurrency target, or production availability target. Accordingly, the project evaluates functional behavior and benchmark accuracy but does not claim a service-level objective.</w:t>
      </w:r>
    </w:p>
    <w:p>
      <w:r>
        <w:br w:type="page"/>
      </w:r>
    </w:p>
    <w:p>
      <w:pPr>
        <w:pStyle w:val="Heading1"/>
        <w:keepNext/>
      </w:pPr>
      <w:r>
        <w:t>4. System Architecture and Design</w:t>
      </w:r>
    </w:p>
    <w:p>
      <w:pPr>
        <w:pStyle w:val="Heading2"/>
        <w:keepNext/>
      </w:pPr>
      <w:r>
        <w:t>4.1 Components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Component</w:t>
            </w:r>
          </w:p>
        </w:tc>
        <w:tc>
          <w:tcPr>
            <w:tcW w:type="dxa" w:w="3264"/>
            <w:shd w:fill="17365D"/>
          </w:tcPr>
          <w:p>
            <w:r>
              <w:rPr>
                <w:b/>
                <w:color w:val="FFFFFF"/>
                <w:sz w:val="24"/>
              </w:rPr>
              <w:t>Technology</w:t>
            </w:r>
          </w:p>
        </w:tc>
        <w:tc>
          <w:tcPr>
            <w:tcW w:type="dxa" w:w="3264"/>
            <w:shd w:fill="17365D"/>
          </w:tcPr>
          <w:p>
            <w:r>
              <w:rPr>
                <w:b/>
                <w:color w:val="FFFFFF"/>
                <w:sz w:val="24"/>
              </w:rPr>
              <w:t>Role</w:t>
            </w:r>
          </w:p>
        </w:tc>
      </w:tr>
      <w:tr>
        <w:tc>
          <w:tcPr>
            <w:tcW w:type="dxa" w:w="3264"/>
            <w:vAlign w:val="center"/>
          </w:tcPr>
          <w:p>
            <w:pPr>
              <w:spacing w:line="276" w:lineRule="auto"/>
            </w:pPr>
            <w:r>
              <w:rPr>
                <w:sz w:val="24"/>
              </w:rPr>
              <w:t>Interface</w:t>
            </w:r>
          </w:p>
        </w:tc>
        <w:tc>
          <w:tcPr>
            <w:tcW w:type="dxa" w:w="3264"/>
            <w:vAlign w:val="center"/>
          </w:tcPr>
          <w:p>
            <w:pPr>
              <w:spacing w:line="276" w:lineRule="auto"/>
            </w:pPr>
            <w:r>
              <w:rPr>
                <w:sz w:val="24"/>
              </w:rPr>
              <w:t>Streamlit</w:t>
            </w:r>
          </w:p>
        </w:tc>
        <w:tc>
          <w:tcPr>
            <w:tcW w:type="dxa" w:w="3264"/>
            <w:vAlign w:val="center"/>
          </w:tcPr>
          <w:p>
            <w:pPr>
              <w:spacing w:line="276" w:lineRule="auto"/>
            </w:pPr>
            <w:r>
              <w:rPr>
                <w:sz w:val="24"/>
              </w:rPr>
              <w:t>Upload, poll status, show fields, flags, audit, queue.</w:t>
            </w:r>
          </w:p>
        </w:tc>
      </w:tr>
      <w:tr>
        <w:tc>
          <w:tcPr>
            <w:tcW w:type="dxa" w:w="3264"/>
            <w:vAlign w:val="center"/>
            <w:shd w:fill="EAF0F6"/>
          </w:tcPr>
          <w:p>
            <w:pPr>
              <w:spacing w:line="276" w:lineRule="auto"/>
            </w:pPr>
            <w:r>
              <w:rPr>
                <w:sz w:val="24"/>
              </w:rPr>
              <w:t>REST API</w:t>
            </w:r>
          </w:p>
        </w:tc>
        <w:tc>
          <w:tcPr>
            <w:tcW w:type="dxa" w:w="3264"/>
            <w:vAlign w:val="center"/>
            <w:shd w:fill="EAF0F6"/>
          </w:tcPr>
          <w:p>
            <w:pPr>
              <w:spacing w:line="276" w:lineRule="auto"/>
            </w:pPr>
            <w:r>
              <w:rPr>
                <w:sz w:val="24"/>
              </w:rPr>
              <w:t>FastAPI</w:t>
            </w:r>
          </w:p>
        </w:tc>
        <w:tc>
          <w:tcPr>
            <w:tcW w:type="dxa" w:w="3264"/>
            <w:vAlign w:val="center"/>
            <w:shd w:fill="EAF0F6"/>
          </w:tcPr>
          <w:p>
            <w:pPr>
              <w:spacing w:line="276" w:lineRule="auto"/>
            </w:pPr>
            <w:r>
              <w:rPr>
                <w:sz w:val="24"/>
              </w:rPr>
              <w:t>Create/list documents, detail view, health check.</w:t>
            </w:r>
          </w:p>
        </w:tc>
      </w:tr>
      <w:tr>
        <w:tc>
          <w:tcPr>
            <w:tcW w:type="dxa" w:w="3264"/>
            <w:vAlign w:val="center"/>
          </w:tcPr>
          <w:p>
            <w:pPr>
              <w:spacing w:line="276" w:lineRule="auto"/>
            </w:pPr>
            <w:r>
              <w:rPr>
                <w:sz w:val="24"/>
              </w:rPr>
              <w:t>Background work</w:t>
            </w:r>
          </w:p>
        </w:tc>
        <w:tc>
          <w:tcPr>
            <w:tcW w:type="dxa" w:w="3264"/>
            <w:vAlign w:val="center"/>
          </w:tcPr>
          <w:p>
            <w:pPr>
              <w:spacing w:line="276" w:lineRule="auto"/>
            </w:pPr>
            <w:r>
              <w:rPr>
                <w:sz w:val="24"/>
              </w:rPr>
              <w:t>Celery, Redis</w:t>
            </w:r>
          </w:p>
        </w:tc>
        <w:tc>
          <w:tcPr>
            <w:tcW w:type="dxa" w:w="3264"/>
            <w:vAlign w:val="center"/>
          </w:tcPr>
          <w:p>
            <w:pPr>
              <w:spacing w:line="276" w:lineRule="auto"/>
            </w:pPr>
            <w:r>
              <w:rPr>
                <w:sz w:val="24"/>
              </w:rPr>
              <w:t>Queue long-running processing.</w:t>
            </w:r>
          </w:p>
        </w:tc>
      </w:tr>
      <w:tr>
        <w:tc>
          <w:tcPr>
            <w:tcW w:type="dxa" w:w="3264"/>
            <w:vAlign w:val="center"/>
            <w:shd w:fill="EAF0F6"/>
          </w:tcPr>
          <w:p>
            <w:pPr>
              <w:spacing w:line="276" w:lineRule="auto"/>
            </w:pPr>
            <w:r>
              <w:rPr>
                <w:sz w:val="24"/>
              </w:rPr>
              <w:t>Orchestration</w:t>
            </w:r>
          </w:p>
        </w:tc>
        <w:tc>
          <w:tcPr>
            <w:tcW w:type="dxa" w:w="3264"/>
            <w:vAlign w:val="center"/>
            <w:shd w:fill="EAF0F6"/>
          </w:tcPr>
          <w:p>
            <w:pPr>
              <w:spacing w:line="276" w:lineRule="auto"/>
            </w:pPr>
            <w:r>
              <w:rPr>
                <w:sz w:val="24"/>
              </w:rPr>
              <w:t>LangGraph</w:t>
            </w:r>
          </w:p>
        </w:tc>
        <w:tc>
          <w:tcPr>
            <w:tcW w:type="dxa" w:w="3264"/>
            <w:vAlign w:val="center"/>
            <w:shd w:fill="EAF0F6"/>
          </w:tcPr>
          <w:p>
            <w:pPr>
              <w:spacing w:line="276" w:lineRule="auto"/>
            </w:pPr>
            <w:r>
              <w:rPr>
                <w:sz w:val="24"/>
              </w:rPr>
              <w:t>Sequence extraction, compliance, audit, repair.</w:t>
            </w:r>
          </w:p>
        </w:tc>
      </w:tr>
      <w:tr>
        <w:tc>
          <w:tcPr>
            <w:tcW w:type="dxa" w:w="3264"/>
            <w:vAlign w:val="center"/>
          </w:tcPr>
          <w:p>
            <w:pPr>
              <w:spacing w:line="276" w:lineRule="auto"/>
            </w:pPr>
            <w:r>
              <w:rPr>
                <w:sz w:val="24"/>
              </w:rPr>
              <w:t>Relational data</w:t>
            </w:r>
          </w:p>
        </w:tc>
        <w:tc>
          <w:tcPr>
            <w:tcW w:type="dxa" w:w="3264"/>
            <w:vAlign w:val="center"/>
          </w:tcPr>
          <w:p>
            <w:pPr>
              <w:spacing w:line="276" w:lineRule="auto"/>
            </w:pPr>
            <w:r>
              <w:rPr>
                <w:sz w:val="24"/>
              </w:rPr>
              <w:t>PostgreSQL, SQLAlchemy</w:t>
            </w:r>
          </w:p>
        </w:tc>
        <w:tc>
          <w:tcPr>
            <w:tcW w:type="dxa" w:w="3264"/>
            <w:vAlign w:val="center"/>
          </w:tcPr>
          <w:p>
            <w:pPr>
              <w:spacing w:line="276" w:lineRule="auto"/>
            </w:pPr>
            <w:r>
              <w:rPr>
                <w:sz w:val="24"/>
              </w:rPr>
              <w:t>Persist documents and results.</w:t>
            </w:r>
          </w:p>
        </w:tc>
      </w:tr>
      <w:tr>
        <w:tc>
          <w:tcPr>
            <w:tcW w:type="dxa" w:w="3264"/>
            <w:vAlign w:val="center"/>
            <w:shd w:fill="EAF0F6"/>
          </w:tcPr>
          <w:p>
            <w:pPr>
              <w:spacing w:line="276" w:lineRule="auto"/>
            </w:pPr>
            <w:r>
              <w:rPr>
                <w:sz w:val="24"/>
              </w:rPr>
              <w:t>Vector search</w:t>
            </w:r>
          </w:p>
        </w:tc>
        <w:tc>
          <w:tcPr>
            <w:tcW w:type="dxa" w:w="3264"/>
            <w:vAlign w:val="center"/>
            <w:shd w:fill="EAF0F6"/>
          </w:tcPr>
          <w:p>
            <w:pPr>
              <w:spacing w:line="276" w:lineRule="auto"/>
            </w:pPr>
            <w:r>
              <w:rPr>
                <w:sz w:val="24"/>
              </w:rPr>
              <w:t>Qdrant, sentence-transformers</w:t>
            </w:r>
          </w:p>
        </w:tc>
        <w:tc>
          <w:tcPr>
            <w:tcW w:type="dxa" w:w="3264"/>
            <w:vAlign w:val="center"/>
            <w:shd w:fill="EAF0F6"/>
          </w:tcPr>
          <w:p>
            <w:pPr>
              <w:spacing w:line="276" w:lineRule="auto"/>
            </w:pPr>
            <w:r>
              <w:rPr>
                <w:sz w:val="24"/>
              </w:rPr>
              <w:t>Index and retrieve document text.</w:t>
            </w:r>
          </w:p>
        </w:tc>
      </w:tr>
      <w:tr>
        <w:tc>
          <w:tcPr>
            <w:tcW w:type="dxa" w:w="3264"/>
            <w:vAlign w:val="center"/>
          </w:tcPr>
          <w:p>
            <w:pPr>
              <w:spacing w:line="276" w:lineRule="auto"/>
            </w:pPr>
            <w:r>
              <w:rPr>
                <w:sz w:val="24"/>
              </w:rPr>
              <w:t>Models</w:t>
            </w:r>
          </w:p>
        </w:tc>
        <w:tc>
          <w:tcPr>
            <w:tcW w:type="dxa" w:w="3264"/>
            <w:vAlign w:val="center"/>
          </w:tcPr>
          <w:p>
            <w:pPr>
              <w:spacing w:line="276" w:lineRule="auto"/>
            </w:pPr>
            <w:r>
              <w:rPr>
                <w:sz w:val="24"/>
              </w:rPr>
              <w:t>Transformers, PyTorch</w:t>
            </w:r>
          </w:p>
        </w:tc>
        <w:tc>
          <w:tcPr>
            <w:tcW w:type="dxa" w:w="3264"/>
            <w:vAlign w:val="center"/>
          </w:tcPr>
          <w:p>
            <w:pPr>
              <w:spacing w:line="276" w:lineRule="auto"/>
            </w:pPr>
            <w:r>
              <w:rPr>
                <w:sz w:val="24"/>
              </w:rPr>
              <w:t>QA, NER, and NLI inference.</w:t>
            </w:r>
          </w:p>
        </w:tc>
      </w:tr>
      <w:tr>
        <w:tc>
          <w:tcPr>
            <w:tcW w:type="dxa" w:w="3264"/>
            <w:vAlign w:val="center"/>
            <w:shd w:fill="EAF0F6"/>
          </w:tcPr>
          <w:p>
            <w:pPr>
              <w:spacing w:line="276" w:lineRule="auto"/>
            </w:pPr>
            <w:r>
              <w:rPr>
                <w:sz w:val="24"/>
              </w:rPr>
              <w:t>Deployment</w:t>
            </w:r>
          </w:p>
        </w:tc>
        <w:tc>
          <w:tcPr>
            <w:tcW w:type="dxa" w:w="3264"/>
            <w:vAlign w:val="center"/>
            <w:shd w:fill="EAF0F6"/>
          </w:tcPr>
          <w:p>
            <w:pPr>
              <w:spacing w:line="276" w:lineRule="auto"/>
            </w:pPr>
            <w:r>
              <w:rPr>
                <w:sz w:val="24"/>
              </w:rPr>
              <w:t>Docker Compose</w:t>
            </w:r>
          </w:p>
        </w:tc>
        <w:tc>
          <w:tcPr>
            <w:tcW w:type="dxa" w:w="3264"/>
            <w:vAlign w:val="center"/>
            <w:shd w:fill="EAF0F6"/>
          </w:tcPr>
          <w:p>
            <w:pPr>
              <w:spacing w:line="276" w:lineRule="auto"/>
            </w:pPr>
            <w:r>
              <w:rPr>
                <w:sz w:val="24"/>
              </w:rPr>
              <w:t>Run services together.</w:t>
            </w:r>
          </w:p>
        </w:tc>
      </w:tr>
    </w:tbl>
    <w:p>
      <w:pPr>
        <w:pStyle w:val="Caption"/>
        <w:keepLines/>
        <w:jc w:val="center"/>
      </w:pPr>
      <w:r>
        <w:t>Table 3. System Components and Responsibilities</w:t>
      </w:r>
    </w:p>
    <w:p/>
    <w:p>
      <w:pPr>
        <w:pStyle w:val="Heading2"/>
        <w:keepNext/>
      </w:pPr>
      <w:r>
        <w:t>System Architecture Diagram</w:t>
      </w:r>
    </w:p>
    <w:p>
      <w:r>
        <w:t>Figure 1 summarizes the deployed services and runtime dependencies. The user interacts with the Streamlit frontend; FastAPI accepts requests and places background work on Redis; the Celery worker executes the LangGraph pipeline and calls model and storage services.</w:t>
      </w:r>
    </w:p>
    <w:p>
      <w:pPr>
        <w:keepNext/>
        <w:jc w:val="center"/>
      </w:pPr>
      <w:r>
        <w:drawing>
          <wp:inline xmlns:a="http://schemas.openxmlformats.org/drawingml/2006/main" xmlns:pic="http://schemas.openxmlformats.org/drawingml/2006/picture">
            <wp:extent cx="5897880" cy="2948940"/>
            <wp:docPr id="1" name="Picture 1" descr="System architecture showing the user, Streamlit, FastAPI, Redis, Celery worker with LangGraph, uploads volume, PostgreSQL, Qdrant, and Hugging Face model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97880" cy="2948940"/>
                    </a:xfrm>
                    <a:prstGeom prst="rect"/>
                  </pic:spPr>
                </pic:pic>
              </a:graphicData>
            </a:graphic>
          </wp:inline>
        </w:drawing>
      </w:r>
    </w:p>
    <w:p>
      <w:pPr>
        <w:pStyle w:val="Caption"/>
        <w:jc w:val="center"/>
      </w:pPr>
      <w:r>
        <w:t>Figure 1. DocuAudit system architecture.</w:t>
      </w:r>
    </w:p>
    <w:p>
      <w:pPr>
        <w:pStyle w:val="Heading2"/>
        <w:keepNext/>
      </w:pPr>
      <w:r>
        <w:t>Data Flow Diagram</w:t>
      </w:r>
    </w:p>
    <w:p>
      <w:r>
        <w:t>Figure 2 presents the Level 1 data flow. The same user initiates upload and later reviews results. The API persists the source file and queues work; the worker performs extraction and retrieval, then audit and compliance logic produce a result stored in PostgreSQL and returned through the API. Qdrant stores document vectors, while Redis carries the asynchronous task message.</w:t>
      </w:r>
    </w:p>
    <w:p>
      <w:pPr>
        <w:keepNext/>
        <w:jc w:val="center"/>
      </w:pPr>
      <w:r>
        <w:drawing>
          <wp:inline xmlns:a="http://schemas.openxmlformats.org/drawingml/2006/main" xmlns:pic="http://schemas.openxmlformats.org/drawingml/2006/picture">
            <wp:extent cx="5897880" cy="3395749"/>
            <wp:docPr id="2" name="Picture 2" descr="Level 1 data flow between user, API and upload, worker and extraction, audit and compliance, upload storage, Redis, Qdrant, and PostgreSQ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97880" cy="3395749"/>
                    </a:xfrm>
                    <a:prstGeom prst="rect"/>
                  </pic:spPr>
                </pic:pic>
              </a:graphicData>
            </a:graphic>
          </wp:inline>
        </w:drawing>
      </w:r>
    </w:p>
    <w:p>
      <w:pPr>
        <w:pStyle w:val="Caption"/>
        <w:jc w:val="center"/>
      </w:pPr>
      <w:r>
        <w:t>Figure 2. DocuAudit Level 1 data flow diagram.</w:t>
      </w:r>
    </w:p>
    <w:p>
      <w:pPr>
        <w:pStyle w:val="Heading2"/>
        <w:keepNext/>
      </w:pPr>
      <w:r>
        <w:t>4.2 Workflow</w:t>
      </w:r>
    </w:p>
    <w:p>
      <w:r>
        <w:t>PDF upload → create record and store file → Celery task → PyMuPDF text extraction → Qdrant indexing/retrieval → QA extraction → compliance scan → field audit → optional one-pass repair → rerun compliance and audit → complete or needs_review.</w:t>
      </w:r>
    </w:p>
    <w:p>
      <w:r>
        <w:t>Upload returns a document ID with pending status while a worker processes the file. The client polls for completion. Exceptions set failed status. The README notes that model downloads are substantial and cached in a Docker volume.</w:t>
      </w:r>
    </w:p>
    <w:p>
      <w:pPr>
        <w:keepNext/>
        <w:jc w:val="center"/>
      </w:pPr>
      <w:r>
        <w:drawing>
          <wp:inline xmlns:a="http://schemas.openxmlformats.org/drawingml/2006/main" xmlns:pic="http://schemas.openxmlformats.org/drawingml/2006/picture">
            <wp:extent cx="5897880" cy="2752344"/>
            <wp:docPr id="3" name="Picture 3" descr="Invoice processing workflow from PDF upload and asynchronous queue through ingestion, retrieval, extraction, compliance, audit, optional bounded repair, and final statu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97880" cy="2752344"/>
                    </a:xfrm>
                    <a:prstGeom prst="rect"/>
                  </pic:spPr>
                </pic:pic>
              </a:graphicData>
            </a:graphic>
          </wp:inline>
        </w:drawing>
      </w:r>
    </w:p>
    <w:p>
      <w:pPr>
        <w:pStyle w:val="Caption"/>
        <w:jc w:val="center"/>
      </w:pPr>
      <w:r>
        <w:t>Figure 3. Invoice processing workflow.</w:t>
      </w:r>
    </w:p>
    <w:p>
      <w:pPr>
        <w:pStyle w:val="Heading2"/>
        <w:keepNext/>
      </w:pPr>
      <w:r>
        <w:t>4.3 Data Model</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Entity</w:t>
            </w:r>
          </w:p>
        </w:tc>
        <w:tc>
          <w:tcPr>
            <w:tcW w:type="dxa" w:w="4896"/>
            <w:shd w:fill="17365D"/>
          </w:tcPr>
          <w:p>
            <w:r>
              <w:rPr>
                <w:b/>
                <w:color w:val="FFFFFF"/>
                <w:sz w:val="24"/>
              </w:rPr>
              <w:t>Purpose</w:t>
            </w:r>
          </w:p>
        </w:tc>
      </w:tr>
      <w:tr>
        <w:tc>
          <w:tcPr>
            <w:tcW w:type="dxa" w:w="4896"/>
            <w:vAlign w:val="center"/>
          </w:tcPr>
          <w:p>
            <w:pPr>
              <w:spacing w:line="276" w:lineRule="auto"/>
            </w:pPr>
            <w:r>
              <w:rPr>
                <w:sz w:val="24"/>
              </w:rPr>
              <w:t>Document</w:t>
            </w:r>
          </w:p>
        </w:tc>
        <w:tc>
          <w:tcPr>
            <w:tcW w:type="dxa" w:w="4896"/>
            <w:vAlign w:val="center"/>
          </w:tcPr>
          <w:p>
            <w:pPr>
              <w:spacing w:line="276" w:lineRule="auto"/>
            </w:pPr>
            <w:r>
              <w:rPr>
                <w:sz w:val="24"/>
              </w:rPr>
              <w:t>UUID, filename, path, status, upload time.</w:t>
            </w:r>
          </w:p>
        </w:tc>
      </w:tr>
      <w:tr>
        <w:tc>
          <w:tcPr>
            <w:tcW w:type="dxa" w:w="4896"/>
            <w:vAlign w:val="center"/>
            <w:shd w:fill="EAF0F6"/>
          </w:tcPr>
          <w:p>
            <w:pPr>
              <w:spacing w:line="276" w:lineRule="auto"/>
            </w:pPr>
            <w:r>
              <w:rPr>
                <w:sz w:val="24"/>
              </w:rPr>
              <w:t>ExtractionResult</w:t>
            </w:r>
          </w:p>
        </w:tc>
        <w:tc>
          <w:tcPr>
            <w:tcW w:type="dxa" w:w="4896"/>
            <w:vAlign w:val="center"/>
            <w:shd w:fill="EAF0F6"/>
          </w:tcPr>
          <w:p>
            <w:pPr>
              <w:spacing w:line="276" w:lineRule="auto"/>
            </w:pPr>
            <w:r>
              <w:rPr>
                <w:sz w:val="24"/>
              </w:rPr>
              <w:t>JSON invoice fields linked to document.</w:t>
            </w:r>
          </w:p>
        </w:tc>
      </w:tr>
      <w:tr>
        <w:tc>
          <w:tcPr>
            <w:tcW w:type="dxa" w:w="4896"/>
            <w:vAlign w:val="center"/>
          </w:tcPr>
          <w:p>
            <w:pPr>
              <w:spacing w:line="276" w:lineRule="auto"/>
            </w:pPr>
            <w:r>
              <w:rPr>
                <w:sz w:val="24"/>
              </w:rPr>
              <w:t>ComplianceFlag</w:t>
            </w:r>
          </w:p>
        </w:tc>
        <w:tc>
          <w:tcPr>
            <w:tcW w:type="dxa" w:w="4896"/>
            <w:vAlign w:val="center"/>
          </w:tcPr>
          <w:p>
            <w:pPr>
              <w:spacing w:line="276" w:lineRule="auto"/>
            </w:pPr>
            <w:r>
              <w:rPr>
                <w:sz w:val="24"/>
              </w:rPr>
              <w:t>Detected entities, flags, risk level.</w:t>
            </w:r>
          </w:p>
        </w:tc>
      </w:tr>
      <w:tr>
        <w:tc>
          <w:tcPr>
            <w:tcW w:type="dxa" w:w="4896"/>
            <w:vAlign w:val="center"/>
            <w:shd w:fill="EAF0F6"/>
          </w:tcPr>
          <w:p>
            <w:pPr>
              <w:spacing w:line="276" w:lineRule="auto"/>
            </w:pPr>
            <w:r>
              <w:rPr>
                <w:sz w:val="24"/>
              </w:rPr>
              <w:t>AuditLog</w:t>
            </w:r>
          </w:p>
        </w:tc>
        <w:tc>
          <w:tcPr>
            <w:tcW w:type="dxa" w:w="4896"/>
            <w:vAlign w:val="center"/>
            <w:shd w:fill="EAF0F6"/>
          </w:tcPr>
          <w:p>
            <w:pPr>
              <w:spacing w:line="276" w:lineRule="auto"/>
            </w:pPr>
            <w:r>
              <w:rPr>
                <w:sz w:val="24"/>
              </w:rPr>
              <w:t>Field decisions, faithfulness rate, model-version JSON.</w:t>
            </w:r>
          </w:p>
        </w:tc>
      </w:tr>
    </w:tbl>
    <w:p>
      <w:pPr>
        <w:pStyle w:val="Caption"/>
        <w:keepLines/>
        <w:jc w:val="center"/>
      </w:pPr>
      <w:r>
        <w:t>Table 4. Document Data Model</w:t>
      </w:r>
    </w:p>
    <w:p/>
    <w:p>
      <w:r>
        <w:t>The document endpoint returns a consolidated view of related records. PDF files use a shared volume so API and worker can access the same upload.</w:t>
      </w:r>
    </w:p>
    <w:p>
      <w:r>
        <w:t>The relational model uses a UUID string as the document key and one-to-one relationships for the extraction, compliance, and audit records. Flexible results are stored as JSON, which makes it easy to preserve per-field evidence and lists of flags without adding a column for each diagnostic. The trade-off is that JSON contents have less database-enforced structure: schema evolution, validation, and querying individual audit attributes require application-level discipline. The audit model includes a model_versions field, although the current worker writes an empty object, so reproducibility metadata is a clear implementation gap.</w:t>
      </w:r>
    </w:p>
    <w:p>
      <w:pPr>
        <w:keepNext/>
        <w:jc w:val="center"/>
      </w:pPr>
      <w:r>
        <w:drawing>
          <wp:inline xmlns:a="http://schemas.openxmlformats.org/drawingml/2006/main" xmlns:pic="http://schemas.openxmlformats.org/drawingml/2006/picture">
            <wp:extent cx="5897880" cy="2643877"/>
            <wp:docPr id="4" name="Picture 4" descr="Entity relationship diagram for documents and the one-to-one extraction result, compliance flag, and audit log tables, including key stored field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97880" cy="2643877"/>
                    </a:xfrm>
                    <a:prstGeom prst="rect"/>
                  </pic:spPr>
                </pic:pic>
              </a:graphicData>
            </a:graphic>
          </wp:inline>
        </w:drawing>
      </w:r>
    </w:p>
    <w:p>
      <w:pPr>
        <w:pStyle w:val="Caption"/>
        <w:jc w:val="center"/>
      </w:pPr>
      <w:r>
        <w:t>Figure 4. DocuAudit relational data model.</w:t>
      </w:r>
    </w:p>
    <w:p>
      <w:pPr>
        <w:pStyle w:val="Heading2"/>
        <w:keepNext/>
      </w:pPr>
      <w:r>
        <w:t>4.4 Document State Model</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State</w:t>
            </w:r>
          </w:p>
        </w:tc>
        <w:tc>
          <w:tcPr>
            <w:tcW w:type="dxa" w:w="3264"/>
            <w:shd w:fill="17365D"/>
          </w:tcPr>
          <w:p>
            <w:r>
              <w:rPr>
                <w:b/>
                <w:color w:val="FFFFFF"/>
                <w:sz w:val="24"/>
              </w:rPr>
              <w:t>Meaning</w:t>
            </w:r>
          </w:p>
        </w:tc>
        <w:tc>
          <w:tcPr>
            <w:tcW w:type="dxa" w:w="3264"/>
            <w:shd w:fill="17365D"/>
          </w:tcPr>
          <w:p>
            <w:r>
              <w:rPr>
                <w:b/>
                <w:color w:val="FFFFFF"/>
                <w:sz w:val="24"/>
              </w:rPr>
              <w:t>Transition</w:t>
            </w:r>
          </w:p>
        </w:tc>
      </w:tr>
      <w:tr>
        <w:tc>
          <w:tcPr>
            <w:tcW w:type="dxa" w:w="3264"/>
            <w:vAlign w:val="center"/>
          </w:tcPr>
          <w:p>
            <w:pPr>
              <w:spacing w:line="276" w:lineRule="auto"/>
            </w:pPr>
            <w:r>
              <w:rPr>
                <w:sz w:val="24"/>
              </w:rPr>
              <w:t>pending</w:t>
            </w:r>
          </w:p>
        </w:tc>
        <w:tc>
          <w:tcPr>
            <w:tcW w:type="dxa" w:w="3264"/>
            <w:vAlign w:val="center"/>
          </w:tcPr>
          <w:p>
            <w:pPr>
              <w:spacing w:line="276" w:lineRule="auto"/>
            </w:pPr>
            <w:r>
              <w:rPr>
                <w:sz w:val="24"/>
              </w:rPr>
              <w:t>Upload record exists and work is queued.</w:t>
            </w:r>
          </w:p>
        </w:tc>
        <w:tc>
          <w:tcPr>
            <w:tcW w:type="dxa" w:w="3264"/>
            <w:vAlign w:val="center"/>
          </w:tcPr>
          <w:p>
            <w:pPr>
              <w:spacing w:line="276" w:lineRule="auto"/>
            </w:pPr>
            <w:r>
              <w:rPr>
                <w:sz w:val="24"/>
              </w:rPr>
              <w:t>Initial API response.</w:t>
            </w:r>
          </w:p>
        </w:tc>
      </w:tr>
      <w:tr>
        <w:tc>
          <w:tcPr>
            <w:tcW w:type="dxa" w:w="3264"/>
            <w:vAlign w:val="center"/>
            <w:shd w:fill="EAF0F6"/>
          </w:tcPr>
          <w:p>
            <w:pPr>
              <w:spacing w:line="276" w:lineRule="auto"/>
            </w:pPr>
            <w:r>
              <w:rPr>
                <w:sz w:val="24"/>
              </w:rPr>
              <w:t>processing</w:t>
            </w:r>
          </w:p>
        </w:tc>
        <w:tc>
          <w:tcPr>
            <w:tcW w:type="dxa" w:w="3264"/>
            <w:vAlign w:val="center"/>
            <w:shd w:fill="EAF0F6"/>
          </w:tcPr>
          <w:p>
            <w:pPr>
              <w:spacing w:line="276" w:lineRule="auto"/>
            </w:pPr>
            <w:r>
              <w:rPr>
                <w:sz w:val="24"/>
              </w:rPr>
              <w:t>Worker has started document processing.</w:t>
            </w:r>
          </w:p>
        </w:tc>
        <w:tc>
          <w:tcPr>
            <w:tcW w:type="dxa" w:w="3264"/>
            <w:vAlign w:val="center"/>
            <w:shd w:fill="EAF0F6"/>
          </w:tcPr>
          <w:p>
            <w:pPr>
              <w:spacing w:line="276" w:lineRule="auto"/>
            </w:pPr>
            <w:r>
              <w:rPr>
                <w:sz w:val="24"/>
              </w:rPr>
              <w:t>Set by Celery task.</w:t>
            </w:r>
          </w:p>
        </w:tc>
      </w:tr>
      <w:tr>
        <w:tc>
          <w:tcPr>
            <w:tcW w:type="dxa" w:w="3264"/>
            <w:vAlign w:val="center"/>
          </w:tcPr>
          <w:p>
            <w:pPr>
              <w:spacing w:line="276" w:lineRule="auto"/>
            </w:pPr>
            <w:r>
              <w:rPr>
                <w:sz w:val="24"/>
              </w:rPr>
              <w:t>complete</w:t>
            </w:r>
          </w:p>
        </w:tc>
        <w:tc>
          <w:tcPr>
            <w:tcW w:type="dxa" w:w="3264"/>
            <w:vAlign w:val="center"/>
          </w:tcPr>
          <w:p>
            <w:pPr>
              <w:spacing w:line="276" w:lineRule="auto"/>
            </w:pPr>
            <w:r>
              <w:rPr>
                <w:sz w:val="24"/>
              </w:rPr>
              <w:t>All schema fields passed the final audit.</w:t>
            </w:r>
          </w:p>
        </w:tc>
        <w:tc>
          <w:tcPr>
            <w:tcW w:type="dxa" w:w="3264"/>
            <w:vAlign w:val="center"/>
          </w:tcPr>
          <w:p>
            <w:pPr>
              <w:spacing w:line="276" w:lineRule="auto"/>
            </w:pPr>
            <w:r>
              <w:rPr>
                <w:sz w:val="24"/>
              </w:rPr>
              <w:t>Final faithfulness rate equals 1.</w:t>
            </w:r>
          </w:p>
        </w:tc>
      </w:tr>
      <w:tr>
        <w:tc>
          <w:tcPr>
            <w:tcW w:type="dxa" w:w="3264"/>
            <w:vAlign w:val="center"/>
            <w:shd w:fill="EAF0F6"/>
          </w:tcPr>
          <w:p>
            <w:pPr>
              <w:spacing w:line="276" w:lineRule="auto"/>
            </w:pPr>
            <w:r>
              <w:rPr>
                <w:sz w:val="24"/>
              </w:rPr>
              <w:t>needs_review</w:t>
            </w:r>
          </w:p>
        </w:tc>
        <w:tc>
          <w:tcPr>
            <w:tcW w:type="dxa" w:w="3264"/>
            <w:vAlign w:val="center"/>
            <w:shd w:fill="EAF0F6"/>
          </w:tcPr>
          <w:p>
            <w:pPr>
              <w:spacing w:line="276" w:lineRule="auto"/>
            </w:pPr>
            <w:r>
              <w:rPr>
                <w:sz w:val="24"/>
              </w:rPr>
              <w:t>At least one field remains unsupported.</w:t>
            </w:r>
          </w:p>
        </w:tc>
        <w:tc>
          <w:tcPr>
            <w:tcW w:type="dxa" w:w="3264"/>
            <w:vAlign w:val="center"/>
            <w:shd w:fill="EAF0F6"/>
          </w:tcPr>
          <w:p>
            <w:pPr>
              <w:spacing w:line="276" w:lineRule="auto"/>
            </w:pPr>
            <w:r>
              <w:rPr>
                <w:sz w:val="24"/>
              </w:rPr>
              <w:t>Final faithfulness rate is below 1.</w:t>
            </w:r>
          </w:p>
        </w:tc>
      </w:tr>
      <w:tr>
        <w:tc>
          <w:tcPr>
            <w:tcW w:type="dxa" w:w="3264"/>
            <w:vAlign w:val="center"/>
          </w:tcPr>
          <w:p>
            <w:pPr>
              <w:spacing w:line="276" w:lineRule="auto"/>
            </w:pPr>
            <w:r>
              <w:rPr>
                <w:sz w:val="24"/>
              </w:rPr>
              <w:t>failed</w:t>
            </w:r>
          </w:p>
        </w:tc>
        <w:tc>
          <w:tcPr>
            <w:tcW w:type="dxa" w:w="3264"/>
            <w:vAlign w:val="center"/>
          </w:tcPr>
          <w:p>
            <w:pPr>
              <w:spacing w:line="276" w:lineRule="auto"/>
            </w:pPr>
            <w:r>
              <w:rPr>
                <w:sz w:val="24"/>
              </w:rPr>
              <w:t>An exception interrupted processing.</w:t>
            </w:r>
          </w:p>
        </w:tc>
        <w:tc>
          <w:tcPr>
            <w:tcW w:type="dxa" w:w="3264"/>
            <w:vAlign w:val="center"/>
          </w:tcPr>
          <w:p>
            <w:pPr>
              <w:spacing w:line="276" w:lineRule="auto"/>
            </w:pPr>
            <w:r>
              <w:rPr>
                <w:sz w:val="24"/>
              </w:rPr>
              <w:t>Worker catches pipeline exception.</w:t>
            </w:r>
          </w:p>
        </w:tc>
      </w:tr>
    </w:tbl>
    <w:p>
      <w:pPr>
        <w:pStyle w:val="Caption"/>
        <w:keepLines/>
        <w:jc w:val="center"/>
      </w:pPr>
      <w:r>
        <w:t>Table 5. Document Processing States</w:t>
      </w:r>
    </w:p>
    <w:p/>
    <w:p>
      <w:r>
        <w:t>This state model distinguishes successful processing from successful verification. A document can finish the pipeline and still require review. The API’s status field is therefore a workflow result, while the audit object contains per-field support decisions.</w:t>
      </w:r>
    </w:p>
    <w:p>
      <w:pPr>
        <w:pStyle w:val="Heading2"/>
        <w:keepNext/>
      </w:pPr>
      <w:r>
        <w:t>4.5 Design Decisions and Trade-offs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Decision</w:t>
            </w:r>
          </w:p>
        </w:tc>
        <w:tc>
          <w:tcPr>
            <w:tcW w:type="dxa" w:w="3264"/>
            <w:shd w:fill="17365D"/>
          </w:tcPr>
          <w:p>
            <w:r>
              <w:rPr>
                <w:b/>
                <w:color w:val="FFFFFF"/>
                <w:sz w:val="24"/>
              </w:rPr>
              <w:t>Reason</w:t>
            </w:r>
          </w:p>
        </w:tc>
        <w:tc>
          <w:tcPr>
            <w:tcW w:type="dxa" w:w="3264"/>
            <w:shd w:fill="17365D"/>
          </w:tcPr>
          <w:p>
            <w:r>
              <w:rPr>
                <w:b/>
                <w:color w:val="FFFFFF"/>
                <w:sz w:val="24"/>
              </w:rPr>
              <w:t>Trade-off</w:t>
            </w:r>
          </w:p>
        </w:tc>
      </w:tr>
      <w:tr>
        <w:tc>
          <w:tcPr>
            <w:tcW w:type="dxa" w:w="3264"/>
            <w:vAlign w:val="center"/>
          </w:tcPr>
          <w:p>
            <w:pPr>
              <w:spacing w:line="276" w:lineRule="auto"/>
            </w:pPr>
            <w:r>
              <w:rPr>
                <w:sz w:val="24"/>
              </w:rPr>
              <w:t>Fixed invoice schema</w:t>
            </w:r>
          </w:p>
        </w:tc>
        <w:tc>
          <w:tcPr>
            <w:tcW w:type="dxa" w:w="3264"/>
            <w:vAlign w:val="center"/>
          </w:tcPr>
          <w:p>
            <w:pPr>
              <w:spacing w:line="276" w:lineRule="auto"/>
            </w:pPr>
            <w:r>
              <w:rPr>
                <w:sz w:val="24"/>
              </w:rPr>
              <w:t>Invoice structure is constrained and measurable.</w:t>
            </w:r>
          </w:p>
        </w:tc>
        <w:tc>
          <w:tcPr>
            <w:tcW w:type="dxa" w:w="3264"/>
            <w:vAlign w:val="center"/>
          </w:tcPr>
          <w:p>
            <w:pPr>
              <w:spacing w:line="276" w:lineRule="auto"/>
            </w:pPr>
            <w:r>
              <w:rPr>
                <w:sz w:val="24"/>
              </w:rPr>
              <w:t>Does not generalize automatically to other document types.</w:t>
            </w:r>
          </w:p>
        </w:tc>
      </w:tr>
      <w:tr>
        <w:tc>
          <w:tcPr>
            <w:tcW w:type="dxa" w:w="3264"/>
            <w:vAlign w:val="center"/>
            <w:shd w:fill="EAF0F6"/>
          </w:tcPr>
          <w:p>
            <w:pPr>
              <w:spacing w:line="276" w:lineRule="auto"/>
            </w:pPr>
            <w:r>
              <w:rPr>
                <w:sz w:val="24"/>
              </w:rPr>
              <w:t>Rules before optional NLI</w:t>
            </w:r>
          </w:p>
        </w:tc>
        <w:tc>
          <w:tcPr>
            <w:tcW w:type="dxa" w:w="3264"/>
            <w:vAlign w:val="center"/>
            <w:shd w:fill="EAF0F6"/>
          </w:tcPr>
          <w:p>
            <w:pPr>
              <w:spacing w:line="276" w:lineRule="auto"/>
            </w:pPr>
            <w:r>
              <w:rPr>
                <w:sz w:val="24"/>
              </w:rPr>
              <w:t>Rules are explicit, fast, and testable.</w:t>
            </w:r>
          </w:p>
        </w:tc>
        <w:tc>
          <w:tcPr>
            <w:tcW w:type="dxa" w:w="3264"/>
            <w:vAlign w:val="center"/>
            <w:shd w:fill="EAF0F6"/>
          </w:tcPr>
          <w:p>
            <w:pPr>
              <w:spacing w:line="276" w:lineRule="auto"/>
            </w:pPr>
            <w:r>
              <w:rPr>
                <w:sz w:val="24"/>
              </w:rPr>
              <w:t>Rules can miss label variants or semantic edge cases.</w:t>
            </w:r>
          </w:p>
        </w:tc>
      </w:tr>
      <w:tr>
        <w:tc>
          <w:tcPr>
            <w:tcW w:type="dxa" w:w="3264"/>
            <w:vAlign w:val="center"/>
          </w:tcPr>
          <w:p>
            <w:pPr>
              <w:spacing w:line="276" w:lineRule="auto"/>
            </w:pPr>
            <w:r>
              <w:rPr>
                <w:sz w:val="24"/>
              </w:rPr>
              <w:t>One repair round</w:t>
            </w:r>
          </w:p>
        </w:tc>
        <w:tc>
          <w:tcPr>
            <w:tcW w:type="dxa" w:w="3264"/>
            <w:vAlign w:val="center"/>
          </w:tcPr>
          <w:p>
            <w:pPr>
              <w:spacing w:line="276" w:lineRule="auto"/>
            </w:pPr>
            <w:r>
              <w:rPr>
                <w:sz w:val="24"/>
              </w:rPr>
              <w:t>Candidate generation already explores multiple sources and question forms.</w:t>
            </w:r>
          </w:p>
        </w:tc>
        <w:tc>
          <w:tcPr>
            <w:tcW w:type="dxa" w:w="3264"/>
            <w:vAlign w:val="center"/>
          </w:tcPr>
          <w:p>
            <w:pPr>
              <w:spacing w:line="276" w:lineRule="auto"/>
            </w:pPr>
            <w:r>
              <w:rPr>
                <w:sz w:val="24"/>
              </w:rPr>
              <w:t>Bounded latency, but no iterative layout reasoning.</w:t>
            </w:r>
          </w:p>
        </w:tc>
      </w:tr>
      <w:tr>
        <w:tc>
          <w:tcPr>
            <w:tcW w:type="dxa" w:w="3264"/>
            <w:vAlign w:val="center"/>
            <w:shd w:fill="EAF0F6"/>
          </w:tcPr>
          <w:p>
            <w:pPr>
              <w:spacing w:line="276" w:lineRule="auto"/>
            </w:pPr>
            <w:r>
              <w:rPr>
                <w:sz w:val="24"/>
              </w:rPr>
              <w:t>Async worker</w:t>
            </w:r>
          </w:p>
        </w:tc>
        <w:tc>
          <w:tcPr>
            <w:tcW w:type="dxa" w:w="3264"/>
            <w:vAlign w:val="center"/>
            <w:shd w:fill="EAF0F6"/>
          </w:tcPr>
          <w:p>
            <w:pPr>
              <w:spacing w:line="276" w:lineRule="auto"/>
            </w:pPr>
            <w:r>
              <w:rPr>
                <w:sz w:val="24"/>
              </w:rPr>
              <w:t>Inference is too long for a simple synchronous upload response.</w:t>
            </w:r>
          </w:p>
        </w:tc>
        <w:tc>
          <w:tcPr>
            <w:tcW w:type="dxa" w:w="3264"/>
            <w:vAlign w:val="center"/>
            <w:shd w:fill="EAF0F6"/>
          </w:tcPr>
          <w:p>
            <w:pPr>
              <w:spacing w:line="276" w:lineRule="auto"/>
            </w:pPr>
            <w:r>
              <w:rPr>
                <w:sz w:val="24"/>
              </w:rPr>
              <w:t>Requires broker, worker, shared file volume, and polling.</w:t>
            </w:r>
          </w:p>
        </w:tc>
      </w:tr>
      <w:tr>
        <w:tc>
          <w:tcPr>
            <w:tcW w:type="dxa" w:w="3264"/>
            <w:vAlign w:val="center"/>
          </w:tcPr>
          <w:p>
            <w:pPr>
              <w:spacing w:line="276" w:lineRule="auto"/>
            </w:pPr>
            <w:r>
              <w:rPr>
                <w:sz w:val="24"/>
              </w:rPr>
              <w:t>Conservative review routing</w:t>
            </w:r>
          </w:p>
        </w:tc>
        <w:tc>
          <w:tcPr>
            <w:tcW w:type="dxa" w:w="3264"/>
            <w:vAlign w:val="center"/>
          </w:tcPr>
          <w:p>
            <w:pPr>
              <w:spacing w:line="276" w:lineRule="auto"/>
            </w:pPr>
            <w:r>
              <w:rPr>
                <w:sz w:val="24"/>
              </w:rPr>
              <w:t>Unsupported values should not be silently accepted.</w:t>
            </w:r>
          </w:p>
        </w:tc>
        <w:tc>
          <w:tcPr>
            <w:tcW w:type="dxa" w:w="3264"/>
            <w:vAlign w:val="center"/>
          </w:tcPr>
          <w:p>
            <w:pPr>
              <w:spacing w:line="276" w:lineRule="auto"/>
            </w:pPr>
            <w:r>
              <w:rPr>
                <w:sz w:val="24"/>
              </w:rPr>
              <w:t>False rejections raise manual workload.</w:t>
            </w:r>
          </w:p>
        </w:tc>
      </w:tr>
      <w:tr>
        <w:tc>
          <w:tcPr>
            <w:tcW w:type="dxa" w:w="3264"/>
            <w:vAlign w:val="center"/>
            <w:shd w:fill="EAF0F6"/>
          </w:tcPr>
          <w:p>
            <w:pPr>
              <w:spacing w:line="276" w:lineRule="auto"/>
            </w:pPr>
            <w:r>
              <w:rPr>
                <w:sz w:val="24"/>
              </w:rPr>
              <w:t>PostgreSQL plus Qdrant</w:t>
            </w:r>
          </w:p>
        </w:tc>
        <w:tc>
          <w:tcPr>
            <w:tcW w:type="dxa" w:w="3264"/>
            <w:vAlign w:val="center"/>
            <w:shd w:fill="EAF0F6"/>
          </w:tcPr>
          <w:p>
            <w:pPr>
              <w:spacing w:line="276" w:lineRule="auto"/>
            </w:pPr>
            <w:r>
              <w:rPr>
                <w:sz w:val="24"/>
              </w:rPr>
              <w:t>Relational workflow state and vector retrieval have distinct uses.</w:t>
            </w:r>
          </w:p>
        </w:tc>
        <w:tc>
          <w:tcPr>
            <w:tcW w:type="dxa" w:w="3264"/>
            <w:vAlign w:val="center"/>
            <w:shd w:fill="EAF0F6"/>
          </w:tcPr>
          <w:p>
            <w:pPr>
              <w:spacing w:line="276" w:lineRule="auto"/>
            </w:pPr>
            <w:r>
              <w:rPr>
                <w:sz w:val="24"/>
              </w:rPr>
              <w:t>Additional services increase setup and operational complexity.</w:t>
            </w:r>
          </w:p>
        </w:tc>
      </w:tr>
    </w:tbl>
    <w:p>
      <w:pPr>
        <w:pStyle w:val="Caption"/>
        <w:keepLines/>
        <w:jc w:val="center"/>
      </w:pPr>
      <w:r>
        <w:t>Table 6. Architecture Decisions and Trade-offs</w:t>
      </w:r>
    </w:p>
    <w:p/>
    <w:p>
      <w:r>
        <w:t>The service boundary also separates transient work from durable results. Redis carries Celery task messages, while PostgreSQL stores the user-facing document status and output records; Qdrant stores text vectors keyed by document ID. The worker and API share an uploads volume so the task can reopen the original PDF by path. In the Compose deployment, this arrangement is convenient for a single-host prototype, but production deployment across hosts would need object storage or another shared file service, authenticated service-to-service access, and retry/idempotency policies.</w:t>
      </w:r>
    </w:p>
    <w:p>
      <w:r>
        <w:br w:type="page"/>
      </w:r>
    </w:p>
    <w:p>
      <w:pPr>
        <w:pStyle w:val="Heading1"/>
        <w:keepNext/>
      </w:pPr>
      <w:r>
        <w:t>5. Implementation</w:t>
      </w:r>
    </w:p>
    <w:p>
      <w:pPr>
        <w:pStyle w:val="Heading2"/>
        <w:keepNext/>
      </w:pPr>
      <w:r>
        <w:t>5.1 Ingestion and Retrieval</w:t>
      </w:r>
    </w:p>
    <w:p>
      <w:r>
        <w:t>PyMuPDF extracts text page by page. The worker joins page text, indexes it in Qdrant, then invokes the workflow. Qdrant uses 384-dimensional cosine vectors and filters points by document ID. The current worker indexes one full-text chunk; top-k retrieval therefore usually returns that whole document.</w:t>
      </w:r>
    </w:p>
    <w:p>
      <w:r>
        <w:t>The ingestion layer represents each extracted page with a zero-based page index and its text, then joins page text with newline separators for downstream processing. The stored vectors use deterministic UUID5 point identifiers derived from the document ID and chunk index, so re-indexing the same document/chunk produces a stable point ID. Despite retaining page objects briefly during ingestion, the final evidence and API response do not preserve page coordinates or page-number references. The vector collection therefore supports document-scoped lookup, but it is not yet a complete source-location system.</w:t>
      </w:r>
    </w:p>
    <w:p>
      <w:pPr>
        <w:pStyle w:val="Heading2"/>
        <w:keepNext/>
      </w:pPr>
      <w:r>
        <w:t>5.2 Extraction</w:t>
      </w:r>
    </w:p>
    <w:p>
      <w:r>
        <w:t>The extraction module loads deepset/roberta-base-squad2 and defines two question phrasings for each field. Initial extraction uses the first phrasing; alternates are reserved for repair. It selects a high-scoring answer span, keeps one line, and may extend a truncated answer to the line end. A field-level exception becomes an empty value for the auditor to reject.</w:t>
      </w:r>
    </w:p>
    <w:p>
      <w:r>
        <w:t>The seven-field schema is invoice_number, invoice_date, vendor_name, due_date, subtotal, tax, and total. These fields are represented by an ordered set of fixed question templates rather than being discovered dynamically. The model is loaded lazily on first use and reused in the process, avoiding a fresh model load for every field. Exceptions are intentionally converted to empty strings so a single failed field does not prevent the remaining invoice fields from being evaluated; the empty value then receives an explicit unsupported reason from the auditor.</w:t>
      </w:r>
    </w:p>
    <w:p>
      <w:pPr>
        <w:pStyle w:val="Heading2"/>
        <w:keepNext/>
      </w:pPr>
      <w:r>
        <w:t>5.3 Audit and Repair</w:t>
      </w:r>
    </w:p>
    <w:p>
      <w:r>
        <w:t>Field rules validate dates, amounts, invoice-number digits, and vendor values; collect evidence lines; and require compatible labels while rejecting known conflicting labels. If a value is alone on a line, the previous line is attached as evidence. DOCUAUDIT_NLI_MODE selects veto (default), strict, or off. Veto rejects a clear contradiction; strict requires entailment above the threshold; off uses deterministic rules only.</w:t>
      </w:r>
    </w:p>
    <w:p>
      <w:r>
        <w:t>The order of these checks matters. Type validation runs first, then the candidate must occur in the extracted text, and then at least one evidence line must satisfy the field-specific label rule without a conflicting label. This avoids spending NLI inference on values that are empty, malformed, absent from the source, or attached to an incompatible label. In the default veto policy, a neutral NLI result does not reject a candidate once the deterministic checks pass; strict mode instead requires entailment with a score of at least 0.6. These policies express different operating points between automatic coverage and conservative review.</w:t>
      </w:r>
    </w:p>
    <w:p>
      <w:r>
        <w:t>During repair, the system first proposes layout-based candidates from text after a matching label or from the next line, then asks alternate questions against focused label lines and the full invoice. Duplicate candidates and the original failed answer are excluded. Candidates are tested in order, and the first one accepted by the audit replaces the field. Repair is bounded to one graph round, after which compliance and the full audit run again so final status is based on the repaired values rather than the pre-repair result.</w:t>
      </w:r>
    </w:p>
    <w:p>
      <w:r>
        <w:t>If a field is unsupported, one repair round searches after-label text, the following line for two-column layouts, focused lines, and alternative questions. A replacement is retained only when it passes audit. Compliance and audit then run again before final routing.</w:t>
      </w:r>
    </w:p>
    <w:p>
      <w:pPr>
        <w:pStyle w:val="Heading2"/>
        <w:keepNext/>
      </w:pPr>
      <w:r>
        <w:t>5.4 Compliance</w:t>
      </w:r>
    </w:p>
    <w:p>
      <w:r>
        <w:t>The dslim bert-base-NER model identifies person and location entities [4]. The system checks duplicate invoice numbers for the same normalized vendor, whether subtotal plus tax approximately equals total (tolerance 0.5), and whether total exceeds 10,000. Any flag sets high risk; otherwise risk is low. Duplicate detection currently scans prior extraction rows in Python, which is suitable only at modest scale.</w:t>
      </w:r>
    </w:p>
    <w:p>
      <w:r>
        <w:t>The compliance output contains a list of PII-like entities, a list of rule flags, and a risk-level string. Person and location entities are returned as detections; they are not removed from the uploaded PDF or masked in the extracted data. Arithmetic parsing removes commas and dollar signs and converts the three amount fields to floating-point values. The fixed threshold and basic parser are prototype rules, not a jurisdiction-specific financial policy. If amount conversion fails, the pipeline emits an amount_fields_unparseable flag rather than silently treating the check as passed.</w:t>
      </w:r>
    </w:p>
    <w:p>
      <w:pPr>
        <w:pStyle w:val="Heading2"/>
        <w:keepNext/>
      </w:pPr>
      <w:r>
        <w:t>5.5 API and Interface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Route</w:t>
            </w:r>
          </w:p>
        </w:tc>
        <w:tc>
          <w:tcPr>
            <w:tcW w:type="dxa" w:w="4896"/>
            <w:shd w:fill="17365D"/>
          </w:tcPr>
          <w:p>
            <w:r>
              <w:rPr>
                <w:b/>
                <w:color w:val="FFFFFF"/>
                <w:sz w:val="24"/>
              </w:rPr>
              <w:t>Purpose</w:t>
            </w:r>
          </w:p>
        </w:tc>
      </w:tr>
      <w:tr>
        <w:tc>
          <w:tcPr>
            <w:tcW w:type="dxa" w:w="4896"/>
            <w:vAlign w:val="center"/>
          </w:tcPr>
          <w:p>
            <w:pPr>
              <w:spacing w:line="276" w:lineRule="auto"/>
            </w:pPr>
            <w:r>
              <w:rPr>
                <w:sz w:val="24"/>
              </w:rPr>
              <w:t>POST /documents</w:t>
            </w:r>
          </w:p>
        </w:tc>
        <w:tc>
          <w:tcPr>
            <w:tcW w:type="dxa" w:w="4896"/>
            <w:vAlign w:val="center"/>
          </w:tcPr>
          <w:p>
            <w:pPr>
              <w:spacing w:line="276" w:lineRule="auto"/>
            </w:pPr>
            <w:r>
              <w:rPr>
                <w:sz w:val="24"/>
              </w:rPr>
              <w:t>Save PDF, create pending record, enqueue work, return ID.</w:t>
            </w:r>
          </w:p>
        </w:tc>
      </w:tr>
      <w:tr>
        <w:tc>
          <w:tcPr>
            <w:tcW w:type="dxa" w:w="4896"/>
            <w:vAlign w:val="center"/>
            <w:shd w:fill="EAF0F6"/>
          </w:tcPr>
          <w:p>
            <w:pPr>
              <w:spacing w:line="276" w:lineRule="auto"/>
            </w:pPr>
            <w:r>
              <w:rPr>
                <w:sz w:val="24"/>
              </w:rPr>
              <w:t>GET /documents/{doc_id}</w:t>
            </w:r>
          </w:p>
        </w:tc>
        <w:tc>
          <w:tcPr>
            <w:tcW w:type="dxa" w:w="4896"/>
            <w:vAlign w:val="center"/>
            <w:shd w:fill="EAF0F6"/>
          </w:tcPr>
          <w:p>
            <w:pPr>
              <w:spacing w:line="276" w:lineRule="auto"/>
            </w:pPr>
            <w:r>
              <w:rPr>
                <w:sz w:val="24"/>
              </w:rPr>
              <w:t>Return status, fields, compliance, and audit.</w:t>
            </w:r>
          </w:p>
        </w:tc>
      </w:tr>
      <w:tr>
        <w:tc>
          <w:tcPr>
            <w:tcW w:type="dxa" w:w="4896"/>
            <w:vAlign w:val="center"/>
          </w:tcPr>
          <w:p>
            <w:pPr>
              <w:spacing w:line="276" w:lineRule="auto"/>
            </w:pPr>
            <w:r>
              <w:rPr>
                <w:sz w:val="24"/>
              </w:rPr>
              <w:t>GET /documents</w:t>
            </w:r>
          </w:p>
        </w:tc>
        <w:tc>
          <w:tcPr>
            <w:tcW w:type="dxa" w:w="4896"/>
            <w:vAlign w:val="center"/>
          </w:tcPr>
          <w:p>
            <w:pPr>
              <w:spacing w:line="276" w:lineRule="auto"/>
            </w:pPr>
            <w:r>
              <w:rPr>
                <w:sz w:val="24"/>
              </w:rPr>
              <w:t>List IDs, filenames, and statuses.</w:t>
            </w:r>
          </w:p>
        </w:tc>
      </w:tr>
      <w:tr>
        <w:tc>
          <w:tcPr>
            <w:tcW w:type="dxa" w:w="4896"/>
            <w:vAlign w:val="center"/>
            <w:shd w:fill="EAF0F6"/>
          </w:tcPr>
          <w:p>
            <w:pPr>
              <w:spacing w:line="276" w:lineRule="auto"/>
            </w:pPr>
            <w:r>
              <w:rPr>
                <w:sz w:val="24"/>
              </w:rPr>
              <w:t>GET /health</w:t>
            </w:r>
          </w:p>
        </w:tc>
        <w:tc>
          <w:tcPr>
            <w:tcW w:type="dxa" w:w="4896"/>
            <w:vAlign w:val="center"/>
            <w:shd w:fill="EAF0F6"/>
          </w:tcPr>
          <w:p>
            <w:pPr>
              <w:spacing w:line="276" w:lineRule="auto"/>
            </w:pPr>
            <w:r>
              <w:rPr>
                <w:sz w:val="24"/>
              </w:rPr>
              <w:t>Liveness check.</w:t>
            </w:r>
          </w:p>
        </w:tc>
      </w:tr>
    </w:tbl>
    <w:p>
      <w:pPr>
        <w:pStyle w:val="Caption"/>
        <w:keepLines/>
        <w:jc w:val="center"/>
      </w:pPr>
      <w:r>
        <w:t>Table 7. API Routes and Functions</w:t>
      </w:r>
    </w:p>
    <w:p/>
    <w:p>
      <w:r>
        <w:t>Streamlit uploads PDFs, polls every two seconds for up to about three minutes, displays fields and JSON diagnostics, and lists documents needing review. It does not provide field correction or approval.</w:t>
      </w:r>
    </w:p>
    <w:p>
      <w:r>
        <w:t>The interface illustrates both a document that completes all checks and one that remains uncertain. Figure 5 shows extracted invoice data in the complete state; Figure 6 shows the needs_review banner for an unsupported due date. These images document the current UI and are not an independent evaluation result.</w:t>
      </w:r>
    </w:p>
    <w:p>
      <w:pPr>
        <w:keepNext/>
        <w:jc w:val="center"/>
      </w:pPr>
      <w:r>
        <w:drawing>
          <wp:inline xmlns:a="http://schemas.openxmlformats.org/drawingml/2006/main" xmlns:pic="http://schemas.openxmlformats.org/drawingml/2006/picture">
            <wp:extent cx="4754880" cy="2424638"/>
            <wp:docPr id="5" name="Picture 5" descr="DocuAudit Streamlit interface showing an invoice with complete status and extracted fields."/>
            <wp:cNvGraphicFramePr>
              <a:graphicFrameLocks noChangeAspect="1"/>
            </wp:cNvGraphicFramePr>
            <a:graphic>
              <a:graphicData uri="http://schemas.openxmlformats.org/drawingml/2006/picture">
                <pic:pic>
                  <pic:nvPicPr>
                    <pic:cNvPr id="0" name="ui-verified.jpeg"/>
                    <pic:cNvPicPr/>
                  </pic:nvPicPr>
                  <pic:blipFill>
                    <a:blip r:embed="rId16"/>
                    <a:stretch>
                      <a:fillRect/>
                    </a:stretch>
                  </pic:blipFill>
                  <pic:spPr>
                    <a:xfrm>
                      <a:off x="0" y="0"/>
                      <a:ext cx="4754880" cy="2424638"/>
                    </a:xfrm>
                    <a:prstGeom prst="rect"/>
                  </pic:spPr>
                </pic:pic>
              </a:graphicData>
            </a:graphic>
          </wp:inline>
        </w:drawing>
      </w:r>
    </w:p>
    <w:p>
      <w:pPr>
        <w:pStyle w:val="Caption"/>
        <w:jc w:val="center"/>
      </w:pPr>
      <w:r>
        <w:t>Figure 5. Example completed invoice in the user interface.</w:t>
      </w:r>
    </w:p>
    <w:p>
      <w:pPr>
        <w:keepNext/>
        <w:jc w:val="center"/>
      </w:pPr>
      <w:r>
        <w:drawing>
          <wp:inline xmlns:a="http://schemas.openxmlformats.org/drawingml/2006/main" xmlns:pic="http://schemas.openxmlformats.org/drawingml/2006/picture">
            <wp:extent cx="4754880" cy="2424638"/>
            <wp:docPr id="6" name="Picture 6" descr="DocuAudit Streamlit interface showing a needs_review warning for the due date."/>
            <wp:cNvGraphicFramePr>
              <a:graphicFrameLocks noChangeAspect="1"/>
            </wp:cNvGraphicFramePr>
            <a:graphic>
              <a:graphicData uri="http://schemas.openxmlformats.org/drawingml/2006/picture">
                <pic:pic>
                  <pic:nvPicPr>
                    <pic:cNvPr id="0" name="ui-needs-review.jpeg"/>
                    <pic:cNvPicPr/>
                  </pic:nvPicPr>
                  <pic:blipFill>
                    <a:blip r:embed="rId17"/>
                    <a:stretch>
                      <a:fillRect/>
                    </a:stretch>
                  </pic:blipFill>
                  <pic:spPr>
                    <a:xfrm>
                      <a:off x="0" y="0"/>
                      <a:ext cx="4754880" cy="2424638"/>
                    </a:xfrm>
                    <a:prstGeom prst="rect"/>
                  </pic:spPr>
                </pic:pic>
              </a:graphicData>
            </a:graphic>
          </wp:inline>
        </w:drawing>
      </w:r>
    </w:p>
    <w:p>
      <w:pPr>
        <w:pStyle w:val="Caption"/>
        <w:jc w:val="center"/>
      </w:pPr>
      <w:r>
        <w:t>Figure 6. Example invoice routed to needs_review.</w:t>
      </w:r>
    </w:p>
    <w:p>
      <w:pPr>
        <w:pStyle w:val="Heading2"/>
        <w:keepNext/>
      </w:pPr>
      <w:r>
        <w:t>5.6 Configuration, Persistence, and Failure Handling</w:t>
      </w:r>
    </w:p>
    <w:p>
      <w:r>
        <w:t>Runtime configuration is read through Pydantic settings. The service needs a database URL and Redis URL; Qdrant host and port and upload directory have defaults. Docker Compose overrides the service addresses for container networking and mounts shared upload and Hugging Face cache volumes. SQLAlchemy creates the schema at application startup in the current codebase.</w:t>
      </w:r>
    </w:p>
    <w:p>
      <w:r>
        <w:t>The API creates a document record before saving and queuing the PDF. The worker changes the status to processing, executes ingestion and graph inference, stores extraction/compliance/audit rows, then sets complete or needs_review. An exception sets failed and is printed to worker logs. The API currently returns a JSON error for an unknown document ID rather than an explicit HTTP 404, and upload validation is primarily based on the UI file chooser; these are implementation hardening opportunities.</w:t>
      </w:r>
    </w:p>
    <w:p>
      <w:r>
        <w:t>The pipeline catches duplicate-lookup exceptions and continues without duplicate information, emitting a warning. This favors availability over complete duplicate checking and means operators should monitor logs if duplicate detection is a required control.</w:t>
      </w:r>
    </w:p>
    <w:p>
      <w:r>
        <w:t>Configuration is loaded from the backend-specific environment file, with required database and Redis URLs and defaults for Qdrant host/port and the upload directory. The upload endpoint currently reads the entire uploaded file into memory and writes it to an ID-prefixed path before enqueueing the task. The shown route does not itself enforce a PDF MIME type, size limit, authentication, or malware scan; these controls should be added before exposing the prototype to untrusted uploads. Worker exceptions set the document status to failed and are logged, but the current task does not expose a structured failure reason in the document detail response.</w:t>
      </w:r>
    </w:p>
    <w:p>
      <w:r>
        <w:br w:type="page"/>
      </w:r>
    </w:p>
    <w:p>
      <w:pPr>
        <w:pStyle w:val="Heading1"/>
        <w:keepNext/>
      </w:pPr>
      <w:r>
        <w:t>6. Processing and Verification Method</w:t>
      </w:r>
    </w:p>
    <w:p>
      <w:pPr>
        <w:pStyle w:val="Heading2"/>
        <w:keepNext/>
      </w:pPr>
      <w:r>
        <w:t>6.1 Schema and Decision</w:t>
      </w:r>
    </w:p>
    <w:p>
      <w:r>
        <w:t>The schema consists of invoice_number, invoice_date, vendor_name, due_date, subtotal, tax, and total. A field is supported only if its type is plausible, the value occurs in source text, the evidence has a compatible label and no conflicting label, and the optional NLI policy accepts it. The document is sent for review if any of the seven fields remains unsupported.</w:t>
      </w:r>
    </w:p>
    <w:p>
      <w:pPr>
        <w:pStyle w:val="ListNumber"/>
      </w:pPr>
      <w:r>
        <w:t>Type check: dates match supported patterns; amount fields look numeric; invoice number contains a digit; vendor value is not only a label.</w:t>
      </w:r>
    </w:p>
    <w:p>
      <w:pPr>
        <w:pStyle w:val="ListNumber"/>
      </w:pPr>
      <w:r>
        <w:t>Source check: candidate appears in the extracted text.</w:t>
      </w:r>
    </w:p>
    <w:p>
      <w:pPr>
        <w:pStyle w:val="ListNumber"/>
      </w:pPr>
      <w:r>
        <w:t>Label check: evidence matches the requested field and avoids conflicting labels.</w:t>
      </w:r>
    </w:p>
    <w:p>
      <w:pPr>
        <w:pStyle w:val="ListNumber"/>
      </w:pPr>
      <w:r>
        <w:t>NLI check: optional comparison of labelled evidence with a natural-language claim.</w:t>
      </w:r>
    </w:p>
    <w:p>
      <w:pPr>
        <w:pStyle w:val="Heading2"/>
        <w:keepNext/>
      </w:pPr>
      <w:r>
        <w:t>6.2 Evaluation Metrics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Metric</w:t>
            </w:r>
          </w:p>
        </w:tc>
        <w:tc>
          <w:tcPr>
            <w:tcW w:type="dxa" w:w="4896"/>
            <w:shd w:fill="17365D"/>
          </w:tcPr>
          <w:p>
            <w:r>
              <w:rPr>
                <w:b/>
                <w:color w:val="FFFFFF"/>
                <w:sz w:val="24"/>
              </w:rPr>
              <w:t>Meaning</w:t>
            </w:r>
          </w:p>
        </w:tc>
      </w:tr>
      <w:tr>
        <w:tc>
          <w:tcPr>
            <w:tcW w:type="dxa" w:w="4896"/>
            <w:vAlign w:val="center"/>
          </w:tcPr>
          <w:p>
            <w:pPr>
              <w:spacing w:line="276" w:lineRule="auto"/>
            </w:pPr>
            <w:r>
              <w:rPr>
                <w:sz w:val="24"/>
              </w:rPr>
              <w:t>Field F1</w:t>
            </w:r>
          </w:p>
        </w:tc>
        <w:tc>
          <w:tcPr>
            <w:tcW w:type="dxa" w:w="4896"/>
            <w:vAlign w:val="center"/>
          </w:tcPr>
          <w:p>
            <w:pPr>
              <w:spacing w:line="276" w:lineRule="auto"/>
            </w:pPr>
            <w:r>
              <w:rPr>
                <w:sz w:val="24"/>
              </w:rPr>
              <w:t>Token-overlap F1 against gold values present in the invoice.</w:t>
            </w:r>
          </w:p>
        </w:tc>
      </w:tr>
      <w:tr>
        <w:tc>
          <w:tcPr>
            <w:tcW w:type="dxa" w:w="4896"/>
            <w:vAlign w:val="center"/>
            <w:shd w:fill="EAF0F6"/>
          </w:tcPr>
          <w:p>
            <w:pPr>
              <w:spacing w:line="276" w:lineRule="auto"/>
            </w:pPr>
            <w:r>
              <w:rPr>
                <w:sz w:val="24"/>
              </w:rPr>
              <w:t>Faithfulness / auto-verified</w:t>
            </w:r>
          </w:p>
        </w:tc>
        <w:tc>
          <w:tcPr>
            <w:tcW w:type="dxa" w:w="4896"/>
            <w:vAlign w:val="center"/>
            <w:shd w:fill="EAF0F6"/>
          </w:tcPr>
          <w:p>
            <w:pPr>
              <w:spacing w:line="276" w:lineRule="auto"/>
            </w:pPr>
            <w:r>
              <w:rPr>
                <w:sz w:val="24"/>
              </w:rPr>
              <w:t>Share of present labelled fields marked supported.</w:t>
            </w:r>
          </w:p>
        </w:tc>
      </w:tr>
      <w:tr>
        <w:tc>
          <w:tcPr>
            <w:tcW w:type="dxa" w:w="4896"/>
            <w:vAlign w:val="center"/>
          </w:tcPr>
          <w:p>
            <w:pPr>
              <w:spacing w:line="276" w:lineRule="auto"/>
            </w:pPr>
            <w:r>
              <w:rPr>
                <w:sz w:val="24"/>
              </w:rPr>
              <w:t>Verified precision</w:t>
            </w:r>
          </w:p>
        </w:tc>
        <w:tc>
          <w:tcPr>
            <w:tcW w:type="dxa" w:w="4896"/>
            <w:vAlign w:val="center"/>
          </w:tcPr>
          <w:p>
            <w:pPr>
              <w:spacing w:line="276" w:lineRule="auto"/>
            </w:pPr>
            <w:r>
              <w:rPr>
                <w:sz w:val="24"/>
              </w:rPr>
              <w:t>Share of all verified values matching gold; falsely verified absent fields count as mistakes.</w:t>
            </w:r>
          </w:p>
        </w:tc>
      </w:tr>
      <w:tr>
        <w:tc>
          <w:tcPr>
            <w:tcW w:type="dxa" w:w="4896"/>
            <w:vAlign w:val="center"/>
            <w:shd w:fill="EAF0F6"/>
          </w:tcPr>
          <w:p>
            <w:pPr>
              <w:spacing w:line="276" w:lineRule="auto"/>
            </w:pPr>
            <w:r>
              <w:rPr>
                <w:sz w:val="24"/>
              </w:rPr>
              <w:t>Flag accuracy</w:t>
            </w:r>
          </w:p>
        </w:tc>
        <w:tc>
          <w:tcPr>
            <w:tcW w:type="dxa" w:w="4896"/>
            <w:vAlign w:val="center"/>
            <w:shd w:fill="EAF0F6"/>
          </w:tcPr>
          <w:p>
            <w:pPr>
              <w:spacing w:line="276" w:lineRule="auto"/>
            </w:pPr>
            <w:r>
              <w:rPr>
                <w:sz w:val="24"/>
              </w:rPr>
              <w:t>Share of invoices with an exact match of expected and predicted flag sets.</w:t>
            </w:r>
          </w:p>
        </w:tc>
      </w:tr>
      <w:tr>
        <w:tc>
          <w:tcPr>
            <w:tcW w:type="dxa" w:w="4896"/>
            <w:vAlign w:val="center"/>
          </w:tcPr>
          <w:p>
            <w:pPr>
              <w:spacing w:line="276" w:lineRule="auto"/>
            </w:pPr>
            <w:r>
              <w:rPr>
                <w:sz w:val="24"/>
              </w:rPr>
              <w:t>Absent fields flagged</w:t>
            </w:r>
          </w:p>
        </w:tc>
        <w:tc>
          <w:tcPr>
            <w:tcW w:type="dxa" w:w="4896"/>
            <w:vAlign w:val="center"/>
          </w:tcPr>
          <w:p>
            <w:pPr>
              <w:spacing w:line="276" w:lineRule="auto"/>
            </w:pPr>
            <w:r>
              <w:rPr>
                <w:sz w:val="24"/>
              </w:rPr>
              <w:t>Share of absent values correctly left unsupported.</w:t>
            </w:r>
          </w:p>
        </w:tc>
      </w:tr>
    </w:tbl>
    <w:p>
      <w:pPr>
        <w:pStyle w:val="Caption"/>
        <w:keepLines/>
        <w:jc w:val="center"/>
      </w:pPr>
      <w:r>
        <w:t>Table 8. Evaluation Metric Definitions</w:t>
      </w:r>
    </w:p>
    <w:p/>
    <w:p>
      <w:r>
        <w:t>Verified precision is safety-oriented: among accepted values, how many are correct? Coverage must also be considered because a system that rejects every field could have high precision but little automation.</w:t>
      </w:r>
    </w:p>
    <w:p>
      <w:pPr>
        <w:pStyle w:val="Heading2"/>
        <w:keepNext/>
      </w:pPr>
      <w:r>
        <w:t>6.3 Metric Definitions and Interpretation</w:t>
      </w:r>
    </w:p>
    <w:p>
      <w:r>
        <w:t>For an individual present field, the evaluator normalizes case, removes currency symbols and commas, tokenizes on whitespace, and calculates token-overlap precision and recall. Field F1 is the harmonic mean of those values, then averaged over gold-present fields. A prediction counts as exactly correct for verified precision only when its F1 is at least 0.999. This intentionally separates partial text similarity from the stricter question of whether an accepted value is correct.</w:t>
      </w:r>
    </w:p>
    <w:p>
      <w:r>
        <w:t>Let V be the set of fields the auditor marks supported, and C be the verified fields that satisfy the evaluator’s exact-correctness condition. Verified precision is |C|/|V|; if no value is verified, the implementation returns 1.0 by convention. Coverage (named faithfulness in the metric code) is the number of supported present fields divided by the number of present gold fields. An absent field that is supported is counted as a verified error and as a failure of absent-field handling.</w:t>
      </w:r>
    </w:p>
    <w:p>
      <w:pPr>
        <w:pStyle w:val="Heading2"/>
        <w:keepNext/>
      </w:pPr>
      <w:r>
        <w:t>6.4 End-to-End Algorithm</w:t>
      </w:r>
    </w:p>
    <w:p>
      <w:pPr>
        <w:pStyle w:val="ListNumber"/>
      </w:pPr>
      <w:r>
        <w:t>Receive PDF, create pending database record, save bytes under an ID-based filename, enqueue worker job.</w:t>
      </w:r>
    </w:p>
    <w:p>
      <w:pPr>
        <w:pStyle w:val="ListNumber"/>
      </w:pPr>
      <w:r>
        <w:t>Mark processing; extract page text; concatenate pages; index invoice text in the vector store.</w:t>
      </w:r>
    </w:p>
    <w:p>
      <w:pPr>
        <w:pStyle w:val="ListNumber"/>
      </w:pPr>
      <w:r>
        <w:t>Retrieve document-filtered text and ask the fixed question for each schema field.</w:t>
      </w:r>
    </w:p>
    <w:p>
      <w:pPr>
        <w:pStyle w:val="ListNumber"/>
      </w:pPr>
      <w:r>
        <w:t>Run compliance checks and audit each answer for type, evidence presence, and label compatibility; optionally evaluate NLI.</w:t>
      </w:r>
    </w:p>
    <w:p>
      <w:pPr>
        <w:pStyle w:val="ListNumber"/>
      </w:pPr>
      <w:r>
        <w:t>If any field is unsupported, generate alternative candidates and accept the first candidate that passes audit.</w:t>
      </w:r>
    </w:p>
    <w:p>
      <w:pPr>
        <w:pStyle w:val="ListNumber"/>
      </w:pPr>
      <w:r>
        <w:t>If repair changed candidates, rerun compliance and audit; finalize complete only when every field is supported, otherwise needs_review.</w:t>
      </w:r>
    </w:p>
    <w:p>
      <w:pPr>
        <w:pStyle w:val="ListNumber"/>
      </w:pPr>
      <w:r>
        <w:t>Persist results and expose the status and diagnostics through API for polling UI.</w:t>
      </w:r>
    </w:p>
    <w:p>
      <w:pPr>
        <w:pStyle w:val="Heading2"/>
        <w:keepNext/>
      </w:pPr>
      <w:r>
        <w:t>6.5 Evidence Semantics</w:t>
      </w:r>
    </w:p>
    <w:p>
      <w:r>
        <w:t>Evidence in the current implementation is text-line evidence, not page-coordinate evidence. The audit can show a matching line (and the previous line for stacked label/value layouts), but it does not preserve page numbers, bounding boxes, or a cryptographic reference to the original file. Therefore the system improves inspectability but does not yet provide a complete forensic provenance chain.</w:t>
      </w:r>
    </w:p>
    <w:p>
      <w:r>
        <w:t>The faithfulness rate is a document-level fraction over the fields submitted to the auditor; in the evaluation, coverage is calculated over fields that are present in the gold annotation. Those denominators are not interchangeable. For example, an absent due date should reduce the number of present gold fields used for coverage while still being checked separately for hallucination handling. The audit result should therefore be read field by field together with the source evidence, rather than treating one aggregate percentage as a complete account of document reliability.</w:t>
      </w:r>
    </w:p>
    <w:p>
      <w:r>
        <w:br w:type="page"/>
      </w:r>
    </w:p>
    <w:p>
      <w:pPr>
        <w:pStyle w:val="Heading1"/>
        <w:keepNext/>
      </w:pPr>
      <w:r>
        <w:t>7. Testing and Evaluation</w:t>
      </w:r>
    </w:p>
    <w:p>
      <w:pPr>
        <w:pStyle w:val="Heading2"/>
        <w:keepNext/>
      </w:pPr>
      <w:r>
        <w:t>7.1 Test Strategy</w:t>
      </w:r>
    </w:p>
    <w:p>
      <w:r>
        <w:t>Unit tests cover candidate generation, checks, compliance, duplicate detection, metric calculation, NLI modes, repair flow, and scoring. Evaluation scripts run the full pipeline against hand-labelled invoices and compare NLI modes. The development regression gate requires at least 0.99 field F1 and faithfulness, plus 1.00 verified precision, flag accuracy, and absent-field handling.</w:t>
      </w:r>
    </w:p>
    <w:p>
      <w:pPr>
        <w:pStyle w:val="Heading2"/>
        <w:keepNext/>
      </w:pPr>
      <w:r>
        <w:t>7.2 Dataset</w:t>
      </w:r>
    </w:p>
    <w:p>
      <w:r>
        <w:t>The reported final set contains 27 synthetic PDF invoices: 17 development examples and 10 examples initially held out. They cover varied labels, layouts, vendor names, date/amount formats, missing due dates, and compliance cases. The README reports 186 labelled values; gold data are stored in evaluation/golden_dataset/golden.json [5].</w:t>
      </w:r>
    </w:p>
    <w:p>
      <w:r>
        <w:t>The data are generated invoices rather than a sample of customer or commercial records. This makes the benchmark reproducible and allows controlled cases for two-column layouts, field-label variants, missing due dates, arithmetic mismatches, and threshold flags. It also limits visual and linguistic diversity: generated examples may not represent scan artifacts, unusual typography, multi-page statements, handwritten annotations, unfamiliar currencies, or vendor-specific templates. The 186-value count describes field annotations across the invoice set, not 186 independent documents.</w:t>
      </w:r>
    </w:p>
    <w:p>
      <w:pPr>
        <w:keepNext/>
        <w:jc w:val="center"/>
      </w:pPr>
      <w:r>
        <w:drawing>
          <wp:inline xmlns:a="http://schemas.openxmlformats.org/drawingml/2006/main" xmlns:pic="http://schemas.openxmlformats.org/drawingml/2006/picture">
            <wp:extent cx="5897880" cy="2359152"/>
            <wp:docPr id="7" name="Picture 7" descr="Dataset overview with 27 synthetic invoices, 186 field labels, the initial 17 development and 10 held-out split, and the later merge of the held-out case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97880" cy="2359152"/>
                    </a:xfrm>
                    <a:prstGeom prst="rect"/>
                  </pic:spPr>
                </pic:pic>
              </a:graphicData>
            </a:graphic>
          </wp:inline>
        </w:drawing>
      </w:r>
    </w:p>
    <w:p>
      <w:pPr>
        <w:pStyle w:val="Caption"/>
        <w:jc w:val="center"/>
      </w:pPr>
      <w:r>
        <w:t>Figure 7. Evaluation dataset profile.</w:t>
      </w:r>
    </w:p>
    <w:p>
      <w:pPr>
        <w:pStyle w:val="Heading2"/>
        <w:keepNext/>
      </w:pPr>
      <w:r>
        <w:t>7.3 Results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632"/>
            <w:shd w:fill="17365D"/>
          </w:tcPr>
          <w:p>
            <w:r>
              <w:rPr>
                <w:b/>
                <w:color w:val="FFFFFF"/>
                <w:sz w:val="24"/>
              </w:rPr>
              <w:t>Run</w:t>
            </w:r>
          </w:p>
        </w:tc>
        <w:tc>
          <w:tcPr>
            <w:tcW w:type="dxa" w:w="1632"/>
            <w:shd w:fill="17365D"/>
          </w:tcPr>
          <w:p>
            <w:r>
              <w:rPr>
                <w:b/>
                <w:color w:val="FFFFFF"/>
                <w:sz w:val="24"/>
              </w:rPr>
              <w:t>F1</w:t>
            </w:r>
          </w:p>
        </w:tc>
        <w:tc>
          <w:tcPr>
            <w:tcW w:type="dxa" w:w="1632"/>
            <w:shd w:fill="17365D"/>
          </w:tcPr>
          <w:p>
            <w:r>
              <w:rPr>
                <w:b/>
                <w:color w:val="FFFFFF"/>
                <w:sz w:val="24"/>
              </w:rPr>
              <w:t>Verified precision</w:t>
            </w:r>
          </w:p>
        </w:tc>
        <w:tc>
          <w:tcPr>
            <w:tcW w:type="dxa" w:w="1632"/>
            <w:shd w:fill="17365D"/>
          </w:tcPr>
          <w:p>
            <w:r>
              <w:rPr>
                <w:b/>
                <w:color w:val="FFFFFF"/>
                <w:sz w:val="24"/>
              </w:rPr>
              <w:t>Coverage</w:t>
            </w:r>
          </w:p>
        </w:tc>
        <w:tc>
          <w:tcPr>
            <w:tcW w:type="dxa" w:w="1632"/>
            <w:shd w:fill="17365D"/>
          </w:tcPr>
          <w:p>
            <w:r>
              <w:rPr>
                <w:b/>
                <w:color w:val="FFFFFF"/>
                <w:sz w:val="24"/>
              </w:rPr>
              <w:t>Flags</w:t>
            </w:r>
          </w:p>
        </w:tc>
        <w:tc>
          <w:tcPr>
            <w:tcW w:type="dxa" w:w="1632"/>
            <w:shd w:fill="17365D"/>
          </w:tcPr>
          <w:p>
            <w:r>
              <w:rPr>
                <w:b/>
                <w:color w:val="FFFFFF"/>
                <w:sz w:val="24"/>
              </w:rPr>
              <w:t>Review result</w:t>
            </w:r>
          </w:p>
        </w:tc>
      </w:tr>
      <w:tr>
        <w:tc>
          <w:tcPr>
            <w:tcW w:type="dxa" w:w="1632"/>
            <w:vAlign w:val="center"/>
          </w:tcPr>
          <w:p>
            <w:pPr>
              <w:spacing w:line="276" w:lineRule="auto"/>
            </w:pPr>
            <w:r>
              <w:rPr>
                <w:sz w:val="24"/>
              </w:rPr>
              <w:t>Initial, 17 invoices</w:t>
            </w:r>
          </w:p>
        </w:tc>
        <w:tc>
          <w:tcPr>
            <w:tcW w:type="dxa" w:w="1632"/>
            <w:vAlign w:val="center"/>
          </w:tcPr>
          <w:p>
            <w:pPr>
              <w:spacing w:line="276" w:lineRule="auto"/>
            </w:pPr>
            <w:r>
              <w:rPr>
                <w:sz w:val="24"/>
              </w:rPr>
              <w:t>0.903</w:t>
            </w:r>
          </w:p>
        </w:tc>
        <w:tc>
          <w:tcPr>
            <w:tcW w:type="dxa" w:w="1632"/>
            <w:vAlign w:val="center"/>
          </w:tcPr>
          <w:p>
            <w:pPr>
              <w:spacing w:line="276" w:lineRule="auto"/>
            </w:pPr>
            <w:r>
              <w:rPr>
                <w:sz w:val="24"/>
              </w:rPr>
              <w:t>0.877</w:t>
            </w:r>
          </w:p>
        </w:tc>
        <w:tc>
          <w:tcPr>
            <w:tcW w:type="dxa" w:w="1632"/>
            <w:vAlign w:val="center"/>
          </w:tcPr>
          <w:p>
            <w:pPr>
              <w:spacing w:line="276" w:lineRule="auto"/>
            </w:pPr>
            <w:r>
              <w:rPr>
                <w:sz w:val="24"/>
              </w:rPr>
              <w:t>0.957</w:t>
            </w:r>
          </w:p>
        </w:tc>
        <w:tc>
          <w:tcPr>
            <w:tcW w:type="dxa" w:w="1632"/>
            <w:vAlign w:val="center"/>
          </w:tcPr>
          <w:p>
            <w:pPr>
              <w:spacing w:line="276" w:lineRule="auto"/>
            </w:pPr>
            <w:r>
              <w:rPr>
                <w:sz w:val="24"/>
              </w:rPr>
              <w:t>0.882</w:t>
            </w:r>
          </w:p>
        </w:tc>
        <w:tc>
          <w:tcPr>
            <w:tcW w:type="dxa" w:w="1632"/>
            <w:vAlign w:val="center"/>
          </w:tcPr>
          <w:p>
            <w:pPr>
              <w:spacing w:line="276" w:lineRule="auto"/>
            </w:pPr>
            <w:r>
              <w:rPr>
                <w:sz w:val="24"/>
              </w:rPr>
              <w:t>14 wrong values verified; absent fields not refused.</w:t>
            </w:r>
          </w:p>
        </w:tc>
      </w:tr>
      <w:tr>
        <w:tc>
          <w:tcPr>
            <w:tcW w:type="dxa" w:w="1632"/>
            <w:vAlign w:val="center"/>
            <w:shd w:fill="EAF0F6"/>
          </w:tcPr>
          <w:p>
            <w:pPr>
              <w:spacing w:line="276" w:lineRule="auto"/>
            </w:pPr>
            <w:r>
              <w:rPr>
                <w:sz w:val="24"/>
              </w:rPr>
              <w:t>After fixes, 17</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0.957</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Both absent-field cases refused.</w:t>
            </w:r>
          </w:p>
        </w:tc>
      </w:tr>
      <w:tr>
        <w:tc>
          <w:tcPr>
            <w:tcW w:type="dxa" w:w="1632"/>
            <w:vAlign w:val="center"/>
          </w:tcPr>
          <w:p>
            <w:pPr>
              <w:spacing w:line="276" w:lineRule="auto"/>
            </w:pPr>
            <w:r>
              <w:rPr>
                <w:sz w:val="24"/>
              </w:rPr>
              <w:t>Earlier held-out, 10</w:t>
            </w:r>
          </w:p>
        </w:tc>
        <w:tc>
          <w:tcPr>
            <w:tcW w:type="dxa" w:w="1632"/>
            <w:vAlign w:val="center"/>
          </w:tcPr>
          <w:p>
            <w:pPr>
              <w:spacing w:line="276" w:lineRule="auto"/>
            </w:pPr>
            <w:r>
              <w:rPr>
                <w:sz w:val="24"/>
              </w:rPr>
              <w:t>0.986</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0.913</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4/10 reviewed; one extraction error rejected.</w:t>
            </w:r>
          </w:p>
        </w:tc>
      </w:tr>
      <w:tr>
        <w:tc>
          <w:tcPr>
            <w:tcW w:type="dxa" w:w="1632"/>
            <w:vAlign w:val="center"/>
            <w:shd w:fill="EAF0F6"/>
          </w:tcPr>
          <w:p>
            <w:pPr>
              <w:spacing w:line="276" w:lineRule="auto"/>
            </w:pPr>
            <w:r>
              <w:rPr>
                <w:sz w:val="24"/>
              </w:rPr>
              <w:t>Final strict mode, 27</w:t>
            </w:r>
          </w:p>
        </w:tc>
        <w:tc>
          <w:tcPr>
            <w:tcW w:type="dxa" w:w="1632"/>
            <w:vAlign w:val="center"/>
            <w:shd w:fill="EAF0F6"/>
          </w:tcPr>
          <w:p>
            <w:pPr>
              <w:spacing w:line="276" w:lineRule="auto"/>
            </w:pPr>
            <w:r>
              <w:rPr>
                <w:sz w:val="24"/>
              </w:rPr>
              <w:t>0.995</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0.952</w:t>
            </w:r>
          </w:p>
        </w:tc>
        <w:tc>
          <w:tcPr>
            <w:tcW w:type="dxa" w:w="1632"/>
            <w:vAlign w:val="center"/>
            <w:shd w:fill="EAF0F6"/>
          </w:tcPr>
          <w:p>
            <w:pPr>
              <w:spacing w:line="276" w:lineRule="auto"/>
            </w:pPr>
            <w:r>
              <w:rPr>
                <w:sz w:val="24"/>
              </w:rPr>
              <w:t>Not separately given</w:t>
            </w:r>
          </w:p>
        </w:tc>
        <w:tc>
          <w:tcPr>
            <w:tcW w:type="dxa" w:w="1632"/>
            <w:vAlign w:val="center"/>
            <w:shd w:fill="EAF0F6"/>
          </w:tcPr>
          <w:p>
            <w:pPr>
              <w:spacing w:line="276" w:lineRule="auto"/>
            </w:pPr>
            <w:r>
              <w:rPr>
                <w:sz w:val="24"/>
              </w:rPr>
              <w:t>7/27 reviewed.</w:t>
            </w:r>
          </w:p>
        </w:tc>
      </w:tr>
      <w:tr>
        <w:tc>
          <w:tcPr>
            <w:tcW w:type="dxa" w:w="1632"/>
            <w:vAlign w:val="center"/>
          </w:tcPr>
          <w:p>
            <w:pPr>
              <w:spacing w:line="276" w:lineRule="auto"/>
            </w:pPr>
            <w:r>
              <w:rPr>
                <w:sz w:val="24"/>
              </w:rPr>
              <w:t>Final veto mode, 27</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1.000</w:t>
            </w:r>
          </w:p>
        </w:tc>
        <w:tc>
          <w:tcPr>
            <w:tcW w:type="dxa" w:w="1632"/>
            <w:vAlign w:val="center"/>
          </w:tcPr>
          <w:p>
            <w:pPr>
              <w:spacing w:line="276" w:lineRule="auto"/>
            </w:pPr>
            <w:r>
              <w:rPr>
                <w:sz w:val="24"/>
              </w:rPr>
              <w:t>3/27 reviewed.</w:t>
            </w:r>
          </w:p>
        </w:tc>
      </w:tr>
      <w:tr>
        <w:tc>
          <w:tcPr>
            <w:tcW w:type="dxa" w:w="1632"/>
            <w:vAlign w:val="center"/>
            <w:shd w:fill="EAF0F6"/>
          </w:tcPr>
          <w:p>
            <w:pPr>
              <w:spacing w:line="276" w:lineRule="auto"/>
            </w:pPr>
            <w:r>
              <w:rPr>
                <w:sz w:val="24"/>
              </w:rPr>
              <w:t>Final NLI off, 27</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1.000</w:t>
            </w:r>
          </w:p>
        </w:tc>
        <w:tc>
          <w:tcPr>
            <w:tcW w:type="dxa" w:w="1632"/>
            <w:vAlign w:val="center"/>
            <w:shd w:fill="EAF0F6"/>
          </w:tcPr>
          <w:p>
            <w:pPr>
              <w:spacing w:line="276" w:lineRule="auto"/>
            </w:pPr>
            <w:r>
              <w:rPr>
                <w:sz w:val="24"/>
              </w:rPr>
              <w:t>3/27 reviewed.</w:t>
            </w:r>
          </w:p>
        </w:tc>
      </w:tr>
    </w:tbl>
    <w:p>
      <w:pPr>
        <w:pStyle w:val="Caption"/>
        <w:keepLines/>
        <w:jc w:val="center"/>
      </w:pPr>
      <w:r>
        <w:t>Table 9. Reported Evaluation Results</w:t>
      </w:r>
    </w:p>
    <w:p/>
    <w:p>
      <w:r>
        <w:t>Initial failures included label tokens returned as values in two-column layouts, an amount treated as a date, invoice-date/due-date confusion, and truncated vendor names. Type checks, label constraints, and layout-aware repair addressed these observed cases. In the earlier held-out run, a vendor-name answer returned for a “Document No” label was rejected. After inspecting these examples, fixes were made and all ten were moved into the 27-invoice set; therefore the final 27 are not an independent test set.</w:t>
      </w:r>
    </w:p>
    <w:p>
      <w:pPr>
        <w:pStyle w:val="Heading2"/>
        <w:keepNext/>
      </w:pPr>
      <w:r>
        <w:t>7.4 NLI Ablation</w:t>
      </w:r>
    </w:p>
    <w:p>
      <w:r>
        <w:t>Strict mode produced 0.995 field F1 and seven review cases versus perfect reported scores and three reviews in veto and rules-only modes. The model did not change an outcome in veto mode. Strict mode rejected some correct values and blocked a correct repair. This supports choosing the mode empirically but does not establish that NLI cannot catch unseen failure patterns.</w:t>
      </w:r>
    </w:p>
    <w:p>
      <w:pPr>
        <w:pStyle w:val="Heading2"/>
        <w:keepNext/>
      </w:pPr>
      <w:r>
        <w:t>7.5 Unit-Test Coverage Map</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Test module</w:t>
            </w:r>
          </w:p>
        </w:tc>
        <w:tc>
          <w:tcPr>
            <w:tcW w:type="dxa" w:w="4896"/>
            <w:shd w:fill="17365D"/>
          </w:tcPr>
          <w:p>
            <w:r>
              <w:rPr>
                <w:b/>
                <w:color w:val="FFFFFF"/>
                <w:sz w:val="24"/>
              </w:rPr>
              <w:t>Behaviors exercised</w:t>
            </w:r>
          </w:p>
        </w:tc>
      </w:tr>
      <w:tr>
        <w:tc>
          <w:tcPr>
            <w:tcW w:type="dxa" w:w="4896"/>
            <w:vAlign w:val="center"/>
          </w:tcPr>
          <w:p>
            <w:pPr>
              <w:spacing w:line="276" w:lineRule="auto"/>
            </w:pPr>
            <w:r>
              <w:rPr>
                <w:sz w:val="24"/>
              </w:rPr>
              <w:t>test_candidates.py</w:t>
            </w:r>
          </w:p>
        </w:tc>
        <w:tc>
          <w:tcPr>
            <w:tcW w:type="dxa" w:w="4896"/>
            <w:vAlign w:val="center"/>
          </w:tcPr>
          <w:p>
            <w:pPr>
              <w:spacing w:line="276" w:lineRule="auto"/>
            </w:pPr>
            <w:r>
              <w:rPr>
                <w:sz w:val="24"/>
              </w:rPr>
              <w:t>Focused label lines before full text, exclusion of failed answer, next-line candidate for stacked layout.</w:t>
            </w:r>
          </w:p>
        </w:tc>
      </w:tr>
      <w:tr>
        <w:tc>
          <w:tcPr>
            <w:tcW w:type="dxa" w:w="4896"/>
            <w:vAlign w:val="center"/>
            <w:shd w:fill="EAF0F6"/>
          </w:tcPr>
          <w:p>
            <w:pPr>
              <w:spacing w:line="276" w:lineRule="auto"/>
            </w:pPr>
            <w:r>
              <w:rPr>
                <w:sz w:val="24"/>
              </w:rPr>
              <w:t>test_checks.py</w:t>
            </w:r>
          </w:p>
        </w:tc>
        <w:tc>
          <w:tcPr>
            <w:tcW w:type="dxa" w:w="4896"/>
            <w:vAlign w:val="center"/>
            <w:shd w:fill="EAF0F6"/>
          </w:tcPr>
          <w:p>
            <w:pPr>
              <w:spacing w:line="276" w:lineRule="auto"/>
            </w:pPr>
            <w:r>
              <w:rPr>
                <w:sz w:val="24"/>
              </w:rPr>
              <w:t>Supported date and amount formats, type mismatch, conflicting labels, previous-line evidence, truncation cleanup.</w:t>
            </w:r>
          </w:p>
        </w:tc>
      </w:tr>
      <w:tr>
        <w:tc>
          <w:tcPr>
            <w:tcW w:type="dxa" w:w="4896"/>
            <w:vAlign w:val="center"/>
          </w:tcPr>
          <w:p>
            <w:pPr>
              <w:spacing w:line="276" w:lineRule="auto"/>
            </w:pPr>
            <w:r>
              <w:rPr>
                <w:sz w:val="24"/>
              </w:rPr>
              <w:t>test_compliance.py</w:t>
            </w:r>
          </w:p>
        </w:tc>
        <w:tc>
          <w:tcPr>
            <w:tcW w:type="dxa" w:w="4896"/>
            <w:vAlign w:val="center"/>
          </w:tcPr>
          <w:p>
            <w:pPr>
              <w:spacing w:line="276" w:lineRule="auto"/>
            </w:pPr>
            <w:r>
              <w:rPr>
                <w:sz w:val="24"/>
              </w:rPr>
              <w:t>Arithmetic mismatch and duplicate-number flags.</w:t>
            </w:r>
          </w:p>
        </w:tc>
      </w:tr>
      <w:tr>
        <w:tc>
          <w:tcPr>
            <w:tcW w:type="dxa" w:w="4896"/>
            <w:vAlign w:val="center"/>
            <w:shd w:fill="EAF0F6"/>
          </w:tcPr>
          <w:p>
            <w:pPr>
              <w:spacing w:line="276" w:lineRule="auto"/>
            </w:pPr>
            <w:r>
              <w:rPr>
                <w:sz w:val="24"/>
              </w:rPr>
              <w:t>test_duplicates.py</w:t>
            </w:r>
          </w:p>
        </w:tc>
        <w:tc>
          <w:tcPr>
            <w:tcW w:type="dxa" w:w="4896"/>
            <w:vAlign w:val="center"/>
            <w:shd w:fill="EAF0F6"/>
          </w:tcPr>
          <w:p>
            <w:pPr>
              <w:spacing w:line="276" w:lineRule="auto"/>
            </w:pPr>
            <w:r>
              <w:rPr>
                <w:sz w:val="24"/>
              </w:rPr>
              <w:t>Vendor normalization, exclusion of current document, failed-state exclusion, needs_review inclusion, missing vendor.</w:t>
            </w:r>
          </w:p>
        </w:tc>
      </w:tr>
      <w:tr>
        <w:tc>
          <w:tcPr>
            <w:tcW w:type="dxa" w:w="4896"/>
            <w:vAlign w:val="center"/>
          </w:tcPr>
          <w:p>
            <w:pPr>
              <w:spacing w:line="276" w:lineRule="auto"/>
            </w:pPr>
            <w:r>
              <w:rPr>
                <w:sz w:val="24"/>
              </w:rPr>
              <w:t>test_nli_modes.py</w:t>
            </w:r>
          </w:p>
        </w:tc>
        <w:tc>
          <w:tcPr>
            <w:tcW w:type="dxa" w:w="4896"/>
            <w:vAlign w:val="center"/>
          </w:tcPr>
          <w:p>
            <w:pPr>
              <w:spacing w:line="276" w:lineRule="auto"/>
            </w:pPr>
            <w:r>
              <w:rPr>
                <w:sz w:val="24"/>
              </w:rPr>
              <w:t>Strict entailment, veto contradiction, off mode, default mode, model-label recording, deterministic checks retained.</w:t>
            </w:r>
          </w:p>
        </w:tc>
      </w:tr>
      <w:tr>
        <w:tc>
          <w:tcPr>
            <w:tcW w:type="dxa" w:w="4896"/>
            <w:vAlign w:val="center"/>
            <w:shd w:fill="EAF0F6"/>
          </w:tcPr>
          <w:p>
            <w:pPr>
              <w:spacing w:line="276" w:lineRule="auto"/>
            </w:pPr>
            <w:r>
              <w:rPr>
                <w:sz w:val="24"/>
              </w:rPr>
              <w:t>test_repair_flow.py</w:t>
            </w:r>
          </w:p>
        </w:tc>
        <w:tc>
          <w:tcPr>
            <w:tcW w:type="dxa" w:w="4896"/>
            <w:vAlign w:val="center"/>
            <w:shd w:fill="EAF0F6"/>
          </w:tcPr>
          <w:p>
            <w:pPr>
              <w:spacing w:line="276" w:lineRule="auto"/>
            </w:pPr>
            <w:r>
              <w:rPr>
                <w:sz w:val="24"/>
              </w:rPr>
              <w:t>Skip repair if all pass, repair a missing value, stop after one round and route unfixable field.</w:t>
            </w:r>
          </w:p>
        </w:tc>
      </w:tr>
      <w:tr>
        <w:tc>
          <w:tcPr>
            <w:tcW w:type="dxa" w:w="4896"/>
            <w:vAlign w:val="center"/>
          </w:tcPr>
          <w:p>
            <w:pPr>
              <w:spacing w:line="276" w:lineRule="auto"/>
            </w:pPr>
            <w:r>
              <w:rPr>
                <w:sz w:val="24"/>
              </w:rPr>
              <w:t>test_scoring.py</w:t>
            </w:r>
          </w:p>
        </w:tc>
        <w:tc>
          <w:tcPr>
            <w:tcW w:type="dxa" w:w="4896"/>
            <w:vAlign w:val="center"/>
          </w:tcPr>
          <w:p>
            <w:pPr>
              <w:spacing w:line="276" w:lineRule="auto"/>
            </w:pPr>
            <w:r>
              <w:rPr>
                <w:sz w:val="24"/>
              </w:rPr>
              <w:t>Perfect scores, caught vs verified error, absent-field hallucination, unexpected compliance flag.</w:t>
            </w:r>
          </w:p>
        </w:tc>
      </w:tr>
    </w:tbl>
    <w:p>
      <w:pPr>
        <w:pStyle w:val="Caption"/>
        <w:keepLines/>
        <w:jc w:val="center"/>
      </w:pPr>
      <w:r>
        <w:t>Table 10. Unit-Test Coverage Map</w:t>
      </w:r>
    </w:p>
    <w:p/>
    <w:p>
      <w:r>
        <w:t>These are code-level test cases documented in the repository. This report does not claim that pytest was rerun as part of report preparation.</w:t>
      </w:r>
    </w:p>
    <w:p>
      <w:pPr>
        <w:pStyle w:val="Heading2"/>
        <w:keepNext/>
      </w:pPr>
      <w:r>
        <w:t>7.6 Evaluation Procedure and Gate</w:t>
      </w:r>
    </w:p>
    <w:p>
      <w:r>
        <w:t>The evaluation runner loads the JSON gold labels, extracts each PDF with the same ingestion module, indexes the text, invokes the graph, and compares output with the golden labels. It disables database duplicate lookup for dataset isolation. On the development dataset, the runner checks the configured baseline and exits with a failure if any metric falls short. The held-out invocation is described in the script as a measurement without the gate, intended not to be used for tuning.</w:t>
      </w:r>
    </w:p>
    <w:p>
      <w:r>
        <w:t>The gate is intentionally asymmetric: field F1 and coverage must remain above configured minimums, while verified precision, compliance flag accuracy, and absent-field handling must meet their required values. This encodes the project preference that an uncertain field may be routed to review, but a known wrong value must not be accepted as verified. Because the final 27-case scores were produced after error-driven changes, the gate is best interpreted as a regression check against the current synthetic benchmark, not as a certification test for a new deployment domain.</w:t>
      </w:r>
    </w:p>
    <w:p>
      <w:pPr>
        <w:keepNext/>
        <w:jc w:val="center"/>
      </w:pPr>
      <w:r>
        <w:drawing>
          <wp:inline xmlns:a="http://schemas.openxmlformats.org/drawingml/2006/main" xmlns:pic="http://schemas.openxmlformats.org/drawingml/2006/picture">
            <wp:extent cx="5897880" cy="1926641"/>
            <wp:docPr id="8" name="Picture 8" descr="Evaluation workflow from gold labels through pipeline execution, comparison, metric calculation, and regression gat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97880" cy="1926641"/>
                    </a:xfrm>
                    <a:prstGeom prst="rect"/>
                  </pic:spPr>
                </pic:pic>
              </a:graphicData>
            </a:graphic>
          </wp:inline>
        </w:drawing>
      </w:r>
    </w:p>
    <w:p>
      <w:pPr>
        <w:pStyle w:val="Caption"/>
        <w:jc w:val="center"/>
      </w:pPr>
      <w:r>
        <w:t>Figure 8. Evaluation and regression-gate workflow.</w:t>
      </w:r>
    </w:p>
    <w:p>
      <w:r>
        <w:t>A limitation of the current evaluation harness is that the reported final development scores follow iterative error-driven changes. The early held-out set was later merged into the development set, so the project currently lacks a permanent frozen external test split.</w:t>
      </w:r>
    </w:p>
    <w:p>
      <w:r>
        <w:br w:type="page"/>
      </w:r>
    </w:p>
    <w:p>
      <w:pPr>
        <w:pStyle w:val="Heading1"/>
        <w:keepNext/>
      </w:pPr>
      <w:r>
        <w:t>8. Results and Discussion</w:t>
      </w:r>
    </w:p>
    <w:p>
      <w:r>
        <w:t>The prototype demonstrates an extraction workflow with evidence checks and explicit review routing. After iterative fixes, deterministic type and label constraints aligned with the constructed examples. The regression gate encodes a useful safety objective: known incorrect values must not pass as verified.</w:t>
      </w:r>
    </w:p>
    <w:p>
      <w:r>
        <w:t>These numbers are controlled proof-of-concept results, not an operational accuracy claim. The final set is small and synthetic, and rules were adapted after failures were observed. The earlier held-out run is a better estimate for its frozen code snapshot, but it was not preserved as an independent test set after tuning. F1 and exact correctness measure different outcomes and should be interpreted together.</w:t>
      </w:r>
    </w:p>
    <w:p>
      <w:r>
        <w:t>Operational trade-offs remain: transformer models have notable startup, memory, storage, and first-run download costs; polling is time-limited; the review queue has no durable correction action; and JSON audit records need schema and model-version governance for long-term use.</w:t>
      </w:r>
    </w:p>
    <w:p>
      <w:r>
        <w:t>The system also has distinct failure outcomes that should be monitored separately. A failed status means an exception prevented normal pipeline completion; needs_review means processing completed but at least one audited field remained unsupported; complete means all submitted schema fields passed the configured checks. These states are more informative than a single success boolean, but they do not yet distinguish a missing optional field from an extraction failure in a dedicated user-facing reason taxonomy.</w:t>
      </w:r>
    </w:p>
    <w:p>
      <w:pPr>
        <w:pStyle w:val="Heading2"/>
        <w:keepNext/>
      </w:pPr>
      <w:r>
        <w:t>8.1 What the Results Support</w:t>
      </w:r>
    </w:p>
    <w:p>
      <w:r>
        <w:t>The benchmark supports three narrow conclusions: the final code handled the constructed examples with high measured correctness; known failure patterns were addressable through deterministic type/label rules and repair; and strict NLI added review cases without an observed precision benefit on this particular set. These observations are useful for design decisions within the benchmark’s scope.</w:t>
      </w:r>
    </w:p>
    <w:p>
      <w:pPr>
        <w:pStyle w:val="Heading2"/>
        <w:keepNext/>
      </w:pPr>
      <w:r>
        <w:t>8.2 What the Results Do Not Support</w:t>
      </w:r>
    </w:p>
    <w:p>
      <w:r>
        <w:t>The benchmark does not establish performance on real business invoices, scanned PDFs, new vendors, unseen languages, adversarial documents, or invoices with substantially different layouts. Perfect scores on a tuned synthetic dataset do not imply zero production risk. The 10-item held-out result is also statistically limited and pertains to code before later fixes.</w:t>
      </w:r>
    </w:p>
    <w:p>
      <w:pPr>
        <w:pStyle w:val="Heading2"/>
        <w:keepNext/>
      </w:pPr>
      <w:r>
        <w:t>8.3 Practical Deployment Implications</w:t>
      </w:r>
    </w:p>
    <w:p>
      <w:r>
        <w:t>A safe pilot would run in shadow mode alongside an existing process, retain human approval for financial actions, capture review outcomes, and use a separately governed holdout set. Monitoring should track verified precision, coverage, needs_review rate, extraction failure rate, latency, model version, and drift in label/layout patterns. A high review rate is not necessarily a defect if it prevents unsupported values from becoming accepted records.</w:t>
      </w:r>
    </w:p>
    <w:p>
      <w:r>
        <w:br w:type="page"/>
      </w:r>
    </w:p>
    <w:p>
      <w:pPr>
        <w:pStyle w:val="Heading1"/>
        <w:keepNext/>
      </w:pPr>
      <w:r>
        <w:t>9. Limitations, Privacy, and Risk</w:t>
      </w:r>
    </w:p>
    <w:p>
      <w:pPr>
        <w:pStyle w:val="Heading2"/>
        <w:keepNext/>
      </w:pPr>
      <w:r>
        <w:t>9.1 Technical and Evaluation Limitations</w:t>
      </w:r>
    </w:p>
    <w:p>
      <w:pPr>
        <w:pStyle w:val="ListBullet"/>
      </w:pPr>
      <w:r>
        <w:t>Native-text PDFs only; scans, OCR errors, and complex tables are unsupported.</w:t>
      </w:r>
    </w:p>
    <w:p>
      <w:pPr>
        <w:pStyle w:val="ListBullet"/>
      </w:pPr>
      <w:r>
        <w:t>Fixed labels limit transfer to unfamiliar layouts and unlabelled vendor headings.</w:t>
      </w:r>
    </w:p>
    <w:p>
      <w:pPr>
        <w:pStyle w:val="ListBullet"/>
      </w:pPr>
      <w:r>
        <w:t>One text chunk limits fine-grained retrieval in long invoices.</w:t>
      </w:r>
    </w:p>
    <w:p>
      <w:pPr>
        <w:pStyle w:val="ListBullet"/>
      </w:pPr>
      <w:r>
        <w:t>Unverified model output remains visible beside the warning and could be mistaken as accepted.</w:t>
      </w:r>
    </w:p>
    <w:p>
      <w:pPr>
        <w:pStyle w:val="ListBullet"/>
      </w:pPr>
      <w:r>
        <w:t>Reviewers cannot correct, approve, or record rationale in the current UI.</w:t>
      </w:r>
    </w:p>
    <w:p>
      <w:pPr>
        <w:pStyle w:val="ListBullet"/>
      </w:pPr>
      <w:r>
        <w:t>Duplicate detection scans records in Python rather than using indexed constraints.</w:t>
      </w:r>
    </w:p>
    <w:p>
      <w:pPr>
        <w:pStyle w:val="ListBullet"/>
      </w:pPr>
      <w:r>
        <w:t>Amount threshold has no explicit currency handling; locale-specific formats may not parse.</w:t>
      </w:r>
    </w:p>
    <w:p>
      <w:pPr>
        <w:pStyle w:val="ListBullet"/>
      </w:pPr>
      <w:r>
        <w:t>One repair round may miss values requiring deeper layout reasoning.</w:t>
      </w:r>
    </w:p>
    <w:p>
      <w:pPr>
        <w:pStyle w:val="ListBullet"/>
      </w:pPr>
      <w:r>
        <w:t>Synthetic, small evaluation data and post-failure rule tuning limit generalization claims.</w:t>
      </w:r>
    </w:p>
    <w:p>
      <w:pPr>
        <w:pStyle w:val="Heading2"/>
        <w:keepNext/>
      </w:pPr>
      <w:r>
        <w:t>9.2 Privacy and Security</w:t>
      </w:r>
    </w:p>
    <w:p>
      <w:r>
        <w:t>Invoices can contain personal, financial, and commercial information. The software identifies some person/location entities but does not redact PDFs or extracted text. Production use would require access control, secure transport, encryption at rest, retention/deletion policies, upload validation, audit governance, and a privacy review of model hosting. Environment files must not contain production credentials in source control.</w:t>
      </w:r>
    </w:p>
    <w:p>
      <w:pPr>
        <w:pStyle w:val="Heading2"/>
        <w:keepNext/>
      </w:pPr>
      <w:r>
        <w:t>9.3 Risk Interpretation</w:t>
      </w:r>
    </w:p>
    <w:p>
      <w:r>
        <w:t>DocuAudit is decision support. A complete status means configured checks accepted all schema fields; it does not guarantee invoice authenticity, legal compliance, or absence of other errors. High-impact financial actions should remain subject to human authorization and independent controls.</w:t>
      </w:r>
    </w:p>
    <w:p>
      <w:pPr>
        <w:pStyle w:val="Heading2"/>
        <w:keepNext/>
      </w:pPr>
      <w:r>
        <w:t>9.4 Threats to Validity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Threat</w:t>
            </w:r>
          </w:p>
        </w:tc>
        <w:tc>
          <w:tcPr>
            <w:tcW w:type="dxa" w:w="3264"/>
            <w:shd w:fill="17365D"/>
          </w:tcPr>
          <w:p>
            <w:r>
              <w:rPr>
                <w:b/>
                <w:color w:val="FFFFFF"/>
                <w:sz w:val="24"/>
              </w:rPr>
              <w:t>Potential effect</w:t>
            </w:r>
          </w:p>
        </w:tc>
        <w:tc>
          <w:tcPr>
            <w:tcW w:type="dxa" w:w="3264"/>
            <w:shd w:fill="17365D"/>
          </w:tcPr>
          <w:p>
            <w:r>
              <w:rPr>
                <w:b/>
                <w:color w:val="FFFFFF"/>
                <w:sz w:val="24"/>
              </w:rPr>
              <w:t>Mitigation</w:t>
            </w:r>
          </w:p>
        </w:tc>
      </w:tr>
      <w:tr>
        <w:tc>
          <w:tcPr>
            <w:tcW w:type="dxa" w:w="3264"/>
            <w:vAlign w:val="center"/>
          </w:tcPr>
          <w:p>
            <w:pPr>
              <w:spacing w:line="276" w:lineRule="auto"/>
            </w:pPr>
            <w:r>
              <w:rPr>
                <w:sz w:val="24"/>
              </w:rPr>
              <w:t>Synthetic data</w:t>
            </w:r>
          </w:p>
        </w:tc>
        <w:tc>
          <w:tcPr>
            <w:tcW w:type="dxa" w:w="3264"/>
            <w:vAlign w:val="center"/>
          </w:tcPr>
          <w:p>
            <w:pPr>
              <w:spacing w:line="276" w:lineRule="auto"/>
            </w:pPr>
            <w:r>
              <w:rPr>
                <w:sz w:val="24"/>
              </w:rPr>
              <w:t>May underrepresent real invoice diversity.</w:t>
            </w:r>
          </w:p>
        </w:tc>
        <w:tc>
          <w:tcPr>
            <w:tcW w:type="dxa" w:w="3264"/>
            <w:vAlign w:val="center"/>
          </w:tcPr>
          <w:p>
            <w:pPr>
              <w:spacing w:line="276" w:lineRule="auto"/>
            </w:pPr>
            <w:r>
              <w:rPr>
                <w:sz w:val="24"/>
              </w:rPr>
              <w:t>Collect independent, consented, representative examples.</w:t>
            </w:r>
          </w:p>
        </w:tc>
      </w:tr>
      <w:tr>
        <w:tc>
          <w:tcPr>
            <w:tcW w:type="dxa" w:w="3264"/>
            <w:vAlign w:val="center"/>
            <w:shd w:fill="EAF0F6"/>
          </w:tcPr>
          <w:p>
            <w:pPr>
              <w:spacing w:line="276" w:lineRule="auto"/>
            </w:pPr>
            <w:r>
              <w:rPr>
                <w:sz w:val="24"/>
              </w:rPr>
              <w:t>Rule tuning on observed failures</w:t>
            </w:r>
          </w:p>
        </w:tc>
        <w:tc>
          <w:tcPr>
            <w:tcW w:type="dxa" w:w="3264"/>
            <w:vAlign w:val="center"/>
            <w:shd w:fill="EAF0F6"/>
          </w:tcPr>
          <w:p>
            <w:pPr>
              <w:spacing w:line="276" w:lineRule="auto"/>
            </w:pPr>
            <w:r>
              <w:rPr>
                <w:sz w:val="24"/>
              </w:rPr>
              <w:t>Inflates development scores.</w:t>
            </w:r>
          </w:p>
        </w:tc>
        <w:tc>
          <w:tcPr>
            <w:tcW w:type="dxa" w:w="3264"/>
            <w:vAlign w:val="center"/>
            <w:shd w:fill="EAF0F6"/>
          </w:tcPr>
          <w:p>
            <w:pPr>
              <w:spacing w:line="276" w:lineRule="auto"/>
            </w:pPr>
            <w:r>
              <w:rPr>
                <w:sz w:val="24"/>
              </w:rPr>
              <w:t>Freeze a hidden holdout before each iteration.</w:t>
            </w:r>
          </w:p>
        </w:tc>
      </w:tr>
      <w:tr>
        <w:tc>
          <w:tcPr>
            <w:tcW w:type="dxa" w:w="3264"/>
            <w:vAlign w:val="center"/>
          </w:tcPr>
          <w:p>
            <w:pPr>
              <w:spacing w:line="276" w:lineRule="auto"/>
            </w:pPr>
            <w:r>
              <w:rPr>
                <w:sz w:val="24"/>
              </w:rPr>
              <w:t>Small sample size</w:t>
            </w:r>
          </w:p>
        </w:tc>
        <w:tc>
          <w:tcPr>
            <w:tcW w:type="dxa" w:w="3264"/>
            <w:vAlign w:val="center"/>
          </w:tcPr>
          <w:p>
            <w:pPr>
              <w:spacing w:line="276" w:lineRule="auto"/>
            </w:pPr>
            <w:r>
              <w:rPr>
                <w:sz w:val="24"/>
              </w:rPr>
              <w:t>Makes estimates sensitive to individual documents.</w:t>
            </w:r>
          </w:p>
        </w:tc>
        <w:tc>
          <w:tcPr>
            <w:tcW w:type="dxa" w:w="3264"/>
            <w:vAlign w:val="center"/>
          </w:tcPr>
          <w:p>
            <w:pPr>
              <w:spacing w:line="276" w:lineRule="auto"/>
            </w:pPr>
            <w:r>
              <w:rPr>
                <w:sz w:val="24"/>
              </w:rPr>
              <w:t>Report confidence intervals and evaluate larger samples.</w:t>
            </w:r>
          </w:p>
        </w:tc>
      </w:tr>
      <w:tr>
        <w:tc>
          <w:tcPr>
            <w:tcW w:type="dxa" w:w="3264"/>
            <w:vAlign w:val="center"/>
            <w:shd w:fill="EAF0F6"/>
          </w:tcPr>
          <w:p>
            <w:pPr>
              <w:spacing w:line="276" w:lineRule="auto"/>
            </w:pPr>
            <w:r>
              <w:rPr>
                <w:sz w:val="24"/>
              </w:rPr>
              <w:t>Single language/model family</w:t>
            </w:r>
          </w:p>
        </w:tc>
        <w:tc>
          <w:tcPr>
            <w:tcW w:type="dxa" w:w="3264"/>
            <w:vAlign w:val="center"/>
            <w:shd w:fill="EAF0F6"/>
          </w:tcPr>
          <w:p>
            <w:pPr>
              <w:spacing w:line="276" w:lineRule="auto"/>
            </w:pPr>
            <w:r>
              <w:rPr>
                <w:sz w:val="24"/>
              </w:rPr>
              <w:t>Misses language and model-specific error modes.</w:t>
            </w:r>
          </w:p>
        </w:tc>
        <w:tc>
          <w:tcPr>
            <w:tcW w:type="dxa" w:w="3264"/>
            <w:vAlign w:val="center"/>
            <w:shd w:fill="EAF0F6"/>
          </w:tcPr>
          <w:p>
            <w:pPr>
              <w:spacing w:line="276" w:lineRule="auto"/>
            </w:pPr>
            <w:r>
              <w:rPr>
                <w:sz w:val="24"/>
              </w:rPr>
              <w:t>Test multilingual and alternative model baselines.</w:t>
            </w:r>
          </w:p>
        </w:tc>
      </w:tr>
      <w:tr>
        <w:tc>
          <w:tcPr>
            <w:tcW w:type="dxa" w:w="3264"/>
            <w:vAlign w:val="center"/>
          </w:tcPr>
          <w:p>
            <w:pPr>
              <w:spacing w:line="276" w:lineRule="auto"/>
            </w:pPr>
            <w:r>
              <w:rPr>
                <w:sz w:val="24"/>
              </w:rPr>
              <w:t>Metric normalization</w:t>
            </w:r>
          </w:p>
        </w:tc>
        <w:tc>
          <w:tcPr>
            <w:tcW w:type="dxa" w:w="3264"/>
            <w:vAlign w:val="center"/>
          </w:tcPr>
          <w:p>
            <w:pPr>
              <w:spacing w:line="276" w:lineRule="auto"/>
            </w:pPr>
            <w:r>
              <w:rPr>
                <w:sz w:val="24"/>
              </w:rPr>
              <w:t>Token similarity may hide formatting or semantic differences.</w:t>
            </w:r>
          </w:p>
        </w:tc>
        <w:tc>
          <w:tcPr>
            <w:tcW w:type="dxa" w:w="3264"/>
            <w:vAlign w:val="center"/>
          </w:tcPr>
          <w:p>
            <w:pPr>
              <w:spacing w:line="276" w:lineRule="auto"/>
            </w:pPr>
            <w:r>
              <w:rPr>
                <w:sz w:val="24"/>
              </w:rPr>
              <w:t>Add exact normalized-field checks and field-specific parsers.</w:t>
            </w:r>
          </w:p>
        </w:tc>
      </w:tr>
      <w:tr>
        <w:tc>
          <w:tcPr>
            <w:tcW w:type="dxa" w:w="3264"/>
            <w:vAlign w:val="center"/>
            <w:shd w:fill="EAF0F6"/>
          </w:tcPr>
          <w:p>
            <w:pPr>
              <w:spacing w:line="276" w:lineRule="auto"/>
            </w:pPr>
            <w:r>
              <w:rPr>
                <w:sz w:val="24"/>
              </w:rPr>
              <w:t>Model output and rule versions</w:t>
            </w:r>
          </w:p>
        </w:tc>
        <w:tc>
          <w:tcPr>
            <w:tcW w:type="dxa" w:w="3264"/>
            <w:vAlign w:val="center"/>
            <w:shd w:fill="EAF0F6"/>
          </w:tcPr>
          <w:p>
            <w:pPr>
              <w:spacing w:line="276" w:lineRule="auto"/>
            </w:pPr>
            <w:r>
              <w:rPr>
                <w:sz w:val="24"/>
              </w:rPr>
              <w:t>Results may not be reproducible as dependencies evolve.</w:t>
            </w:r>
          </w:p>
        </w:tc>
        <w:tc>
          <w:tcPr>
            <w:tcW w:type="dxa" w:w="3264"/>
            <w:vAlign w:val="center"/>
            <w:shd w:fill="EAF0F6"/>
          </w:tcPr>
          <w:p>
            <w:pPr>
              <w:spacing w:line="276" w:lineRule="auto"/>
            </w:pPr>
            <w:r>
              <w:rPr>
                <w:sz w:val="24"/>
              </w:rPr>
              <w:t>Pin artifacts, log versions, and preserve evaluation snapshots.</w:t>
            </w:r>
          </w:p>
        </w:tc>
      </w:tr>
    </w:tbl>
    <w:p>
      <w:pPr>
        <w:pStyle w:val="Caption"/>
        <w:keepLines/>
        <w:jc w:val="center"/>
      </w:pPr>
      <w:r>
        <w:t>Table 11. Threats to Validity</w:t>
      </w:r>
    </w:p>
    <w:p/>
    <w:p>
      <w:r>
        <w:br w:type="page"/>
      </w:r>
    </w:p>
    <w:p>
      <w:pPr>
        <w:pStyle w:val="Heading1"/>
        <w:keepNext/>
      </w:pPr>
      <w:r>
        <w:t>10. Conclusion and Future Work</w:t>
      </w:r>
    </w:p>
    <w:p>
      <w:r>
        <w:t>DocuAudit implements a prototype that extracts invoice fields from native-text PDFs and attaches an evidence-based audit decision to each value. It separates answer generation from verification, adds compliance rules and one bounded repair stage, and routes unsupported fields to human review. Its reported results are strong on its constructed dataset, with explicit caveats that they do not establish production accuracy.</w:t>
      </w:r>
    </w:p>
    <w:p>
      <w:r>
        <w:t>Recommended next steps:</w:t>
      </w:r>
    </w:p>
    <w:p>
      <w:pPr>
        <w:pStyle w:val="ListNumber"/>
      </w:pPr>
      <w:r>
        <w:t>Create a larger independently labelled evaluation set with a frozen test partition and diverse vendors, currencies, layouts, and missing-field cases.</w:t>
      </w:r>
    </w:p>
    <w:p>
      <w:pPr>
        <w:pStyle w:val="ListNumber"/>
      </w:pPr>
      <w:r>
        <w:t>Add OCR and layout-aware parsing with page and bounding-box provenance.</w:t>
      </w:r>
    </w:p>
    <w:p>
      <w:pPr>
        <w:pStyle w:val="ListNumber"/>
      </w:pPr>
      <w:r>
        <w:t>Build a reviewer workflow for corrections, rationale, approval, and error analysis.</w:t>
      </w:r>
    </w:p>
    <w:p>
      <w:pPr>
        <w:pStyle w:val="ListNumber"/>
      </w:pPr>
      <w:r>
        <w:t>Record evidence location, model version, and rule version for auditability.</w:t>
      </w:r>
    </w:p>
    <w:p>
      <w:pPr>
        <w:pStyle w:val="ListNumber"/>
      </w:pPr>
      <w:r>
        <w:t>Make amount parsing and policies currency-aware and index duplicate checks.</w:t>
      </w:r>
    </w:p>
    <w:p>
      <w:pPr>
        <w:pStyle w:val="ListNumber"/>
      </w:pPr>
      <w:r>
        <w:t>Add upload security, authentication, retention controls, monitoring, and production deployment guidance.</w:t>
      </w:r>
    </w:p>
    <w:p>
      <w:pPr>
        <w:pStyle w:val="ListNumber"/>
      </w:pPr>
      <w:r>
        <w:t>Benchmark latency, memory, throughput, and operating cost on defined hardware.</w:t>
      </w:r>
    </w:p>
    <w:p>
      <w:pPr>
        <w:pStyle w:val="Heading2"/>
        <w:keepNext/>
      </w:pPr>
      <w:r>
        <w:t>10.1 Prioritized Development Roadmap</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Priority</w:t>
            </w:r>
          </w:p>
        </w:tc>
        <w:tc>
          <w:tcPr>
            <w:tcW w:type="dxa" w:w="2448"/>
            <w:shd w:fill="17365D"/>
          </w:tcPr>
          <w:p>
            <w:r>
              <w:rPr>
                <w:b/>
                <w:color w:val="FFFFFF"/>
                <w:sz w:val="24"/>
              </w:rPr>
              <w:t>Work package</w:t>
            </w:r>
          </w:p>
        </w:tc>
        <w:tc>
          <w:tcPr>
            <w:tcW w:type="dxa" w:w="2448"/>
            <w:shd w:fill="17365D"/>
          </w:tcPr>
          <w:p>
            <w:r>
              <w:rPr>
                <w:b/>
                <w:color w:val="FFFFFF"/>
                <w:sz w:val="24"/>
              </w:rPr>
              <w:t>Reason for priority</w:t>
            </w:r>
          </w:p>
        </w:tc>
        <w:tc>
          <w:tcPr>
            <w:tcW w:type="dxa" w:w="2448"/>
            <w:shd w:fill="17365D"/>
          </w:tcPr>
          <w:p>
            <w:r>
              <w:rPr>
                <w:b/>
                <w:color w:val="FFFFFF"/>
                <w:sz w:val="24"/>
              </w:rPr>
              <w:t>Completion evidence</w:t>
            </w:r>
          </w:p>
        </w:tc>
      </w:tr>
      <w:tr>
        <w:tc>
          <w:tcPr>
            <w:tcW w:type="dxa" w:w="2448"/>
            <w:vAlign w:val="center"/>
          </w:tcPr>
          <w:p>
            <w:pPr>
              <w:spacing w:line="276" w:lineRule="auto"/>
            </w:pPr>
            <w:r>
              <w:rPr>
                <w:sz w:val="24"/>
              </w:rPr>
              <w:t>1</w:t>
            </w:r>
          </w:p>
        </w:tc>
        <w:tc>
          <w:tcPr>
            <w:tcW w:type="dxa" w:w="2448"/>
            <w:vAlign w:val="center"/>
          </w:tcPr>
          <w:p>
            <w:pPr>
              <w:spacing w:line="276" w:lineRule="auto"/>
            </w:pPr>
            <w:r>
              <w:rPr>
                <w:sz w:val="24"/>
              </w:rPr>
              <w:t>Independent evaluation set</w:t>
            </w:r>
          </w:p>
        </w:tc>
        <w:tc>
          <w:tcPr>
            <w:tcW w:type="dxa" w:w="2448"/>
            <w:vAlign w:val="center"/>
          </w:tcPr>
          <w:p>
            <w:pPr>
              <w:spacing w:line="276" w:lineRule="auto"/>
            </w:pPr>
            <w:r>
              <w:rPr>
                <w:sz w:val="24"/>
              </w:rPr>
              <w:t>Closes the largest validity gap.</w:t>
            </w:r>
          </w:p>
        </w:tc>
        <w:tc>
          <w:tcPr>
            <w:tcW w:type="dxa" w:w="2448"/>
            <w:vAlign w:val="center"/>
          </w:tcPr>
          <w:p>
            <w:pPr>
              <w:spacing w:line="276" w:lineRule="auto"/>
            </w:pPr>
            <w:r>
              <w:rPr>
                <w:sz w:val="24"/>
              </w:rPr>
              <w:t>Frozen test split, annotation guide, per-field report.</w:t>
            </w:r>
          </w:p>
        </w:tc>
      </w:tr>
      <w:tr>
        <w:tc>
          <w:tcPr>
            <w:tcW w:type="dxa" w:w="2448"/>
            <w:vAlign w:val="center"/>
            <w:shd w:fill="EAF0F6"/>
          </w:tcPr>
          <w:p>
            <w:pPr>
              <w:spacing w:line="276" w:lineRule="auto"/>
            </w:pPr>
            <w:r>
              <w:rPr>
                <w:sz w:val="24"/>
              </w:rPr>
              <w:t>2</w:t>
            </w:r>
          </w:p>
        </w:tc>
        <w:tc>
          <w:tcPr>
            <w:tcW w:type="dxa" w:w="2448"/>
            <w:vAlign w:val="center"/>
            <w:shd w:fill="EAF0F6"/>
          </w:tcPr>
          <w:p>
            <w:pPr>
              <w:spacing w:line="276" w:lineRule="auto"/>
            </w:pPr>
            <w:r>
              <w:rPr>
                <w:sz w:val="24"/>
              </w:rPr>
              <w:t>Human review and correction workflow</w:t>
            </w:r>
          </w:p>
        </w:tc>
        <w:tc>
          <w:tcPr>
            <w:tcW w:type="dxa" w:w="2448"/>
            <w:vAlign w:val="center"/>
            <w:shd w:fill="EAF0F6"/>
          </w:tcPr>
          <w:p>
            <w:pPr>
              <w:spacing w:line="276" w:lineRule="auto"/>
            </w:pPr>
            <w:r>
              <w:rPr>
                <w:sz w:val="24"/>
              </w:rPr>
              <w:t>Makes needs_review actionable.</w:t>
            </w:r>
          </w:p>
        </w:tc>
        <w:tc>
          <w:tcPr>
            <w:tcW w:type="dxa" w:w="2448"/>
            <w:vAlign w:val="center"/>
            <w:shd w:fill="EAF0F6"/>
          </w:tcPr>
          <w:p>
            <w:pPr>
              <w:spacing w:line="276" w:lineRule="auto"/>
            </w:pPr>
            <w:r>
              <w:rPr>
                <w:sz w:val="24"/>
              </w:rPr>
              <w:t>Reviewer can edit, approve, and record reason.</w:t>
            </w:r>
          </w:p>
        </w:tc>
      </w:tr>
      <w:tr>
        <w:tc>
          <w:tcPr>
            <w:tcW w:type="dxa" w:w="2448"/>
            <w:vAlign w:val="center"/>
          </w:tcPr>
          <w:p>
            <w:pPr>
              <w:spacing w:line="276" w:lineRule="auto"/>
            </w:pPr>
            <w:r>
              <w:rPr>
                <w:sz w:val="24"/>
              </w:rPr>
              <w:t>3</w:t>
            </w:r>
          </w:p>
        </w:tc>
        <w:tc>
          <w:tcPr>
            <w:tcW w:type="dxa" w:w="2448"/>
            <w:vAlign w:val="center"/>
          </w:tcPr>
          <w:p>
            <w:pPr>
              <w:spacing w:line="276" w:lineRule="auto"/>
            </w:pPr>
            <w:r>
              <w:rPr>
                <w:sz w:val="24"/>
              </w:rPr>
              <w:t>Stronger evidence provenance</w:t>
            </w:r>
          </w:p>
        </w:tc>
        <w:tc>
          <w:tcPr>
            <w:tcW w:type="dxa" w:w="2448"/>
            <w:vAlign w:val="center"/>
          </w:tcPr>
          <w:p>
            <w:pPr>
              <w:spacing w:line="276" w:lineRule="auto"/>
            </w:pPr>
            <w:r>
              <w:rPr>
                <w:sz w:val="24"/>
              </w:rPr>
              <w:t>Supports verification and audit operations.</w:t>
            </w:r>
          </w:p>
        </w:tc>
        <w:tc>
          <w:tcPr>
            <w:tcW w:type="dxa" w:w="2448"/>
            <w:vAlign w:val="center"/>
          </w:tcPr>
          <w:p>
            <w:pPr>
              <w:spacing w:line="276" w:lineRule="auto"/>
            </w:pPr>
            <w:r>
              <w:rPr>
                <w:sz w:val="24"/>
              </w:rPr>
              <w:t>Page and region evidence linked to source PDF.</w:t>
            </w:r>
          </w:p>
        </w:tc>
      </w:tr>
      <w:tr>
        <w:tc>
          <w:tcPr>
            <w:tcW w:type="dxa" w:w="2448"/>
            <w:vAlign w:val="center"/>
            <w:shd w:fill="EAF0F6"/>
          </w:tcPr>
          <w:p>
            <w:pPr>
              <w:spacing w:line="276" w:lineRule="auto"/>
            </w:pPr>
            <w:r>
              <w:rPr>
                <w:sz w:val="24"/>
              </w:rPr>
              <w:t>4</w:t>
            </w:r>
          </w:p>
        </w:tc>
        <w:tc>
          <w:tcPr>
            <w:tcW w:type="dxa" w:w="2448"/>
            <w:vAlign w:val="center"/>
            <w:shd w:fill="EAF0F6"/>
          </w:tcPr>
          <w:p>
            <w:pPr>
              <w:spacing w:line="276" w:lineRule="auto"/>
            </w:pPr>
            <w:r>
              <w:rPr>
                <w:sz w:val="24"/>
              </w:rPr>
              <w:t>Security and data governance</w:t>
            </w:r>
          </w:p>
        </w:tc>
        <w:tc>
          <w:tcPr>
            <w:tcW w:type="dxa" w:w="2448"/>
            <w:vAlign w:val="center"/>
            <w:shd w:fill="EAF0F6"/>
          </w:tcPr>
          <w:p>
            <w:pPr>
              <w:spacing w:line="276" w:lineRule="auto"/>
            </w:pPr>
            <w:r>
              <w:rPr>
                <w:sz w:val="24"/>
              </w:rPr>
              <w:t>Needed before handling production financial documents.</w:t>
            </w:r>
          </w:p>
        </w:tc>
        <w:tc>
          <w:tcPr>
            <w:tcW w:type="dxa" w:w="2448"/>
            <w:vAlign w:val="center"/>
            <w:shd w:fill="EAF0F6"/>
          </w:tcPr>
          <w:p>
            <w:pPr>
              <w:spacing w:line="276" w:lineRule="auto"/>
            </w:pPr>
            <w:r>
              <w:rPr>
                <w:sz w:val="24"/>
              </w:rPr>
              <w:t>Access controls, retention, deletion, secure configuration.</w:t>
            </w:r>
          </w:p>
        </w:tc>
      </w:tr>
      <w:tr>
        <w:tc>
          <w:tcPr>
            <w:tcW w:type="dxa" w:w="2448"/>
            <w:vAlign w:val="center"/>
          </w:tcPr>
          <w:p>
            <w:pPr>
              <w:spacing w:line="276" w:lineRule="auto"/>
            </w:pPr>
            <w:r>
              <w:rPr>
                <w:sz w:val="24"/>
              </w:rPr>
              <w:t>5</w:t>
            </w:r>
          </w:p>
        </w:tc>
        <w:tc>
          <w:tcPr>
            <w:tcW w:type="dxa" w:w="2448"/>
            <w:vAlign w:val="center"/>
          </w:tcPr>
          <w:p>
            <w:pPr>
              <w:spacing w:line="276" w:lineRule="auto"/>
            </w:pPr>
            <w:r>
              <w:rPr>
                <w:sz w:val="24"/>
              </w:rPr>
              <w:t>OCR, layout and currency support</w:t>
            </w:r>
          </w:p>
        </w:tc>
        <w:tc>
          <w:tcPr>
            <w:tcW w:type="dxa" w:w="2448"/>
            <w:vAlign w:val="center"/>
          </w:tcPr>
          <w:p>
            <w:pPr>
              <w:spacing w:line="276" w:lineRule="auto"/>
            </w:pPr>
            <w:r>
              <w:rPr>
                <w:sz w:val="24"/>
              </w:rPr>
              <w:t>Broadens document coverage.</w:t>
            </w:r>
          </w:p>
        </w:tc>
        <w:tc>
          <w:tcPr>
            <w:tcW w:type="dxa" w:w="2448"/>
            <w:vAlign w:val="center"/>
          </w:tcPr>
          <w:p>
            <w:pPr>
              <w:spacing w:line="276" w:lineRule="auto"/>
            </w:pPr>
            <w:r>
              <w:rPr>
                <w:sz w:val="24"/>
              </w:rPr>
              <w:t>Scanned and table-heavy test suite with currency-aware parsing.</w:t>
            </w:r>
          </w:p>
        </w:tc>
      </w:tr>
      <w:tr>
        <w:tc>
          <w:tcPr>
            <w:tcW w:type="dxa" w:w="2448"/>
            <w:vAlign w:val="center"/>
            <w:shd w:fill="EAF0F6"/>
          </w:tcPr>
          <w:p>
            <w:pPr>
              <w:spacing w:line="276" w:lineRule="auto"/>
            </w:pPr>
            <w:r>
              <w:rPr>
                <w:sz w:val="24"/>
              </w:rPr>
              <w:t>6</w:t>
            </w:r>
          </w:p>
        </w:tc>
        <w:tc>
          <w:tcPr>
            <w:tcW w:type="dxa" w:w="2448"/>
            <w:vAlign w:val="center"/>
            <w:shd w:fill="EAF0F6"/>
          </w:tcPr>
          <w:p>
            <w:pPr>
              <w:spacing w:line="276" w:lineRule="auto"/>
            </w:pPr>
            <w:r>
              <w:rPr>
                <w:sz w:val="24"/>
              </w:rPr>
              <w:t>Performance and scale work</w:t>
            </w:r>
          </w:p>
        </w:tc>
        <w:tc>
          <w:tcPr>
            <w:tcW w:type="dxa" w:w="2448"/>
            <w:vAlign w:val="center"/>
            <w:shd w:fill="EAF0F6"/>
          </w:tcPr>
          <w:p>
            <w:pPr>
              <w:spacing w:line="276" w:lineRule="auto"/>
            </w:pPr>
            <w:r>
              <w:rPr>
                <w:sz w:val="24"/>
              </w:rPr>
              <w:t>Supports throughput and operational planning.</w:t>
            </w:r>
          </w:p>
        </w:tc>
        <w:tc>
          <w:tcPr>
            <w:tcW w:type="dxa" w:w="2448"/>
            <w:vAlign w:val="center"/>
            <w:shd w:fill="EAF0F6"/>
          </w:tcPr>
          <w:p>
            <w:pPr>
              <w:spacing w:line="276" w:lineRule="auto"/>
            </w:pPr>
            <w:r>
              <w:rPr>
                <w:sz w:val="24"/>
              </w:rPr>
              <w:t>Measured latency, resource profile, indexed duplicate lookup.</w:t>
            </w:r>
          </w:p>
        </w:tc>
      </w:tr>
    </w:tbl>
    <w:p>
      <w:pPr>
        <w:pStyle w:val="Caption"/>
        <w:keepLines/>
        <w:jc w:val="center"/>
      </w:pPr>
      <w:r>
        <w:t>Table 12. Prioritized Development Roadmap</w:t>
      </w:r>
    </w:p>
    <w:p/>
    <w:p>
      <w:r>
        <w:br w:type="page"/>
      </w:r>
    </w:p>
    <w:p>
      <w:pPr>
        <w:pStyle w:val="Heading1"/>
        <w:keepNext/>
      </w:pPr>
      <w:r>
        <w:t>11. Use Cases and User Journeys</w:t>
      </w:r>
    </w:p>
    <w:p>
      <w:r>
        <w:t>This chapter describes how the existing prototype is intended to be used from the perspective of an uploader, a reviewer, and a service operator. The use cases are derived from the current Streamlit interface, API routes, asynchronous worker, and persisted status model. They document the behavior implemented by the repository and identify where the interface stops short of a full business approval process.</w:t>
      </w:r>
    </w:p>
    <w:p>
      <w:pPr>
        <w:pStyle w:val="Heading2"/>
        <w:keepNext/>
      </w:pPr>
      <w:r>
        <w:t>11.1 Actors and System Boundary</w:t>
      </w:r>
    </w:p>
    <w:p>
      <w:r>
        <w:t>The primary actor is a user who selects an invoice PDF, submits it, and later inspects the extracted fields and audit results. The reviewer is currently the same UI user: the application exposes documents requiring attention, but it does not provide a separate permission role, correction form, approval action, or reason code. The operator is responsible for running the Docker Compose services, configuring database and broker URLs, managing model downloads and persistent volumes, and reviewing service logs when a task fails. These roles are conceptual responsibilities; the current code does not implement role-based access control.</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Actor / use case</w:t>
            </w:r>
          </w:p>
        </w:tc>
        <w:tc>
          <w:tcPr>
            <w:tcW w:type="dxa" w:w="2448"/>
            <w:shd w:fill="17365D"/>
          </w:tcPr>
          <w:p>
            <w:r>
              <w:rPr>
                <w:b/>
                <w:color w:val="FFFFFF"/>
                <w:sz w:val="24"/>
              </w:rPr>
              <w:t>Initiating event</w:t>
            </w:r>
          </w:p>
        </w:tc>
        <w:tc>
          <w:tcPr>
            <w:tcW w:type="dxa" w:w="2448"/>
            <w:shd w:fill="17365D"/>
          </w:tcPr>
          <w:p>
            <w:r>
              <w:rPr>
                <w:b/>
                <w:color w:val="FFFFFF"/>
                <w:sz w:val="24"/>
              </w:rPr>
              <w:t>System response</w:t>
            </w:r>
          </w:p>
        </w:tc>
        <w:tc>
          <w:tcPr>
            <w:tcW w:type="dxa" w:w="2448"/>
            <w:shd w:fill="17365D"/>
          </w:tcPr>
          <w:p>
            <w:r>
              <w:rPr>
                <w:b/>
                <w:color w:val="FFFFFF"/>
                <w:sz w:val="24"/>
              </w:rPr>
              <w:t>Completion condition</w:t>
            </w:r>
          </w:p>
        </w:tc>
      </w:tr>
      <w:tr>
        <w:tc>
          <w:tcPr>
            <w:tcW w:type="dxa" w:w="2448"/>
            <w:vAlign w:val="center"/>
          </w:tcPr>
          <w:p>
            <w:pPr>
              <w:spacing w:line="276" w:lineRule="auto"/>
            </w:pPr>
            <w:r>
              <w:rPr>
                <w:sz w:val="24"/>
              </w:rPr>
              <w:t>Uploader: submit document</w:t>
            </w:r>
          </w:p>
        </w:tc>
        <w:tc>
          <w:tcPr>
            <w:tcW w:type="dxa" w:w="2448"/>
            <w:vAlign w:val="center"/>
          </w:tcPr>
          <w:p>
            <w:pPr>
              <w:spacing w:line="276" w:lineRule="auto"/>
            </w:pPr>
            <w:r>
              <w:rPr>
                <w:sz w:val="24"/>
              </w:rPr>
              <w:t>Selects a PDF and presses upload.</w:t>
            </w:r>
          </w:p>
        </w:tc>
        <w:tc>
          <w:tcPr>
            <w:tcW w:type="dxa" w:w="2448"/>
            <w:vAlign w:val="center"/>
          </w:tcPr>
          <w:p>
            <w:pPr>
              <w:spacing w:line="276" w:lineRule="auto"/>
            </w:pPr>
            <w:r>
              <w:rPr>
                <w:sz w:val="24"/>
              </w:rPr>
              <w:t>Creates a document record, stores bytes, enqueues a Celery task, returns an ID and pending status.</w:t>
            </w:r>
          </w:p>
        </w:tc>
        <w:tc>
          <w:tcPr>
            <w:tcW w:type="dxa" w:w="2448"/>
            <w:vAlign w:val="center"/>
          </w:tcPr>
          <w:p>
            <w:pPr>
              <w:spacing w:line="276" w:lineRule="auto"/>
            </w:pPr>
            <w:r>
              <w:rPr>
                <w:sz w:val="24"/>
              </w:rPr>
              <w:t>The user receives an ID that can be polled.</w:t>
            </w:r>
          </w:p>
        </w:tc>
      </w:tr>
      <w:tr>
        <w:tc>
          <w:tcPr>
            <w:tcW w:type="dxa" w:w="2448"/>
            <w:vAlign w:val="center"/>
            <w:shd w:fill="EAF0F6"/>
          </w:tcPr>
          <w:p>
            <w:pPr>
              <w:spacing w:line="276" w:lineRule="auto"/>
            </w:pPr>
            <w:r>
              <w:rPr>
                <w:sz w:val="24"/>
              </w:rPr>
              <w:t>Uploader: inspect progress</w:t>
            </w:r>
          </w:p>
        </w:tc>
        <w:tc>
          <w:tcPr>
            <w:tcW w:type="dxa" w:w="2448"/>
            <w:vAlign w:val="center"/>
            <w:shd w:fill="EAF0F6"/>
          </w:tcPr>
          <w:p>
            <w:pPr>
              <w:spacing w:line="276" w:lineRule="auto"/>
            </w:pPr>
            <w:r>
              <w:rPr>
                <w:sz w:val="24"/>
              </w:rPr>
              <w:t>Opens or refreshes a document view.</w:t>
            </w:r>
          </w:p>
        </w:tc>
        <w:tc>
          <w:tcPr>
            <w:tcW w:type="dxa" w:w="2448"/>
            <w:vAlign w:val="center"/>
            <w:shd w:fill="EAF0F6"/>
          </w:tcPr>
          <w:p>
            <w:pPr>
              <w:spacing w:line="276" w:lineRule="auto"/>
            </w:pPr>
            <w:r>
              <w:rPr>
                <w:sz w:val="24"/>
              </w:rPr>
              <w:t>The UI requests status and displays pending, processing, complete, needs_review, or failed.</w:t>
            </w:r>
          </w:p>
        </w:tc>
        <w:tc>
          <w:tcPr>
            <w:tcW w:type="dxa" w:w="2448"/>
            <w:vAlign w:val="center"/>
            <w:shd w:fill="EAF0F6"/>
          </w:tcPr>
          <w:p>
            <w:pPr>
              <w:spacing w:line="276" w:lineRule="auto"/>
            </w:pPr>
            <w:r>
              <w:rPr>
                <w:sz w:val="24"/>
              </w:rPr>
              <w:t>A terminal state or the UI polling limit is reached.</w:t>
            </w:r>
          </w:p>
        </w:tc>
      </w:tr>
      <w:tr>
        <w:tc>
          <w:tcPr>
            <w:tcW w:type="dxa" w:w="2448"/>
            <w:vAlign w:val="center"/>
          </w:tcPr>
          <w:p>
            <w:pPr>
              <w:spacing w:line="276" w:lineRule="auto"/>
            </w:pPr>
            <w:r>
              <w:rPr>
                <w:sz w:val="24"/>
              </w:rPr>
              <w:t>Reviewer: inspect uncertain result</w:t>
            </w:r>
          </w:p>
        </w:tc>
        <w:tc>
          <w:tcPr>
            <w:tcW w:type="dxa" w:w="2448"/>
            <w:vAlign w:val="center"/>
          </w:tcPr>
          <w:p>
            <w:pPr>
              <w:spacing w:line="276" w:lineRule="auto"/>
            </w:pPr>
            <w:r>
              <w:rPr>
                <w:sz w:val="24"/>
              </w:rPr>
              <w:t>Selects a needs_review document.</w:t>
            </w:r>
          </w:p>
        </w:tc>
        <w:tc>
          <w:tcPr>
            <w:tcW w:type="dxa" w:w="2448"/>
            <w:vAlign w:val="center"/>
          </w:tcPr>
          <w:p>
            <w:pPr>
              <w:spacing w:line="276" w:lineRule="auto"/>
            </w:pPr>
            <w:r>
              <w:rPr>
                <w:sz w:val="24"/>
              </w:rPr>
              <w:t>Shows extracted fields, flags, audit diagnostics, and any available evidence.</w:t>
            </w:r>
          </w:p>
        </w:tc>
        <w:tc>
          <w:tcPr>
            <w:tcW w:type="dxa" w:w="2448"/>
            <w:vAlign w:val="center"/>
          </w:tcPr>
          <w:p>
            <w:pPr>
              <w:spacing w:line="276" w:lineRule="auto"/>
            </w:pPr>
            <w:r>
              <w:rPr>
                <w:sz w:val="24"/>
              </w:rPr>
              <w:t>The reviewer understands that at least one field remains unsupported.</w:t>
            </w:r>
          </w:p>
        </w:tc>
      </w:tr>
      <w:tr>
        <w:tc>
          <w:tcPr>
            <w:tcW w:type="dxa" w:w="2448"/>
            <w:vAlign w:val="center"/>
            <w:shd w:fill="EAF0F6"/>
          </w:tcPr>
          <w:p>
            <w:pPr>
              <w:spacing w:line="276" w:lineRule="auto"/>
            </w:pPr>
            <w:r>
              <w:rPr>
                <w:sz w:val="24"/>
              </w:rPr>
              <w:t>Operator: recover service</w:t>
            </w:r>
          </w:p>
        </w:tc>
        <w:tc>
          <w:tcPr>
            <w:tcW w:type="dxa" w:w="2448"/>
            <w:vAlign w:val="center"/>
            <w:shd w:fill="EAF0F6"/>
          </w:tcPr>
          <w:p>
            <w:pPr>
              <w:spacing w:line="276" w:lineRule="auto"/>
            </w:pPr>
            <w:r>
              <w:rPr>
                <w:sz w:val="24"/>
              </w:rPr>
              <w:t>A dependency is unavailable or a task fails.</w:t>
            </w:r>
          </w:p>
        </w:tc>
        <w:tc>
          <w:tcPr>
            <w:tcW w:type="dxa" w:w="2448"/>
            <w:vAlign w:val="center"/>
            <w:shd w:fill="EAF0F6"/>
          </w:tcPr>
          <w:p>
            <w:pPr>
              <w:spacing w:line="276" w:lineRule="auto"/>
            </w:pPr>
            <w:r>
              <w:rPr>
                <w:sz w:val="24"/>
              </w:rPr>
              <w:t>Operator checks container health, configuration, logs, and persisted status.</w:t>
            </w:r>
          </w:p>
        </w:tc>
        <w:tc>
          <w:tcPr>
            <w:tcW w:type="dxa" w:w="2448"/>
            <w:vAlign w:val="center"/>
            <w:shd w:fill="EAF0F6"/>
          </w:tcPr>
          <w:p>
            <w:pPr>
              <w:spacing w:line="276" w:lineRule="auto"/>
            </w:pPr>
            <w:r>
              <w:rPr>
                <w:sz w:val="24"/>
              </w:rPr>
              <w:t>Dependencies recover and new work can be processed.</w:t>
            </w:r>
          </w:p>
        </w:tc>
      </w:tr>
      <w:tr>
        <w:tc>
          <w:tcPr>
            <w:tcW w:type="dxa" w:w="2448"/>
            <w:vAlign w:val="center"/>
          </w:tcPr>
          <w:p>
            <w:pPr>
              <w:spacing w:line="276" w:lineRule="auto"/>
            </w:pPr>
            <w:r>
              <w:rPr>
                <w:sz w:val="24"/>
              </w:rPr>
              <w:t>Evaluator: compare benchmark</w:t>
            </w:r>
          </w:p>
        </w:tc>
        <w:tc>
          <w:tcPr>
            <w:tcW w:type="dxa" w:w="2448"/>
            <w:vAlign w:val="center"/>
          </w:tcPr>
          <w:p>
            <w:pPr>
              <w:spacing w:line="276" w:lineRule="auto"/>
            </w:pPr>
            <w:r>
              <w:rPr>
                <w:sz w:val="24"/>
              </w:rPr>
              <w:t>Runs an evaluation mode against annotated data.</w:t>
            </w:r>
          </w:p>
        </w:tc>
        <w:tc>
          <w:tcPr>
            <w:tcW w:type="dxa" w:w="2448"/>
            <w:vAlign w:val="center"/>
          </w:tcPr>
          <w:p>
            <w:pPr>
              <w:spacing w:line="276" w:lineRule="auto"/>
            </w:pPr>
            <w:r>
              <w:rPr>
                <w:sz w:val="24"/>
              </w:rPr>
              <w:t>Pipeline outputs are compared with gold fields and expected compliance flags.</w:t>
            </w:r>
          </w:p>
        </w:tc>
        <w:tc>
          <w:tcPr>
            <w:tcW w:type="dxa" w:w="2448"/>
            <w:vAlign w:val="center"/>
          </w:tcPr>
          <w:p>
            <w:pPr>
              <w:spacing w:line="276" w:lineRule="auto"/>
            </w:pPr>
            <w:r>
              <w:rPr>
                <w:sz w:val="24"/>
              </w:rPr>
              <w:t>A scorecard and regression-gate result are produced.</w:t>
            </w:r>
          </w:p>
        </w:tc>
      </w:tr>
    </w:tbl>
    <w:p>
      <w:pPr>
        <w:pStyle w:val="Caption"/>
        <w:keepLines/>
        <w:jc w:val="center"/>
      </w:pPr>
      <w:r>
        <w:t>Table 13. Use Case and Actor Matrix</w:t>
      </w:r>
    </w:p>
    <w:p/>
    <w:p>
      <w:pPr>
        <w:pStyle w:val="Heading2"/>
        <w:keepNext/>
      </w:pPr>
      <w:r>
        <w:t>11.2 Primary Upload and Retrieval Journey</w:t>
      </w:r>
    </w:p>
    <w:p>
      <w:r>
        <w:t>The normal journey starts in the Streamlit application. The user chooses a PDF and submits it. The frontend sends the file to the FastAPI upload endpoint. The API creates a pending document row, saves the bytes beneath an ID-based filename, updates the stored path, and queues the Celery task. The response contains the document identifier and current status; it does not wait for transformer inference to finish. This is important because model loading and inference may take considerably longer than the request/response exchange.</w:t>
      </w:r>
    </w:p>
    <w:p>
      <w:r>
        <w:t>The frontend uses the identifier to poll the detail endpoint at a short interval. While the worker has not finished, the interface can show a pending or processing state. When the worker completes, the detail response combines the document status with extraction JSON, compliance output, and audit output. The user can then inspect values and the evidence/decision diagnostics exposed in the UI. The endpoint list supports browsing the most recently uploaded records and highlighting those in the review state.</w:t>
      </w:r>
    </w:p>
    <w:p>
      <w:r>
        <w:t>A complete status is a workflow statement: every schema field submitted to the audit passed the configured checks. It is not a claim that the source invoice is authentic, that a duplicate could not have been missed, or that an accounting policy was applied correctly. A user should read the per-field audit details and compliance flags before relying on a value in a downstream process. The prototype does not submit approved values into an accounting system.</w:t>
      </w:r>
    </w:p>
    <w:p>
      <w:pPr>
        <w:pStyle w:val="Heading2"/>
        <w:keepNext/>
      </w:pPr>
      <w:r>
        <w:t>11.3 Review and Exception Journeys</w:t>
      </w:r>
    </w:p>
    <w:p>
      <w:r>
        <w:t>A needs_review outcome is expected when any field remains unsupported after the bounded repair pass. A missing due date is a representative case: absence should not be filled with an invented date simply to complete the schema. The interface may display the model’s proposed value beside a warning, so the reviewer must distinguish the proposal from the accepted result. The current workflow ends with inspection; corrections are not stored and the reviewer cannot change the final status through the UI.</w:t>
      </w:r>
    </w:p>
    <w:p>
      <w:r>
        <w:t>A failed outcome is different. It indicates that an exception interrupted normal processing. The task records the failed status and prints exception information to worker logs, but the API detail response does not include a structured failure reason. Operators should inspect the worker and dependency logs, verify that the source file and required services are available, and use a controlled retry procedure. A retry interface, idempotency key, and structured error taxonomy are future improvements, not implemented functionality.</w:t>
      </w:r>
    </w:p>
    <w:p>
      <w:r>
        <w:t>A timeout in the frontend polling window should also be treated separately from a failed document. The backend may still be processing, while the browser has stopped waiting. The user can refresh or query the document again. Operational monitoring should compare request timeouts with durable database states rather than assuming that a closed spinner means a failed job.</w:t>
      </w:r>
    </w:p>
    <w:p>
      <w:pPr>
        <w:pStyle w:val="Heading2"/>
        <w:keepNext/>
      </w:pPr>
      <w:r>
        <w:t>11.4 Use Case Preconditions and Postconditions</w:t>
      </w:r>
    </w:p>
    <w:p>
      <w:r>
        <w:t>For upload, the preconditions are that the application can reach the API, the upload directory is writable, and the database and message broker are available. The user should submit only files permitted by the deployment’s data-handling policy. The expected postcondition is a persisted document record with an identifier and a queued task. The current route does not provide comprehensive content validation, so deployments should add PDF signature/type validation, file-size limits, authentication, and malware scanning before use with untrusted uploads.</w:t>
      </w:r>
    </w:p>
    <w:p>
      <w:r>
        <w:t>For review, the precondition is that processing has produced an extraction and audit record. The postcondition is an informed human decision outside the current system: the UI can surface uncertainty, but it cannot record correction, rationale, or approval. A production extension should persist both the original model output and the reviewer’s accepted value, maintain an immutable history, and ensure that downstream consumers use the reviewed value rather than the unverified proposal.</w:t>
      </w:r>
    </w:p>
    <w:p>
      <w:r>
        <w:br w:type="page"/>
      </w:r>
    </w:p>
    <w:p>
      <w:pPr>
        <w:pStyle w:val="Heading1"/>
        <w:keepNext/>
      </w:pPr>
      <w:r>
        <w:t>12. User and Operator Guide</w:t>
      </w:r>
    </w:p>
    <w:p>
      <w:r>
        <w:t>This chapter provides a practical guide to the current prototype. It distinguishes actions supported by the repository from recommended operational safeguards that must be added for a production deployment. The steps summarize the README and code structure; they do not claim that the report preparation process started the services or executed a new invoice run.</w:t>
      </w:r>
    </w:p>
    <w:p>
      <w:pPr>
        <w:pStyle w:val="Heading2"/>
        <w:keepNext/>
      </w:pPr>
      <w:r>
        <w:t>12.1 Starting the Project</w:t>
      </w:r>
    </w:p>
    <w:p>
      <w:r>
        <w:t>The documented deployment uses Docker Desktop and Docker Compose. From the repository root, the operator builds and starts the services with the project’s Compose configuration. The first build can take longer than later starts because application images and model artifacts must be acquired. The README notes that first-use model downloads are substantial, approximately 2 GB, and that a Docker volume caches them for subsequent runs. The operator should allow the initial model warm-up to complete before assessing request responsiveness.</w:t>
      </w:r>
    </w:p>
    <w:p>
      <w:r>
        <w:t>The local development workflow documented by the repository uses Python 3.11, a virtual environment, the backend requirements file, and the supporting PostgreSQL, Redis, and Qdrant services. The Streamlit interface can be launched separately for development. Because local settings and container settings use different hostnames, environment values should match the environment in which each component runs. Configuration files containing credentials must remain outside version control.</w:t>
      </w:r>
    </w:p>
    <w:p>
      <w:pPr>
        <w:pStyle w:val="Heading2"/>
        <w:keepNext/>
      </w:pPr>
      <w:r>
        <w:t>12.2 Submitting and Reading a Document</w:t>
      </w:r>
    </w:p>
    <w:p>
      <w:pPr>
        <w:pStyle w:val="ListNumber"/>
      </w:pPr>
      <w:r>
        <w:t>Open the Streamlit frontend after the API and dependencies are healthy.</w:t>
      </w:r>
    </w:p>
    <w:p>
      <w:pPr>
        <w:pStyle w:val="ListNumber"/>
      </w:pPr>
      <w:r>
        <w:t>Choose a native-text invoice PDF and submit it through the upload control. The prototype’s intended input is a PDF with extractable text.</w:t>
      </w:r>
    </w:p>
    <w:p>
      <w:pPr>
        <w:pStyle w:val="ListNumber"/>
      </w:pPr>
      <w:r>
        <w:t>Record the returned document ID if the interface is refreshed or the browser session is interrupted.</w:t>
      </w:r>
    </w:p>
    <w:p>
      <w:pPr>
        <w:pStyle w:val="ListNumber"/>
      </w:pPr>
      <w:r>
        <w:t>Wait for the status view to update. Pending and processing indicate that the background task has not finalized.</w:t>
      </w:r>
    </w:p>
    <w:p>
      <w:pPr>
        <w:pStyle w:val="ListNumber"/>
      </w:pPr>
      <w:r>
        <w:t>Review the extracted schema values together with the per-field evidence and support decisions.</w:t>
      </w:r>
    </w:p>
    <w:p>
      <w:pPr>
        <w:pStyle w:val="ListNumber"/>
      </w:pPr>
      <w:r>
        <w:t>Inspect compliance flags and risk level separately from field support. A high risk level is not a field-level extraction score.</w:t>
      </w:r>
    </w:p>
    <w:p>
      <w:pPr>
        <w:pStyle w:val="ListNumber"/>
      </w:pPr>
      <w:r>
        <w:t>Treat needs_review as requiring a human decision. The current UI does not save a correction or approval.</w:t>
      </w:r>
    </w:p>
    <w:p>
      <w:pPr>
        <w:pStyle w:val="ListNumber"/>
      </w:pPr>
      <w:r>
        <w:t>If the browser polling window expires, query the same document ID again before assuming the worker failed.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Displayed state</w:t>
            </w:r>
          </w:p>
        </w:tc>
        <w:tc>
          <w:tcPr>
            <w:tcW w:type="dxa" w:w="3264"/>
            <w:shd w:fill="17365D"/>
          </w:tcPr>
          <w:p>
            <w:r>
              <w:rPr>
                <w:b/>
                <w:color w:val="FFFFFF"/>
                <w:sz w:val="24"/>
              </w:rPr>
              <w:t>Meaning for the user</w:t>
            </w:r>
          </w:p>
        </w:tc>
        <w:tc>
          <w:tcPr>
            <w:tcW w:type="dxa" w:w="3264"/>
            <w:shd w:fill="17365D"/>
          </w:tcPr>
          <w:p>
            <w:r>
              <w:rPr>
                <w:b/>
                <w:color w:val="FFFFFF"/>
                <w:sz w:val="24"/>
              </w:rPr>
              <w:t>Recommended next action</w:t>
            </w:r>
          </w:p>
        </w:tc>
      </w:tr>
      <w:tr>
        <w:tc>
          <w:tcPr>
            <w:tcW w:type="dxa" w:w="3264"/>
            <w:vAlign w:val="center"/>
          </w:tcPr>
          <w:p>
            <w:pPr>
              <w:spacing w:line="276" w:lineRule="auto"/>
            </w:pPr>
            <w:r>
              <w:rPr>
                <w:sz w:val="24"/>
              </w:rPr>
              <w:t>pending</w:t>
            </w:r>
          </w:p>
        </w:tc>
        <w:tc>
          <w:tcPr>
            <w:tcW w:type="dxa" w:w="3264"/>
            <w:vAlign w:val="center"/>
          </w:tcPr>
          <w:p>
            <w:pPr>
              <w:spacing w:line="276" w:lineRule="auto"/>
            </w:pPr>
            <w:r>
              <w:rPr>
                <w:sz w:val="24"/>
              </w:rPr>
              <w:t>Record created; work has been queued or is waiting to start.</w:t>
            </w:r>
          </w:p>
        </w:tc>
        <w:tc>
          <w:tcPr>
            <w:tcW w:type="dxa" w:w="3264"/>
            <w:vAlign w:val="center"/>
          </w:tcPr>
          <w:p>
            <w:pPr>
              <w:spacing w:line="276" w:lineRule="auto"/>
            </w:pPr>
            <w:r>
              <w:rPr>
                <w:sz w:val="24"/>
              </w:rPr>
              <w:t>Wait briefly and refresh by document ID.</w:t>
            </w:r>
          </w:p>
        </w:tc>
      </w:tr>
      <w:tr>
        <w:tc>
          <w:tcPr>
            <w:tcW w:type="dxa" w:w="3264"/>
            <w:vAlign w:val="center"/>
            <w:shd w:fill="EAF0F6"/>
          </w:tcPr>
          <w:p>
            <w:pPr>
              <w:spacing w:line="276" w:lineRule="auto"/>
            </w:pPr>
            <w:r>
              <w:rPr>
                <w:sz w:val="24"/>
              </w:rPr>
              <w:t>processing</w:t>
            </w:r>
          </w:p>
        </w:tc>
        <w:tc>
          <w:tcPr>
            <w:tcW w:type="dxa" w:w="3264"/>
            <w:vAlign w:val="center"/>
            <w:shd w:fill="EAF0F6"/>
          </w:tcPr>
          <w:p>
            <w:pPr>
              <w:spacing w:line="276" w:lineRule="auto"/>
            </w:pPr>
            <w:r>
              <w:rPr>
                <w:sz w:val="24"/>
              </w:rPr>
              <w:t>Worker is executing extraction and verification.</w:t>
            </w:r>
          </w:p>
        </w:tc>
        <w:tc>
          <w:tcPr>
            <w:tcW w:type="dxa" w:w="3264"/>
            <w:vAlign w:val="center"/>
            <w:shd w:fill="EAF0F6"/>
          </w:tcPr>
          <w:p>
            <w:pPr>
              <w:spacing w:line="276" w:lineRule="auto"/>
            </w:pPr>
            <w:r>
              <w:rPr>
                <w:sz w:val="24"/>
              </w:rPr>
              <w:t>Continue waiting; inspect worker health if unusually prolonged.</w:t>
            </w:r>
          </w:p>
        </w:tc>
      </w:tr>
      <w:tr>
        <w:tc>
          <w:tcPr>
            <w:tcW w:type="dxa" w:w="3264"/>
            <w:vAlign w:val="center"/>
          </w:tcPr>
          <w:p>
            <w:pPr>
              <w:spacing w:line="276" w:lineRule="auto"/>
            </w:pPr>
            <w:r>
              <w:rPr>
                <w:sz w:val="24"/>
              </w:rPr>
              <w:t>complete</w:t>
            </w:r>
          </w:p>
        </w:tc>
        <w:tc>
          <w:tcPr>
            <w:tcW w:type="dxa" w:w="3264"/>
            <w:vAlign w:val="center"/>
          </w:tcPr>
          <w:p>
            <w:pPr>
              <w:spacing w:line="276" w:lineRule="auto"/>
            </w:pPr>
            <w:r>
              <w:rPr>
                <w:sz w:val="24"/>
              </w:rPr>
              <w:t>All submitted fields passed configured checks.</w:t>
            </w:r>
          </w:p>
        </w:tc>
        <w:tc>
          <w:tcPr>
            <w:tcW w:type="dxa" w:w="3264"/>
            <w:vAlign w:val="center"/>
          </w:tcPr>
          <w:p>
            <w:pPr>
              <w:spacing w:line="276" w:lineRule="auto"/>
            </w:pPr>
            <w:r>
              <w:rPr>
                <w:sz w:val="24"/>
              </w:rPr>
              <w:t>Review key values and compliance output before downstream use.</w:t>
            </w:r>
          </w:p>
        </w:tc>
      </w:tr>
      <w:tr>
        <w:tc>
          <w:tcPr>
            <w:tcW w:type="dxa" w:w="3264"/>
            <w:vAlign w:val="center"/>
            <w:shd w:fill="EAF0F6"/>
          </w:tcPr>
          <w:p>
            <w:pPr>
              <w:spacing w:line="276" w:lineRule="auto"/>
            </w:pPr>
            <w:r>
              <w:rPr>
                <w:sz w:val="24"/>
              </w:rPr>
              <w:t>needs_review</w:t>
            </w:r>
          </w:p>
        </w:tc>
        <w:tc>
          <w:tcPr>
            <w:tcW w:type="dxa" w:w="3264"/>
            <w:vAlign w:val="center"/>
            <w:shd w:fill="EAF0F6"/>
          </w:tcPr>
          <w:p>
            <w:pPr>
              <w:spacing w:line="276" w:lineRule="auto"/>
            </w:pPr>
            <w:r>
              <w:rPr>
                <w:sz w:val="24"/>
              </w:rPr>
              <w:t>At least one field remains unsupported after repair.</w:t>
            </w:r>
          </w:p>
        </w:tc>
        <w:tc>
          <w:tcPr>
            <w:tcW w:type="dxa" w:w="3264"/>
            <w:vAlign w:val="center"/>
            <w:shd w:fill="EAF0F6"/>
          </w:tcPr>
          <w:p>
            <w:pPr>
              <w:spacing w:line="276" w:lineRule="auto"/>
            </w:pPr>
            <w:r>
              <w:rPr>
                <w:sz w:val="24"/>
              </w:rPr>
              <w:t>Inspect source PDF and evidence; do not treat proposed value as verified.</w:t>
            </w:r>
          </w:p>
        </w:tc>
      </w:tr>
      <w:tr>
        <w:tc>
          <w:tcPr>
            <w:tcW w:type="dxa" w:w="3264"/>
            <w:vAlign w:val="center"/>
          </w:tcPr>
          <w:p>
            <w:pPr>
              <w:spacing w:line="276" w:lineRule="auto"/>
            </w:pPr>
            <w:r>
              <w:rPr>
                <w:sz w:val="24"/>
              </w:rPr>
              <w:t>failed</w:t>
            </w:r>
          </w:p>
        </w:tc>
        <w:tc>
          <w:tcPr>
            <w:tcW w:type="dxa" w:w="3264"/>
            <w:vAlign w:val="center"/>
          </w:tcPr>
          <w:p>
            <w:pPr>
              <w:spacing w:line="276" w:lineRule="auto"/>
            </w:pPr>
            <w:r>
              <w:rPr>
                <w:sz w:val="24"/>
              </w:rPr>
              <w:t>An exception prevented normal completion.</w:t>
            </w:r>
          </w:p>
        </w:tc>
        <w:tc>
          <w:tcPr>
            <w:tcW w:type="dxa" w:w="3264"/>
            <w:vAlign w:val="center"/>
          </w:tcPr>
          <w:p>
            <w:pPr>
              <w:spacing w:line="276" w:lineRule="auto"/>
            </w:pPr>
            <w:r>
              <w:rPr>
                <w:sz w:val="24"/>
              </w:rPr>
              <w:t>Check logs and dependencies; retry only after diagnosing the cause.</w:t>
            </w:r>
          </w:p>
        </w:tc>
      </w:tr>
    </w:tbl>
    <w:p>
      <w:pPr>
        <w:pStyle w:val="Caption"/>
        <w:keepLines/>
        <w:jc w:val="center"/>
      </w:pPr>
      <w:r>
        <w:t>Table 14. User Workflow and Outcome Matrix</w:t>
      </w:r>
    </w:p>
    <w:p/>
    <w:p>
      <w:pPr>
        <w:pStyle w:val="Heading2"/>
        <w:keepNext/>
      </w:pPr>
      <w:r>
        <w:t>12.3 Interpreting the Audit Display</w:t>
      </w:r>
    </w:p>
    <w:p>
      <w:r>
        <w:t>For each field, the audit decision includes whether the value is supported and may include a reason, evidence line, NLI label, or score. An empty or malformed value can be rejected before the language model is called. A value that does not occur in extracted text receives a not-in-source reason. A value that occurs only under a conflicting label may be rejected as a label mismatch. These reasons describe the configured checks and should be reviewed against the original PDF when a field is important.</w:t>
      </w:r>
    </w:p>
    <w:p>
      <w:r>
        <w:t>A field-level NLI score is not a probability that the invoice is true. It is a model output associated with a premise and a claim under the selected policy. In veto mode, a neutral label can pass after deterministic checks; in strict mode, an entailment above the threshold is required. The same text may yield different decisions after model or library versions change, which is why production use would need version logging and a controlled update process.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Response element</w:t>
            </w:r>
          </w:p>
        </w:tc>
        <w:tc>
          <w:tcPr>
            <w:tcW w:type="dxa" w:w="3264"/>
            <w:shd w:fill="17365D"/>
          </w:tcPr>
          <w:p>
            <w:r>
              <w:rPr>
                <w:b/>
                <w:color w:val="FFFFFF"/>
                <w:sz w:val="24"/>
              </w:rPr>
              <w:t>Meaning</w:t>
            </w:r>
          </w:p>
        </w:tc>
        <w:tc>
          <w:tcPr>
            <w:tcW w:type="dxa" w:w="3264"/>
            <w:shd w:fill="17365D"/>
          </w:tcPr>
          <w:p>
            <w:r>
              <w:rPr>
                <w:b/>
                <w:color w:val="FFFFFF"/>
                <w:sz w:val="24"/>
              </w:rPr>
              <w:t>Interpretation caution</w:t>
            </w:r>
          </w:p>
        </w:tc>
      </w:tr>
      <w:tr>
        <w:tc>
          <w:tcPr>
            <w:tcW w:type="dxa" w:w="3264"/>
            <w:vAlign w:val="center"/>
          </w:tcPr>
          <w:p>
            <w:pPr>
              <w:spacing w:line="276" w:lineRule="auto"/>
            </w:pPr>
            <w:r>
              <w:rPr>
                <w:sz w:val="24"/>
              </w:rPr>
              <w:t>doc_id</w:t>
            </w:r>
          </w:p>
        </w:tc>
        <w:tc>
          <w:tcPr>
            <w:tcW w:type="dxa" w:w="3264"/>
            <w:vAlign w:val="center"/>
          </w:tcPr>
          <w:p>
            <w:pPr>
              <w:spacing w:line="276" w:lineRule="auto"/>
            </w:pPr>
            <w:r>
              <w:rPr>
                <w:sz w:val="24"/>
              </w:rPr>
              <w:t>Identifier for the persisted document record.</w:t>
            </w:r>
          </w:p>
        </w:tc>
        <w:tc>
          <w:tcPr>
            <w:tcW w:type="dxa" w:w="3264"/>
            <w:vAlign w:val="center"/>
          </w:tcPr>
          <w:p>
            <w:pPr>
              <w:spacing w:line="276" w:lineRule="auto"/>
            </w:pPr>
            <w:r>
              <w:rPr>
                <w:sz w:val="24"/>
              </w:rPr>
              <w:t>Use this ID for later detail and list lookups.</w:t>
            </w:r>
          </w:p>
        </w:tc>
      </w:tr>
      <w:tr>
        <w:tc>
          <w:tcPr>
            <w:tcW w:type="dxa" w:w="3264"/>
            <w:vAlign w:val="center"/>
            <w:shd w:fill="EAF0F6"/>
          </w:tcPr>
          <w:p>
            <w:pPr>
              <w:spacing w:line="276" w:lineRule="auto"/>
            </w:pPr>
            <w:r>
              <w:rPr>
                <w:sz w:val="24"/>
              </w:rPr>
              <w:t>status</w:t>
            </w:r>
          </w:p>
        </w:tc>
        <w:tc>
          <w:tcPr>
            <w:tcW w:type="dxa" w:w="3264"/>
            <w:vAlign w:val="center"/>
            <w:shd w:fill="EAF0F6"/>
          </w:tcPr>
          <w:p>
            <w:pPr>
              <w:spacing w:line="276" w:lineRule="auto"/>
            </w:pPr>
            <w:r>
              <w:rPr>
                <w:sz w:val="24"/>
              </w:rPr>
              <w:t>Current workflow state.</w:t>
            </w:r>
          </w:p>
        </w:tc>
        <w:tc>
          <w:tcPr>
            <w:tcW w:type="dxa" w:w="3264"/>
            <w:vAlign w:val="center"/>
            <w:shd w:fill="EAF0F6"/>
          </w:tcPr>
          <w:p>
            <w:pPr>
              <w:spacing w:line="276" w:lineRule="auto"/>
            </w:pPr>
            <w:r>
              <w:rPr>
                <w:sz w:val="24"/>
              </w:rPr>
              <w:t>complete is not proof of authenticity or policy compliance.</w:t>
            </w:r>
          </w:p>
        </w:tc>
      </w:tr>
      <w:tr>
        <w:tc>
          <w:tcPr>
            <w:tcW w:type="dxa" w:w="3264"/>
            <w:vAlign w:val="center"/>
          </w:tcPr>
          <w:p>
            <w:pPr>
              <w:spacing w:line="276" w:lineRule="auto"/>
            </w:pPr>
            <w:r>
              <w:rPr>
                <w:sz w:val="24"/>
              </w:rPr>
              <w:t>extraction</w:t>
            </w:r>
          </w:p>
        </w:tc>
        <w:tc>
          <w:tcPr>
            <w:tcW w:type="dxa" w:w="3264"/>
            <w:vAlign w:val="center"/>
          </w:tcPr>
          <w:p>
            <w:pPr>
              <w:spacing w:line="276" w:lineRule="auto"/>
            </w:pPr>
            <w:r>
              <w:rPr>
                <w:sz w:val="24"/>
              </w:rPr>
              <w:t>Seven-field JSON object, when available.</w:t>
            </w:r>
          </w:p>
        </w:tc>
        <w:tc>
          <w:tcPr>
            <w:tcW w:type="dxa" w:w="3264"/>
            <w:vAlign w:val="center"/>
          </w:tcPr>
          <w:p>
            <w:pPr>
              <w:spacing w:line="276" w:lineRule="auto"/>
            </w:pPr>
            <w:r>
              <w:rPr>
                <w:sz w:val="24"/>
              </w:rPr>
              <w:t>May contain proposed values that did not pass audit.</w:t>
            </w:r>
          </w:p>
        </w:tc>
      </w:tr>
      <w:tr>
        <w:tc>
          <w:tcPr>
            <w:tcW w:type="dxa" w:w="3264"/>
            <w:vAlign w:val="center"/>
            <w:shd w:fill="EAF0F6"/>
          </w:tcPr>
          <w:p>
            <w:pPr>
              <w:spacing w:line="276" w:lineRule="auto"/>
            </w:pPr>
            <w:r>
              <w:rPr>
                <w:sz w:val="24"/>
              </w:rPr>
              <w:t>compliance</w:t>
            </w:r>
          </w:p>
        </w:tc>
        <w:tc>
          <w:tcPr>
            <w:tcW w:type="dxa" w:w="3264"/>
            <w:vAlign w:val="center"/>
            <w:shd w:fill="EAF0F6"/>
          </w:tcPr>
          <w:p>
            <w:pPr>
              <w:spacing w:line="276" w:lineRule="auto"/>
            </w:pPr>
            <w:r>
              <w:rPr>
                <w:sz w:val="24"/>
              </w:rPr>
              <w:t>flags, risk_level, and detected entities.</w:t>
            </w:r>
          </w:p>
        </w:tc>
        <w:tc>
          <w:tcPr>
            <w:tcW w:type="dxa" w:w="3264"/>
            <w:vAlign w:val="center"/>
            <w:shd w:fill="EAF0F6"/>
          </w:tcPr>
          <w:p>
            <w:pPr>
              <w:spacing w:line="276" w:lineRule="auto"/>
            </w:pPr>
            <w:r>
              <w:rPr>
                <w:sz w:val="24"/>
              </w:rPr>
              <w:t>NER detections are not redacted personal data.</w:t>
            </w:r>
          </w:p>
        </w:tc>
      </w:tr>
      <w:tr>
        <w:tc>
          <w:tcPr>
            <w:tcW w:type="dxa" w:w="3264"/>
            <w:vAlign w:val="center"/>
          </w:tcPr>
          <w:p>
            <w:pPr>
              <w:spacing w:line="276" w:lineRule="auto"/>
            </w:pPr>
            <w:r>
              <w:rPr>
                <w:sz w:val="24"/>
              </w:rPr>
              <w:t>audit</w:t>
            </w:r>
          </w:p>
        </w:tc>
        <w:tc>
          <w:tcPr>
            <w:tcW w:type="dxa" w:w="3264"/>
            <w:vAlign w:val="center"/>
          </w:tcPr>
          <w:p>
            <w:pPr>
              <w:spacing w:line="276" w:lineRule="auto"/>
            </w:pPr>
            <w:r>
              <w:rPr>
                <w:sz w:val="24"/>
              </w:rPr>
              <w:t>faithfulness_rate and per_field decisions.</w:t>
            </w:r>
          </w:p>
        </w:tc>
        <w:tc>
          <w:tcPr>
            <w:tcW w:type="dxa" w:w="3264"/>
            <w:vAlign w:val="center"/>
          </w:tcPr>
          <w:p>
            <w:pPr>
              <w:spacing w:line="276" w:lineRule="auto"/>
            </w:pPr>
            <w:r>
              <w:rPr>
                <w:sz w:val="24"/>
              </w:rPr>
              <w:t>Read each field evidence and reason, not only the aggregate.</w:t>
            </w:r>
          </w:p>
        </w:tc>
      </w:tr>
    </w:tbl>
    <w:p>
      <w:pPr>
        <w:pStyle w:val="Caption"/>
        <w:keepLines/>
        <w:jc w:val="center"/>
      </w:pPr>
      <w:r>
        <w:t>Table 15. API Response and Error Interpretation</w:t>
      </w:r>
    </w:p>
    <w:p/>
    <w:p>
      <w:pPr>
        <w:pStyle w:val="Heading2"/>
        <w:keepNext/>
      </w:pPr>
      <w:r>
        <w:t>12.4 Operator Routine</w:t>
      </w:r>
    </w:p>
    <w:p>
      <w:r>
        <w:t>Before a work session, confirm that PostgreSQL, Redis, Qdrant, the API, and a Celery worker are available. Confirm that the upload and model-cache volumes have free space. Review the environment file without printing secrets into logs or report artifacts. The README’s interactive API documentation is useful for examining route responses during development, but public production access to that interface should be controlled.</w:t>
      </w:r>
    </w:p>
    <w:p>
      <w:r>
        <w:t>During operation, monitor queue depth, task completion/failure counts, document states, model initialization, memory use, disk growth, and service logs. A failed duplicate lookup is logged and processing continues without the duplicate check; this behavior should be surfaced as a degraded control if duplicate detection is required. Periodically verify that backups are restorable and that retention rules cover both database records and uploaded PDFs, because those data are stored in different resources.</w:t>
      </w:r>
    </w:p>
    <w:p>
      <w:r>
        <w:t>At shutdown, stop accepting new work, allow or deliberately cancel queued tasks according to an operating procedure, and shut down services through Compose. Do not delete persistent volumes casually: they may contain uploaded invoices, database records, vectors, and downloaded model files. A data-retention process should remove linked records and source files consistently and document its completion.</w:t>
      </w:r>
    </w:p>
    <w:p>
      <w:r>
        <w:br w:type="page"/>
      </w:r>
    </w:p>
    <w:p>
      <w:pPr>
        <w:pStyle w:val="Heading1"/>
        <w:keepNext/>
      </w:pPr>
      <w:r>
        <w:t>13. Deployment and Operations</w:t>
      </w:r>
    </w:p>
    <w:p>
      <w:r>
        <w:t>The prototype’s deployment combines several services because document processing has different resource and latency needs from the user-facing API. The API accepts requests and reads relational records; Redis brokers asynchronous jobs; the Celery worker loads transformer models and executes the pipeline; PostgreSQL stores normalized workflow records; Qdrant stores vectors; and the Streamlit interface polls the API. Docker Compose provides a convenient single-host arrangement for development and demonstration.</w:t>
      </w:r>
    </w:p>
    <w:p>
      <w:pPr>
        <w:pStyle w:val="Heading2"/>
        <w:keepNext/>
      </w:pPr>
      <w:r>
        <w:t>13.1 Service Startup and Dependency Order</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Service</w:t>
            </w:r>
          </w:p>
        </w:tc>
        <w:tc>
          <w:tcPr>
            <w:tcW w:type="dxa" w:w="3264"/>
            <w:shd w:fill="17365D"/>
          </w:tcPr>
          <w:p>
            <w:r>
              <w:rPr>
                <w:b/>
                <w:color w:val="FFFFFF"/>
                <w:sz w:val="24"/>
              </w:rPr>
              <w:t>Primary dependency</w:t>
            </w:r>
          </w:p>
        </w:tc>
        <w:tc>
          <w:tcPr>
            <w:tcW w:type="dxa" w:w="3264"/>
            <w:shd w:fill="17365D"/>
          </w:tcPr>
          <w:p>
            <w:r>
              <w:rPr>
                <w:b/>
                <w:color w:val="FFFFFF"/>
                <w:sz w:val="24"/>
              </w:rPr>
              <w:t>Operational check</w:t>
            </w:r>
          </w:p>
        </w:tc>
      </w:tr>
      <w:tr>
        <w:tc>
          <w:tcPr>
            <w:tcW w:type="dxa" w:w="3264"/>
            <w:vAlign w:val="center"/>
          </w:tcPr>
          <w:p>
            <w:pPr>
              <w:spacing w:line="276" w:lineRule="auto"/>
            </w:pPr>
            <w:r>
              <w:rPr>
                <w:sz w:val="24"/>
              </w:rPr>
              <w:t>PostgreSQL</w:t>
            </w:r>
          </w:p>
        </w:tc>
        <w:tc>
          <w:tcPr>
            <w:tcW w:type="dxa" w:w="3264"/>
            <w:vAlign w:val="center"/>
          </w:tcPr>
          <w:p>
            <w:pPr>
              <w:spacing w:line="276" w:lineRule="auto"/>
            </w:pPr>
            <w:r>
              <w:rPr>
                <w:sz w:val="24"/>
              </w:rPr>
              <w:t>Persistent database volume and configured URL.</w:t>
            </w:r>
          </w:p>
        </w:tc>
        <w:tc>
          <w:tcPr>
            <w:tcW w:type="dxa" w:w="3264"/>
            <w:vAlign w:val="center"/>
          </w:tcPr>
          <w:p>
            <w:pPr>
              <w:spacing w:line="276" w:lineRule="auto"/>
            </w:pPr>
            <w:r>
              <w:rPr>
                <w:sz w:val="24"/>
              </w:rPr>
              <w:t>Can accept a connection; application tables are accessible.</w:t>
            </w:r>
          </w:p>
        </w:tc>
      </w:tr>
      <w:tr>
        <w:tc>
          <w:tcPr>
            <w:tcW w:type="dxa" w:w="3264"/>
            <w:vAlign w:val="center"/>
            <w:shd w:fill="EAF0F6"/>
          </w:tcPr>
          <w:p>
            <w:pPr>
              <w:spacing w:line="276" w:lineRule="auto"/>
            </w:pPr>
            <w:r>
              <w:rPr>
                <w:sz w:val="24"/>
              </w:rPr>
              <w:t>Redis</w:t>
            </w:r>
          </w:p>
        </w:tc>
        <w:tc>
          <w:tcPr>
            <w:tcW w:type="dxa" w:w="3264"/>
            <w:vAlign w:val="center"/>
            <w:shd w:fill="EAF0F6"/>
          </w:tcPr>
          <w:p>
            <w:pPr>
              <w:spacing w:line="276" w:lineRule="auto"/>
            </w:pPr>
            <w:r>
              <w:rPr>
                <w:sz w:val="24"/>
              </w:rPr>
              <w:t>Broker URL and available memory.</w:t>
            </w:r>
          </w:p>
        </w:tc>
        <w:tc>
          <w:tcPr>
            <w:tcW w:type="dxa" w:w="3264"/>
            <w:vAlign w:val="center"/>
            <w:shd w:fill="EAF0F6"/>
          </w:tcPr>
          <w:p>
            <w:pPr>
              <w:spacing w:line="276" w:lineRule="auto"/>
            </w:pPr>
            <w:r>
              <w:rPr>
                <w:sz w:val="24"/>
              </w:rPr>
              <w:t>Broker responds and Celery can receive a queued task.</w:t>
            </w:r>
          </w:p>
        </w:tc>
      </w:tr>
      <w:tr>
        <w:tc>
          <w:tcPr>
            <w:tcW w:type="dxa" w:w="3264"/>
            <w:vAlign w:val="center"/>
          </w:tcPr>
          <w:p>
            <w:pPr>
              <w:spacing w:line="276" w:lineRule="auto"/>
            </w:pPr>
            <w:r>
              <w:rPr>
                <w:sz w:val="24"/>
              </w:rPr>
              <w:t>Qdrant</w:t>
            </w:r>
          </w:p>
        </w:tc>
        <w:tc>
          <w:tcPr>
            <w:tcW w:type="dxa" w:w="3264"/>
            <w:vAlign w:val="center"/>
          </w:tcPr>
          <w:p>
            <w:pPr>
              <w:spacing w:line="276" w:lineRule="auto"/>
            </w:pPr>
            <w:r>
              <w:rPr>
                <w:sz w:val="24"/>
              </w:rPr>
              <w:t>Persistent vector storage and host/port settings.</w:t>
            </w:r>
          </w:p>
        </w:tc>
        <w:tc>
          <w:tcPr>
            <w:tcW w:type="dxa" w:w="3264"/>
            <w:vAlign w:val="center"/>
          </w:tcPr>
          <w:p>
            <w:pPr>
              <w:spacing w:line="276" w:lineRule="auto"/>
            </w:pPr>
            <w:r>
              <w:rPr>
                <w:sz w:val="24"/>
              </w:rPr>
              <w:t>Collection can be queried and points can be upserted.</w:t>
            </w:r>
          </w:p>
        </w:tc>
      </w:tr>
      <w:tr>
        <w:tc>
          <w:tcPr>
            <w:tcW w:type="dxa" w:w="3264"/>
            <w:vAlign w:val="center"/>
            <w:shd w:fill="EAF0F6"/>
          </w:tcPr>
          <w:p>
            <w:pPr>
              <w:spacing w:line="276" w:lineRule="auto"/>
            </w:pPr>
            <w:r>
              <w:rPr>
                <w:sz w:val="24"/>
              </w:rPr>
              <w:t>API</w:t>
            </w:r>
          </w:p>
        </w:tc>
        <w:tc>
          <w:tcPr>
            <w:tcW w:type="dxa" w:w="3264"/>
            <w:vAlign w:val="center"/>
            <w:shd w:fill="EAF0F6"/>
          </w:tcPr>
          <w:p>
            <w:pPr>
              <w:spacing w:line="276" w:lineRule="auto"/>
            </w:pPr>
            <w:r>
              <w:rPr>
                <w:sz w:val="24"/>
              </w:rPr>
              <w:t>Database, Redis, upload directory.</w:t>
            </w:r>
          </w:p>
        </w:tc>
        <w:tc>
          <w:tcPr>
            <w:tcW w:type="dxa" w:w="3264"/>
            <w:vAlign w:val="center"/>
            <w:shd w:fill="EAF0F6"/>
          </w:tcPr>
          <w:p>
            <w:pPr>
              <w:spacing w:line="276" w:lineRule="auto"/>
            </w:pPr>
            <w:r>
              <w:rPr>
                <w:sz w:val="24"/>
              </w:rPr>
              <w:t>Health endpoint responds and upload route can create a record.</w:t>
            </w:r>
          </w:p>
        </w:tc>
      </w:tr>
      <w:tr>
        <w:tc>
          <w:tcPr>
            <w:tcW w:type="dxa" w:w="3264"/>
            <w:vAlign w:val="center"/>
          </w:tcPr>
          <w:p>
            <w:pPr>
              <w:spacing w:line="276" w:lineRule="auto"/>
            </w:pPr>
            <w:r>
              <w:rPr>
                <w:sz w:val="24"/>
              </w:rPr>
              <w:t>Celery worker</w:t>
            </w:r>
          </w:p>
        </w:tc>
        <w:tc>
          <w:tcPr>
            <w:tcW w:type="dxa" w:w="3264"/>
            <w:vAlign w:val="center"/>
          </w:tcPr>
          <w:p>
            <w:pPr>
              <w:spacing w:line="276" w:lineRule="auto"/>
            </w:pPr>
            <w:r>
              <w:rPr>
                <w:sz w:val="24"/>
              </w:rPr>
              <w:t>Redis, shared upload volume, Qdrant, model cache.</w:t>
            </w:r>
          </w:p>
        </w:tc>
        <w:tc>
          <w:tcPr>
            <w:tcW w:type="dxa" w:w="3264"/>
            <w:vAlign w:val="center"/>
          </w:tcPr>
          <w:p>
            <w:pPr>
              <w:spacing w:line="276" w:lineRule="auto"/>
            </w:pPr>
            <w:r>
              <w:rPr>
                <w:sz w:val="24"/>
              </w:rPr>
              <w:t>Worker is registered and task logs show successful initialization.</w:t>
            </w:r>
          </w:p>
        </w:tc>
      </w:tr>
      <w:tr>
        <w:tc>
          <w:tcPr>
            <w:tcW w:type="dxa" w:w="3264"/>
            <w:vAlign w:val="center"/>
            <w:shd w:fill="EAF0F6"/>
          </w:tcPr>
          <w:p>
            <w:pPr>
              <w:spacing w:line="276" w:lineRule="auto"/>
            </w:pPr>
            <w:r>
              <w:rPr>
                <w:sz w:val="24"/>
              </w:rPr>
              <w:t>Streamlit UI</w:t>
            </w:r>
          </w:p>
        </w:tc>
        <w:tc>
          <w:tcPr>
            <w:tcW w:type="dxa" w:w="3264"/>
            <w:vAlign w:val="center"/>
            <w:shd w:fill="EAF0F6"/>
          </w:tcPr>
          <w:p>
            <w:pPr>
              <w:spacing w:line="276" w:lineRule="auto"/>
            </w:pPr>
            <w:r>
              <w:rPr>
                <w:sz w:val="24"/>
              </w:rPr>
              <w:t>Reachable API base URL.</w:t>
            </w:r>
          </w:p>
        </w:tc>
        <w:tc>
          <w:tcPr>
            <w:tcW w:type="dxa" w:w="3264"/>
            <w:vAlign w:val="center"/>
            <w:shd w:fill="EAF0F6"/>
          </w:tcPr>
          <w:p>
            <w:pPr>
              <w:spacing w:line="276" w:lineRule="auto"/>
            </w:pPr>
            <w:r>
              <w:rPr>
                <w:sz w:val="24"/>
              </w:rPr>
              <w:t>User can submit a document and poll its ID.</w:t>
            </w:r>
          </w:p>
        </w:tc>
      </w:tr>
    </w:tbl>
    <w:p>
      <w:pPr>
        <w:pStyle w:val="Caption"/>
        <w:keepLines/>
        <w:jc w:val="center"/>
      </w:pPr>
      <w:r>
        <w:t>Table 16. Deployment Service Dependencies</w:t>
      </w:r>
    </w:p>
    <w:p/>
    <w:p>
      <w:r>
        <w:t>Starting the database and broker before application traffic reduces avoidable initialization failures. A health check that confirms only that a container process exists is weaker than an application-level readiness check. A robust deployment should distinguish liveness (the process is running) from readiness (the service can perform its required work). The current API exposes a health route, but a production readiness contract should test the dependencies needed for successful document processing.</w:t>
      </w:r>
    </w:p>
    <w:p>
      <w:pPr>
        <w:pStyle w:val="Heading2"/>
        <w:keepNext/>
      </w:pPr>
      <w:r>
        <w:t>13.2 Environment and Secret Management</w:t>
      </w:r>
    </w:p>
    <w:p>
      <w:r>
        <w:t>Required backend settings include DATABASE_URL and REDIS_URL. QDRANT_HOST, QDRANT_PORT, and UPLOAD_DIR have defaults in the settings class, with Compose expected to provide container-appropriate service addresses. NLI policy is selected through DOCUAUDIT_NLI_MODE. Model identifiers are currently encoded in application modules, so changing a checkpoint requires a code/configuration release rather than a single environment override.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Setting or artifact</w:t>
            </w:r>
          </w:p>
        </w:tc>
        <w:tc>
          <w:tcPr>
            <w:tcW w:type="dxa" w:w="3264"/>
            <w:shd w:fill="17365D"/>
          </w:tcPr>
          <w:p>
            <w:r>
              <w:rPr>
                <w:b/>
                <w:color w:val="FFFFFF"/>
                <w:sz w:val="24"/>
              </w:rPr>
              <w:t>Purpose</w:t>
            </w:r>
          </w:p>
        </w:tc>
        <w:tc>
          <w:tcPr>
            <w:tcW w:type="dxa" w:w="3264"/>
            <w:shd w:fill="17365D"/>
          </w:tcPr>
          <w:p>
            <w:r>
              <w:rPr>
                <w:b/>
                <w:color w:val="FFFFFF"/>
                <w:sz w:val="24"/>
              </w:rPr>
              <w:t>Handling guidance</w:t>
            </w:r>
          </w:p>
        </w:tc>
      </w:tr>
      <w:tr>
        <w:tc>
          <w:tcPr>
            <w:tcW w:type="dxa" w:w="3264"/>
            <w:vAlign w:val="center"/>
          </w:tcPr>
          <w:p>
            <w:pPr>
              <w:spacing w:line="276" w:lineRule="auto"/>
            </w:pPr>
            <w:r>
              <w:rPr>
                <w:sz w:val="24"/>
              </w:rPr>
              <w:t>DATABASE_URL</w:t>
            </w:r>
          </w:p>
        </w:tc>
        <w:tc>
          <w:tcPr>
            <w:tcW w:type="dxa" w:w="3264"/>
            <w:vAlign w:val="center"/>
          </w:tcPr>
          <w:p>
            <w:pPr>
              <w:spacing w:line="276" w:lineRule="auto"/>
            </w:pPr>
            <w:r>
              <w:rPr>
                <w:sz w:val="24"/>
              </w:rPr>
              <w:t>SQLAlchemy connection to PostgreSQL.</w:t>
            </w:r>
          </w:p>
        </w:tc>
        <w:tc>
          <w:tcPr>
            <w:tcW w:type="dxa" w:w="3264"/>
            <w:vAlign w:val="center"/>
          </w:tcPr>
          <w:p>
            <w:pPr>
              <w:spacing w:line="276" w:lineRule="auto"/>
            </w:pPr>
            <w:r>
              <w:rPr>
                <w:sz w:val="24"/>
              </w:rPr>
              <w:t>Store in an environment secret; do not commit credentials.</w:t>
            </w:r>
          </w:p>
        </w:tc>
      </w:tr>
      <w:tr>
        <w:tc>
          <w:tcPr>
            <w:tcW w:type="dxa" w:w="3264"/>
            <w:vAlign w:val="center"/>
            <w:shd w:fill="EAF0F6"/>
          </w:tcPr>
          <w:p>
            <w:pPr>
              <w:spacing w:line="276" w:lineRule="auto"/>
            </w:pPr>
            <w:r>
              <w:rPr>
                <w:sz w:val="24"/>
              </w:rPr>
              <w:t>REDIS_URL</w:t>
            </w:r>
          </w:p>
        </w:tc>
        <w:tc>
          <w:tcPr>
            <w:tcW w:type="dxa" w:w="3264"/>
            <w:vAlign w:val="center"/>
            <w:shd w:fill="EAF0F6"/>
          </w:tcPr>
          <w:p>
            <w:pPr>
              <w:spacing w:line="276" w:lineRule="auto"/>
            </w:pPr>
            <w:r>
              <w:rPr>
                <w:sz w:val="24"/>
              </w:rPr>
              <w:t>Celery broker connection.</w:t>
            </w:r>
          </w:p>
        </w:tc>
        <w:tc>
          <w:tcPr>
            <w:tcW w:type="dxa" w:w="3264"/>
            <w:vAlign w:val="center"/>
            <w:shd w:fill="EAF0F6"/>
          </w:tcPr>
          <w:p>
            <w:pPr>
              <w:spacing w:line="276" w:lineRule="auto"/>
            </w:pPr>
            <w:r>
              <w:rPr>
                <w:sz w:val="24"/>
              </w:rPr>
              <w:t>Restrict network access and use a protected secret.</w:t>
            </w:r>
          </w:p>
        </w:tc>
      </w:tr>
      <w:tr>
        <w:tc>
          <w:tcPr>
            <w:tcW w:type="dxa" w:w="3264"/>
            <w:vAlign w:val="center"/>
          </w:tcPr>
          <w:p>
            <w:pPr>
              <w:spacing w:line="276" w:lineRule="auto"/>
            </w:pPr>
            <w:r>
              <w:rPr>
                <w:sz w:val="24"/>
              </w:rPr>
              <w:t>QDRANT_HOST / QDRANT_PORT</w:t>
            </w:r>
          </w:p>
        </w:tc>
        <w:tc>
          <w:tcPr>
            <w:tcW w:type="dxa" w:w="3264"/>
            <w:vAlign w:val="center"/>
          </w:tcPr>
          <w:p>
            <w:pPr>
              <w:spacing w:line="276" w:lineRule="auto"/>
            </w:pPr>
            <w:r>
              <w:rPr>
                <w:sz w:val="24"/>
              </w:rPr>
              <w:t>Vector service address.</w:t>
            </w:r>
          </w:p>
        </w:tc>
        <w:tc>
          <w:tcPr>
            <w:tcW w:type="dxa" w:w="3264"/>
            <w:vAlign w:val="center"/>
          </w:tcPr>
          <w:p>
            <w:pPr>
              <w:spacing w:line="276" w:lineRule="auto"/>
            </w:pPr>
            <w:r>
              <w:rPr>
                <w:sz w:val="24"/>
              </w:rPr>
              <w:t>Use service discovery appropriate to container or local execution.</w:t>
            </w:r>
          </w:p>
        </w:tc>
      </w:tr>
      <w:tr>
        <w:tc>
          <w:tcPr>
            <w:tcW w:type="dxa" w:w="3264"/>
            <w:vAlign w:val="center"/>
            <w:shd w:fill="EAF0F6"/>
          </w:tcPr>
          <w:p>
            <w:pPr>
              <w:spacing w:line="276" w:lineRule="auto"/>
            </w:pPr>
            <w:r>
              <w:rPr>
                <w:sz w:val="24"/>
              </w:rPr>
              <w:t>UPLOAD_DIR</w:t>
            </w:r>
          </w:p>
        </w:tc>
        <w:tc>
          <w:tcPr>
            <w:tcW w:type="dxa" w:w="3264"/>
            <w:vAlign w:val="center"/>
            <w:shd w:fill="EAF0F6"/>
          </w:tcPr>
          <w:p>
            <w:pPr>
              <w:spacing w:line="276" w:lineRule="auto"/>
            </w:pPr>
            <w:r>
              <w:rPr>
                <w:sz w:val="24"/>
              </w:rPr>
              <w:t>Shared location for source PDFs.</w:t>
            </w:r>
          </w:p>
        </w:tc>
        <w:tc>
          <w:tcPr>
            <w:tcW w:type="dxa" w:w="3264"/>
            <w:vAlign w:val="center"/>
            <w:shd w:fill="EAF0F6"/>
          </w:tcPr>
          <w:p>
            <w:pPr>
              <w:spacing w:line="276" w:lineRule="auto"/>
            </w:pPr>
            <w:r>
              <w:rPr>
                <w:sz w:val="24"/>
              </w:rPr>
              <w:t>Mount consistently for API and worker; apply retention controls.</w:t>
            </w:r>
          </w:p>
        </w:tc>
      </w:tr>
      <w:tr>
        <w:tc>
          <w:tcPr>
            <w:tcW w:type="dxa" w:w="3264"/>
            <w:vAlign w:val="center"/>
          </w:tcPr>
          <w:p>
            <w:pPr>
              <w:spacing w:line="276" w:lineRule="auto"/>
            </w:pPr>
            <w:r>
              <w:rPr>
                <w:sz w:val="24"/>
              </w:rPr>
              <w:t>DOCUAUDIT_NLI_MODE</w:t>
            </w:r>
          </w:p>
        </w:tc>
        <w:tc>
          <w:tcPr>
            <w:tcW w:type="dxa" w:w="3264"/>
            <w:vAlign w:val="center"/>
          </w:tcPr>
          <w:p>
            <w:pPr>
              <w:spacing w:line="276" w:lineRule="auto"/>
            </w:pPr>
            <w:r>
              <w:rPr>
                <w:sz w:val="24"/>
              </w:rPr>
              <w:t>veto, strict, or off verification policy.</w:t>
            </w:r>
          </w:p>
        </w:tc>
        <w:tc>
          <w:tcPr>
            <w:tcW w:type="dxa" w:w="3264"/>
            <w:vAlign w:val="center"/>
          </w:tcPr>
          <w:p>
            <w:pPr>
              <w:spacing w:line="276" w:lineRule="auto"/>
            </w:pPr>
            <w:r>
              <w:rPr>
                <w:sz w:val="24"/>
              </w:rPr>
              <w:t>Record chosen value with evaluation and deployment configuration.</w:t>
            </w:r>
          </w:p>
        </w:tc>
      </w:tr>
      <w:tr>
        <w:tc>
          <w:tcPr>
            <w:tcW w:type="dxa" w:w="3264"/>
            <w:vAlign w:val="center"/>
            <w:shd w:fill="EAF0F6"/>
          </w:tcPr>
          <w:p>
            <w:pPr>
              <w:spacing w:line="276" w:lineRule="auto"/>
            </w:pPr>
            <w:r>
              <w:rPr>
                <w:sz w:val="24"/>
              </w:rPr>
              <w:t>Model cache volume</w:t>
            </w:r>
          </w:p>
        </w:tc>
        <w:tc>
          <w:tcPr>
            <w:tcW w:type="dxa" w:w="3264"/>
            <w:vAlign w:val="center"/>
            <w:shd w:fill="EAF0F6"/>
          </w:tcPr>
          <w:p>
            <w:pPr>
              <w:spacing w:line="276" w:lineRule="auto"/>
            </w:pPr>
            <w:r>
              <w:rPr>
                <w:sz w:val="24"/>
              </w:rPr>
              <w:t>Downloaded QA, NER, NLI, and embedding artifacts.</w:t>
            </w:r>
          </w:p>
        </w:tc>
        <w:tc>
          <w:tcPr>
            <w:tcW w:type="dxa" w:w="3264"/>
            <w:vAlign w:val="center"/>
            <w:shd w:fill="EAF0F6"/>
          </w:tcPr>
          <w:p>
            <w:pPr>
              <w:spacing w:line="276" w:lineRule="auto"/>
            </w:pPr>
            <w:r>
              <w:rPr>
                <w:sz w:val="24"/>
              </w:rPr>
              <w:t>Track size and permissions; avoid exposing cached files.</w:t>
            </w:r>
          </w:p>
        </w:tc>
      </w:tr>
    </w:tbl>
    <w:p>
      <w:pPr>
        <w:pStyle w:val="Caption"/>
        <w:keepLines/>
        <w:jc w:val="center"/>
      </w:pPr>
      <w:r>
        <w:t>Table 17. Environment Configuration Reference</w:t>
      </w:r>
    </w:p>
    <w:p/>
    <w:p>
      <w:pPr>
        <w:pStyle w:val="Heading2"/>
        <w:keepNext/>
      </w:pPr>
      <w:r>
        <w:t>13.3 Persistence, Backup, and Recovery</w:t>
      </w:r>
    </w:p>
    <w:p>
      <w:r>
        <w:t>The deployment has multiple state stores with different recovery requirements. PostgreSQL contains document state and extraction/compliance/audit JSON. The uploads volume contains the source PDF used by a worker and potentially by a reviewer. Qdrant contains embeddings and text payloads used for retrieval. Redis is principally a queue/broker in this architecture, while model caches reduce repeat download cost. A backup plan must decide which stores are authoritative and how they are restored together.</w:t>
      </w:r>
    </w:p>
    <w:p>
      <w:r>
        <w:t>A database-only restore can leave document rows whose source files are missing. An upload-only restore can leave orphan files with no database record. A Qdrant restore can be rebuilt from source PDFs and the embedding model, but only if the code, model artifact, and source files are available. A production recovery procedure should define point-in-time targets, backup frequency, encryption, access control, restoration tests, and consistency checks across these stores. None of these recovery objectives is claimed as implemented in the current repository.</w:t>
      </w:r>
    </w:p>
    <w:p>
      <w:pPr>
        <w:pStyle w:val="Heading2"/>
        <w:keepNext/>
      </w:pPr>
      <w:r>
        <w:t>13.4 Capacity and Performance Considerations</w:t>
      </w:r>
    </w:p>
    <w:p>
      <w:r>
        <w:t>The repository does not define a latency service-level objective, maximum upload size, worker concurrency target, or tested throughput. The QA, NER, NLI, and embedding models have distinct memory and initialization costs; keeping them resident in a worker can increase readiness time and memory pressure. Increasing Celery concurrency may multiply model memory usage if each process loads a separate copy. Capacity planning should therefore measure cold-start time, warm inference latency, peak memory, throughput, queue delay, and model-cache size on the target hardware.</w:t>
      </w:r>
    </w:p>
    <w:p>
      <w:r>
        <w:t>The current vector index stores a single full-text chunk per document in the observed worker path. As invoices become longer or more varied, chunking by page or section could improve retrieval precision but would require preserving page metadata and testing chunk boundaries. PostgreSQL duplicate detection scans earlier extraction rows in application code; database indexes and normalized vendor/invoice keys would be needed as volume grows. These are scale options to evaluate, not performance gains already measured.</w:t>
      </w:r>
    </w:p>
    <w:p>
      <w:pPr>
        <w:pStyle w:val="Heading2"/>
        <w:keepNext/>
      </w:pPr>
      <w:r>
        <w:t>13.5 Operational Monitoring and Change Control</w:t>
      </w:r>
    </w:p>
    <w:p>
      <w:r>
        <w:t>A minimum operational dashboard should separate document outcomes from service health. Useful measures include uploads per interval, pending queue depth, median and tail processing time, counts by terminal status, needs_review rate, failed-task rate, unsupported field counts, compliance flags, database errors, Qdrant errors, and worker resource consumption. Logs should correlate API, database row, and Celery task identifiers while avoiding unnecessary invoice text or sensitive values.</w:t>
      </w:r>
    </w:p>
    <w:p>
      <w:r>
        <w:t>Model or rule changes should be released with a recorded code revision, package versions, model identifiers, NLI mode, evaluation dataset version, and scorecard. The existing audit model has a model_versions JSON field, but the current worker writes an empty object, so the report recommends adding populated version data. A release should run unit tests and the benchmark gate in a controlled environment and should not be approved based only on the final synthetic score.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Signal</w:t>
            </w:r>
          </w:p>
        </w:tc>
        <w:tc>
          <w:tcPr>
            <w:tcW w:type="dxa" w:w="3264"/>
            <w:shd w:fill="17365D"/>
          </w:tcPr>
          <w:p>
            <w:r>
              <w:rPr>
                <w:b/>
                <w:color w:val="FFFFFF"/>
                <w:sz w:val="24"/>
              </w:rPr>
              <w:t>Why it matters</w:t>
            </w:r>
          </w:p>
        </w:tc>
        <w:tc>
          <w:tcPr>
            <w:tcW w:type="dxa" w:w="3264"/>
            <w:shd w:fill="17365D"/>
          </w:tcPr>
          <w:p>
            <w:r>
              <w:rPr>
                <w:b/>
                <w:color w:val="FFFFFF"/>
                <w:sz w:val="24"/>
              </w:rPr>
              <w:t>Response when abnormal</w:t>
            </w:r>
          </w:p>
        </w:tc>
      </w:tr>
      <w:tr>
        <w:tc>
          <w:tcPr>
            <w:tcW w:type="dxa" w:w="3264"/>
            <w:vAlign w:val="center"/>
          </w:tcPr>
          <w:p>
            <w:pPr>
              <w:spacing w:line="276" w:lineRule="auto"/>
            </w:pPr>
            <w:r>
              <w:rPr>
                <w:sz w:val="24"/>
              </w:rPr>
              <w:t>Pending queue depth</w:t>
            </w:r>
          </w:p>
        </w:tc>
        <w:tc>
          <w:tcPr>
            <w:tcW w:type="dxa" w:w="3264"/>
            <w:vAlign w:val="center"/>
          </w:tcPr>
          <w:p>
            <w:pPr>
              <w:spacing w:line="276" w:lineRule="auto"/>
            </w:pPr>
            <w:r>
              <w:rPr>
                <w:sz w:val="24"/>
              </w:rPr>
              <w:t>Shows whether jobs are accumulating faster than workers process them.</w:t>
            </w:r>
          </w:p>
        </w:tc>
        <w:tc>
          <w:tcPr>
            <w:tcW w:type="dxa" w:w="3264"/>
            <w:vAlign w:val="center"/>
          </w:tcPr>
          <w:p>
            <w:pPr>
              <w:spacing w:line="276" w:lineRule="auto"/>
            </w:pPr>
            <w:r>
              <w:rPr>
                <w:sz w:val="24"/>
              </w:rPr>
              <w:t>Check worker count, model initialization, and Redis connectivity.</w:t>
            </w:r>
          </w:p>
        </w:tc>
      </w:tr>
      <w:tr>
        <w:tc>
          <w:tcPr>
            <w:tcW w:type="dxa" w:w="3264"/>
            <w:vAlign w:val="center"/>
            <w:shd w:fill="EAF0F6"/>
          </w:tcPr>
          <w:p>
            <w:pPr>
              <w:spacing w:line="276" w:lineRule="auto"/>
            </w:pPr>
            <w:r>
              <w:rPr>
                <w:sz w:val="24"/>
              </w:rPr>
              <w:t>Failed document rate</w:t>
            </w:r>
          </w:p>
        </w:tc>
        <w:tc>
          <w:tcPr>
            <w:tcW w:type="dxa" w:w="3264"/>
            <w:vAlign w:val="center"/>
            <w:shd w:fill="EAF0F6"/>
          </w:tcPr>
          <w:p>
            <w:pPr>
              <w:spacing w:line="276" w:lineRule="auto"/>
            </w:pPr>
            <w:r>
              <w:rPr>
                <w:sz w:val="24"/>
              </w:rPr>
              <w:t>Separates infrastructure and pipeline exceptions from review outcomes.</w:t>
            </w:r>
          </w:p>
        </w:tc>
        <w:tc>
          <w:tcPr>
            <w:tcW w:type="dxa" w:w="3264"/>
            <w:vAlign w:val="center"/>
            <w:shd w:fill="EAF0F6"/>
          </w:tcPr>
          <w:p>
            <w:pPr>
              <w:spacing w:line="276" w:lineRule="auto"/>
            </w:pPr>
            <w:r>
              <w:rPr>
                <w:sz w:val="24"/>
              </w:rPr>
              <w:t>Group by exception type and dependency before retrying.</w:t>
            </w:r>
          </w:p>
        </w:tc>
      </w:tr>
      <w:tr>
        <w:tc>
          <w:tcPr>
            <w:tcW w:type="dxa" w:w="3264"/>
            <w:vAlign w:val="center"/>
          </w:tcPr>
          <w:p>
            <w:pPr>
              <w:spacing w:line="276" w:lineRule="auto"/>
            </w:pPr>
            <w:r>
              <w:rPr>
                <w:sz w:val="24"/>
              </w:rPr>
              <w:t>Needs-review rate</w:t>
            </w:r>
          </w:p>
        </w:tc>
        <w:tc>
          <w:tcPr>
            <w:tcW w:type="dxa" w:w="3264"/>
            <w:vAlign w:val="center"/>
          </w:tcPr>
          <w:p>
            <w:pPr>
              <w:spacing w:line="276" w:lineRule="auto"/>
            </w:pPr>
            <w:r>
              <w:rPr>
                <w:sz w:val="24"/>
              </w:rPr>
              <w:t>Measures unsupported fields and uncertainty burden.</w:t>
            </w:r>
          </w:p>
        </w:tc>
        <w:tc>
          <w:tcPr>
            <w:tcW w:type="dxa" w:w="3264"/>
            <w:vAlign w:val="center"/>
          </w:tcPr>
          <w:p>
            <w:pPr>
              <w:spacing w:line="276" w:lineRule="auto"/>
            </w:pPr>
            <w:r>
              <w:rPr>
                <w:sz w:val="24"/>
              </w:rPr>
              <w:t>Inspect field-level reasons and label/layout drift.</w:t>
            </w:r>
          </w:p>
        </w:tc>
      </w:tr>
      <w:tr>
        <w:tc>
          <w:tcPr>
            <w:tcW w:type="dxa" w:w="3264"/>
            <w:vAlign w:val="center"/>
            <w:shd w:fill="EAF0F6"/>
          </w:tcPr>
          <w:p>
            <w:pPr>
              <w:spacing w:line="276" w:lineRule="auto"/>
            </w:pPr>
            <w:r>
              <w:rPr>
                <w:sz w:val="24"/>
              </w:rPr>
              <w:t>Worker memory and restart count</w:t>
            </w:r>
          </w:p>
        </w:tc>
        <w:tc>
          <w:tcPr>
            <w:tcW w:type="dxa" w:w="3264"/>
            <w:vAlign w:val="center"/>
            <w:shd w:fill="EAF0F6"/>
          </w:tcPr>
          <w:p>
            <w:pPr>
              <w:spacing w:line="276" w:lineRule="auto"/>
            </w:pPr>
            <w:r>
              <w:rPr>
                <w:sz w:val="24"/>
              </w:rPr>
              <w:t>Model loading and concurrency can exhaust resources.</w:t>
            </w:r>
          </w:p>
        </w:tc>
        <w:tc>
          <w:tcPr>
            <w:tcW w:type="dxa" w:w="3264"/>
            <w:vAlign w:val="center"/>
            <w:shd w:fill="EAF0F6"/>
          </w:tcPr>
          <w:p>
            <w:pPr>
              <w:spacing w:line="276" w:lineRule="auto"/>
            </w:pPr>
            <w:r>
              <w:rPr>
                <w:sz w:val="24"/>
              </w:rPr>
              <w:t>Reduce concurrency or provision measured capacity.</w:t>
            </w:r>
          </w:p>
        </w:tc>
      </w:tr>
      <w:tr>
        <w:tc>
          <w:tcPr>
            <w:tcW w:type="dxa" w:w="3264"/>
            <w:vAlign w:val="center"/>
          </w:tcPr>
          <w:p>
            <w:pPr>
              <w:spacing w:line="276" w:lineRule="auto"/>
            </w:pPr>
            <w:r>
              <w:rPr>
                <w:sz w:val="24"/>
              </w:rPr>
              <w:t>Upload storage growth</w:t>
            </w:r>
          </w:p>
        </w:tc>
        <w:tc>
          <w:tcPr>
            <w:tcW w:type="dxa" w:w="3264"/>
            <w:vAlign w:val="center"/>
          </w:tcPr>
          <w:p>
            <w:pPr>
              <w:spacing w:line="276" w:lineRule="auto"/>
            </w:pPr>
            <w:r>
              <w:rPr>
                <w:sz w:val="24"/>
              </w:rPr>
              <w:t>Source PDFs can contain sensitive financial data.</w:t>
            </w:r>
          </w:p>
        </w:tc>
        <w:tc>
          <w:tcPr>
            <w:tcW w:type="dxa" w:w="3264"/>
            <w:vAlign w:val="center"/>
          </w:tcPr>
          <w:p>
            <w:pPr>
              <w:spacing w:line="276" w:lineRule="auto"/>
            </w:pPr>
            <w:r>
              <w:rPr>
                <w:sz w:val="24"/>
              </w:rPr>
              <w:t>Apply approved retention and secure deletion procedures.</w:t>
            </w:r>
          </w:p>
        </w:tc>
      </w:tr>
      <w:tr>
        <w:tc>
          <w:tcPr>
            <w:tcW w:type="dxa" w:w="3264"/>
            <w:vAlign w:val="center"/>
            <w:shd w:fill="EAF0F6"/>
          </w:tcPr>
          <w:p>
            <w:pPr>
              <w:spacing w:line="276" w:lineRule="auto"/>
            </w:pPr>
            <w:r>
              <w:rPr>
                <w:sz w:val="24"/>
              </w:rPr>
              <w:t>Duplicate lookup warning count</w:t>
            </w:r>
          </w:p>
        </w:tc>
        <w:tc>
          <w:tcPr>
            <w:tcW w:type="dxa" w:w="3264"/>
            <w:vAlign w:val="center"/>
            <w:shd w:fill="EAF0F6"/>
          </w:tcPr>
          <w:p>
            <w:pPr>
              <w:spacing w:line="276" w:lineRule="auto"/>
            </w:pPr>
            <w:r>
              <w:rPr>
                <w:sz w:val="24"/>
              </w:rPr>
              <w:t>A skipped lookup weakens one compliance control.</w:t>
            </w:r>
          </w:p>
        </w:tc>
        <w:tc>
          <w:tcPr>
            <w:tcW w:type="dxa" w:w="3264"/>
            <w:vAlign w:val="center"/>
            <w:shd w:fill="EAF0F6"/>
          </w:tcPr>
          <w:p>
            <w:pPr>
              <w:spacing w:line="276" w:lineRule="auto"/>
            </w:pPr>
            <w:r>
              <w:rPr>
                <w:sz w:val="24"/>
              </w:rPr>
              <w:t>Restore DB access and surface degraded status to operators.</w:t>
            </w:r>
          </w:p>
        </w:tc>
      </w:tr>
    </w:tbl>
    <w:p>
      <w:pPr>
        <w:pStyle w:val="Caption"/>
        <w:keepLines/>
        <w:jc w:val="center"/>
      </w:pPr>
      <w:r>
        <w:t>Table 18. Operational Monitoring Checklist</w:t>
      </w:r>
    </w:p>
    <w:p/>
    <w:p>
      <w:r>
        <w:br w:type="page"/>
      </w:r>
    </w:p>
    <w:p>
      <w:pPr>
        <w:pStyle w:val="Heading1"/>
        <w:keepNext/>
      </w:pPr>
      <w:r>
        <w:t>14. Test Engineering and Acceptance Plan</w:t>
      </w:r>
    </w:p>
    <w:p>
      <w:r>
        <w:t>This chapter turns the repository’s test modules and evaluation scripts into a structured quality plan. It separates tests that are present in the codebase from acceptance activities proposed for a future release. Report preparation did not execute pytest or rerun the invoice evaluation; the test descriptions below document coverage and recommended evidence, not a new pass result.</w:t>
      </w:r>
    </w:p>
    <w:p>
      <w:pPr>
        <w:pStyle w:val="Heading2"/>
        <w:keepNext/>
      </w:pPr>
      <w:r>
        <w:t>14.1 Verification Levels</w:t>
      </w:r>
    </w:p>
    <w:p>
      <w:r>
        <w:t>Unit tests isolate deterministic functions and small pieces of workflow logic. They are appropriate for date and amount parsing, field-label conflicts, candidate ordering, duplicate normalization, NLI-mode policy selection, repair routing, and metric calculations. These tests can use monkeypatched model functions so the policy logic is checked without downloading or running large transformer models.</w:t>
      </w:r>
    </w:p>
    <w:p>
      <w:r>
        <w:t>Component tests should exercise connections between the API, database, broker, worker, and vector store. They can verify that a valid upload creates a record, stores a file, and enqueues a task; that a worker result persists extraction/compliance/audit data; and that the detail endpoint returns the combined result. Such tests require controlled service instances and clean fixtures. They are distinct from the unit tests enumerated in the current repository.</w:t>
      </w:r>
    </w:p>
    <w:p>
      <w:r>
        <w:t>End-to-end evaluation tests run labelled invoice PDFs through ingestion, indexing, the LangGraph pipeline, and metric scoring. The golden dataset includes expected field values and compliance flags. Because models and vector services may be expensive or nondeterministic, the evaluation environment should pin dependencies and artifacts, isolate database state, and record exactly which dataset and configuration produced each score.</w:t>
      </w:r>
    </w:p>
    <w:p>
      <w:r>
        <w:t>Operational acceptance tests should cover startup and recovery rather than only model correctness. They include service readiness, worker availability, queue behavior, disk exhaustion handling, malformed or oversized uploads, API timeout behavior, and restoration of persistent data. These scenarios are not represented by a high benchmark F1 score, and they need explicit criteria before the prototype is exposed to real financial documents.</w:t>
      </w:r>
    </w:p>
    <w:p>
      <w:pPr>
        <w:pStyle w:val="Heading2"/>
        <w:keepNext/>
      </w:pPr>
      <w:r>
        <w:t>14.2 Test Design Matrix</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Quality area</w:t>
            </w:r>
          </w:p>
        </w:tc>
        <w:tc>
          <w:tcPr>
            <w:tcW w:type="dxa" w:w="2448"/>
            <w:shd w:fill="17365D"/>
          </w:tcPr>
          <w:p>
            <w:r>
              <w:rPr>
                <w:b/>
                <w:color w:val="FFFFFF"/>
                <w:sz w:val="24"/>
              </w:rPr>
              <w:t>Test level</w:t>
            </w:r>
          </w:p>
        </w:tc>
        <w:tc>
          <w:tcPr>
            <w:tcW w:type="dxa" w:w="2448"/>
            <w:shd w:fill="17365D"/>
          </w:tcPr>
          <w:p>
            <w:r>
              <w:rPr>
                <w:b/>
                <w:color w:val="FFFFFF"/>
                <w:sz w:val="24"/>
              </w:rPr>
              <w:t>Evidence to collect</w:t>
            </w:r>
          </w:p>
        </w:tc>
        <w:tc>
          <w:tcPr>
            <w:tcW w:type="dxa" w:w="2448"/>
            <w:shd w:fill="17365D"/>
          </w:tcPr>
          <w:p>
            <w:r>
              <w:rPr>
                <w:b/>
                <w:color w:val="FFFFFF"/>
                <w:sz w:val="24"/>
              </w:rPr>
              <w:t>Acceptance interpretation</w:t>
            </w:r>
          </w:p>
        </w:tc>
      </w:tr>
      <w:tr>
        <w:tc>
          <w:tcPr>
            <w:tcW w:type="dxa" w:w="2448"/>
            <w:vAlign w:val="center"/>
          </w:tcPr>
          <w:p>
            <w:pPr>
              <w:spacing w:line="276" w:lineRule="auto"/>
            </w:pPr>
            <w:r>
              <w:rPr>
                <w:sz w:val="24"/>
              </w:rPr>
              <w:t>Field validation</w:t>
            </w:r>
          </w:p>
        </w:tc>
        <w:tc>
          <w:tcPr>
            <w:tcW w:type="dxa" w:w="2448"/>
            <w:vAlign w:val="center"/>
          </w:tcPr>
          <w:p>
            <w:pPr>
              <w:spacing w:line="276" w:lineRule="auto"/>
            </w:pPr>
            <w:r>
              <w:rPr>
                <w:sz w:val="24"/>
              </w:rPr>
              <w:t>Unit</w:t>
            </w:r>
          </w:p>
        </w:tc>
        <w:tc>
          <w:tcPr>
            <w:tcW w:type="dxa" w:w="2448"/>
            <w:vAlign w:val="center"/>
          </w:tcPr>
          <w:p>
            <w:pPr>
              <w:spacing w:line="276" w:lineRule="auto"/>
            </w:pPr>
            <w:r>
              <w:rPr>
                <w:sz w:val="24"/>
              </w:rPr>
              <w:t>Date/money formats, empty values, label conflicts.</w:t>
            </w:r>
          </w:p>
        </w:tc>
        <w:tc>
          <w:tcPr>
            <w:tcW w:type="dxa" w:w="2448"/>
            <w:vAlign w:val="center"/>
          </w:tcPr>
          <w:p>
            <w:pPr>
              <w:spacing w:line="276" w:lineRule="auto"/>
            </w:pPr>
            <w:r>
              <w:rPr>
                <w:sz w:val="24"/>
              </w:rPr>
              <w:t>Invalid values are rejected with a reason.</w:t>
            </w:r>
          </w:p>
        </w:tc>
      </w:tr>
      <w:tr>
        <w:tc>
          <w:tcPr>
            <w:tcW w:type="dxa" w:w="2448"/>
            <w:vAlign w:val="center"/>
            <w:shd w:fill="EAF0F6"/>
          </w:tcPr>
          <w:p>
            <w:pPr>
              <w:spacing w:line="276" w:lineRule="auto"/>
            </w:pPr>
            <w:r>
              <w:rPr>
                <w:sz w:val="24"/>
              </w:rPr>
              <w:t>Candidate repair</w:t>
            </w:r>
          </w:p>
        </w:tc>
        <w:tc>
          <w:tcPr>
            <w:tcW w:type="dxa" w:w="2448"/>
            <w:vAlign w:val="center"/>
            <w:shd w:fill="EAF0F6"/>
          </w:tcPr>
          <w:p>
            <w:pPr>
              <w:spacing w:line="276" w:lineRule="auto"/>
            </w:pPr>
            <w:r>
              <w:rPr>
                <w:sz w:val="24"/>
              </w:rPr>
              <w:t>Unit + graph</w:t>
            </w:r>
          </w:p>
        </w:tc>
        <w:tc>
          <w:tcPr>
            <w:tcW w:type="dxa" w:w="2448"/>
            <w:vAlign w:val="center"/>
            <w:shd w:fill="EAF0F6"/>
          </w:tcPr>
          <w:p>
            <w:pPr>
              <w:spacing w:line="276" w:lineRule="auto"/>
            </w:pPr>
            <w:r>
              <w:rPr>
                <w:sz w:val="24"/>
              </w:rPr>
              <w:t>Candidate order, exclusion, one-round termination.</w:t>
            </w:r>
          </w:p>
        </w:tc>
        <w:tc>
          <w:tcPr>
            <w:tcW w:type="dxa" w:w="2448"/>
            <w:vAlign w:val="center"/>
            <w:shd w:fill="EAF0F6"/>
          </w:tcPr>
          <w:p>
            <w:pPr>
              <w:spacing w:line="276" w:lineRule="auto"/>
            </w:pPr>
            <w:r>
              <w:rPr>
                <w:sz w:val="24"/>
              </w:rPr>
              <w:t>Replacement is kept only when supported.</w:t>
            </w:r>
          </w:p>
        </w:tc>
      </w:tr>
      <w:tr>
        <w:tc>
          <w:tcPr>
            <w:tcW w:type="dxa" w:w="2448"/>
            <w:vAlign w:val="center"/>
          </w:tcPr>
          <w:p>
            <w:pPr>
              <w:spacing w:line="276" w:lineRule="auto"/>
            </w:pPr>
            <w:r>
              <w:rPr>
                <w:sz w:val="24"/>
              </w:rPr>
              <w:t>Compliance</w:t>
            </w:r>
          </w:p>
        </w:tc>
        <w:tc>
          <w:tcPr>
            <w:tcW w:type="dxa" w:w="2448"/>
            <w:vAlign w:val="center"/>
          </w:tcPr>
          <w:p>
            <w:pPr>
              <w:spacing w:line="276" w:lineRule="auto"/>
            </w:pPr>
            <w:r>
              <w:rPr>
                <w:sz w:val="24"/>
              </w:rPr>
              <w:t>Unit + integration</w:t>
            </w:r>
          </w:p>
        </w:tc>
        <w:tc>
          <w:tcPr>
            <w:tcW w:type="dxa" w:w="2448"/>
            <w:vAlign w:val="center"/>
          </w:tcPr>
          <w:p>
            <w:pPr>
              <w:spacing w:line="276" w:lineRule="auto"/>
            </w:pPr>
            <w:r>
              <w:rPr>
                <w:sz w:val="24"/>
              </w:rPr>
              <w:t>Arithmetic, threshold, duplicate, NER output.</w:t>
            </w:r>
          </w:p>
        </w:tc>
        <w:tc>
          <w:tcPr>
            <w:tcW w:type="dxa" w:w="2448"/>
            <w:vAlign w:val="center"/>
          </w:tcPr>
          <w:p>
            <w:pPr>
              <w:spacing w:line="276" w:lineRule="auto"/>
            </w:pPr>
            <w:r>
              <w:rPr>
                <w:sz w:val="24"/>
              </w:rPr>
              <w:t>Expected flags match the declared policy.</w:t>
            </w:r>
          </w:p>
        </w:tc>
      </w:tr>
      <w:tr>
        <w:tc>
          <w:tcPr>
            <w:tcW w:type="dxa" w:w="2448"/>
            <w:vAlign w:val="center"/>
            <w:shd w:fill="EAF0F6"/>
          </w:tcPr>
          <w:p>
            <w:pPr>
              <w:spacing w:line="276" w:lineRule="auto"/>
            </w:pPr>
            <w:r>
              <w:rPr>
                <w:sz w:val="24"/>
              </w:rPr>
              <w:t>Persistence and API</w:t>
            </w:r>
          </w:p>
        </w:tc>
        <w:tc>
          <w:tcPr>
            <w:tcW w:type="dxa" w:w="2448"/>
            <w:vAlign w:val="center"/>
            <w:shd w:fill="EAF0F6"/>
          </w:tcPr>
          <w:p>
            <w:pPr>
              <w:spacing w:line="276" w:lineRule="auto"/>
            </w:pPr>
            <w:r>
              <w:rPr>
                <w:sz w:val="24"/>
              </w:rPr>
              <w:t>Component</w:t>
            </w:r>
          </w:p>
        </w:tc>
        <w:tc>
          <w:tcPr>
            <w:tcW w:type="dxa" w:w="2448"/>
            <w:vAlign w:val="center"/>
            <w:shd w:fill="EAF0F6"/>
          </w:tcPr>
          <w:p>
            <w:pPr>
              <w:spacing w:line="276" w:lineRule="auto"/>
            </w:pPr>
            <w:r>
              <w:rPr>
                <w:sz w:val="24"/>
              </w:rPr>
              <w:t>Created row, task ID, response payload, final JSON.</w:t>
            </w:r>
          </w:p>
        </w:tc>
        <w:tc>
          <w:tcPr>
            <w:tcW w:type="dxa" w:w="2448"/>
            <w:vAlign w:val="center"/>
            <w:shd w:fill="EAF0F6"/>
          </w:tcPr>
          <w:p>
            <w:pPr>
              <w:spacing w:line="276" w:lineRule="auto"/>
            </w:pPr>
            <w:r>
              <w:rPr>
                <w:sz w:val="24"/>
              </w:rPr>
              <w:t>API and worker agree on durable state.</w:t>
            </w:r>
          </w:p>
        </w:tc>
      </w:tr>
      <w:tr>
        <w:tc>
          <w:tcPr>
            <w:tcW w:type="dxa" w:w="2448"/>
            <w:vAlign w:val="center"/>
          </w:tcPr>
          <w:p>
            <w:pPr>
              <w:spacing w:line="276" w:lineRule="auto"/>
            </w:pPr>
            <w:r>
              <w:rPr>
                <w:sz w:val="24"/>
              </w:rPr>
              <w:t>Benchmark behavior</w:t>
            </w:r>
          </w:p>
        </w:tc>
        <w:tc>
          <w:tcPr>
            <w:tcW w:type="dxa" w:w="2448"/>
            <w:vAlign w:val="center"/>
          </w:tcPr>
          <w:p>
            <w:pPr>
              <w:spacing w:line="276" w:lineRule="auto"/>
            </w:pPr>
            <w:r>
              <w:rPr>
                <w:sz w:val="24"/>
              </w:rPr>
              <w:t>End-to-end</w:t>
            </w:r>
          </w:p>
        </w:tc>
        <w:tc>
          <w:tcPr>
            <w:tcW w:type="dxa" w:w="2448"/>
            <w:vAlign w:val="center"/>
          </w:tcPr>
          <w:p>
            <w:pPr>
              <w:spacing w:line="276" w:lineRule="auto"/>
            </w:pPr>
            <w:r>
              <w:rPr>
                <w:sz w:val="24"/>
              </w:rPr>
              <w:t>Per-field metrics, verified mistakes, flags, review count.</w:t>
            </w:r>
          </w:p>
        </w:tc>
        <w:tc>
          <w:tcPr>
            <w:tcW w:type="dxa" w:w="2448"/>
            <w:vAlign w:val="center"/>
          </w:tcPr>
          <w:p>
            <w:pPr>
              <w:spacing w:line="276" w:lineRule="auto"/>
            </w:pPr>
            <w:r>
              <w:rPr>
                <w:sz w:val="24"/>
              </w:rPr>
              <w:t>Configured gate passes on its declared set.</w:t>
            </w:r>
          </w:p>
        </w:tc>
      </w:tr>
      <w:tr>
        <w:tc>
          <w:tcPr>
            <w:tcW w:type="dxa" w:w="2448"/>
            <w:vAlign w:val="center"/>
            <w:shd w:fill="EAF0F6"/>
          </w:tcPr>
          <w:p>
            <w:pPr>
              <w:spacing w:line="276" w:lineRule="auto"/>
            </w:pPr>
            <w:r>
              <w:rPr>
                <w:sz w:val="24"/>
              </w:rPr>
              <w:t>Deployment resilience</w:t>
            </w:r>
          </w:p>
        </w:tc>
        <w:tc>
          <w:tcPr>
            <w:tcW w:type="dxa" w:w="2448"/>
            <w:vAlign w:val="center"/>
            <w:shd w:fill="EAF0F6"/>
          </w:tcPr>
          <w:p>
            <w:pPr>
              <w:spacing w:line="276" w:lineRule="auto"/>
            </w:pPr>
            <w:r>
              <w:rPr>
                <w:sz w:val="24"/>
              </w:rPr>
              <w:t>Operational</w:t>
            </w:r>
          </w:p>
        </w:tc>
        <w:tc>
          <w:tcPr>
            <w:tcW w:type="dxa" w:w="2448"/>
            <w:vAlign w:val="center"/>
            <w:shd w:fill="EAF0F6"/>
          </w:tcPr>
          <w:p>
            <w:pPr>
              <w:spacing w:line="276" w:lineRule="auto"/>
            </w:pPr>
            <w:r>
              <w:rPr>
                <w:sz w:val="24"/>
              </w:rPr>
              <w:t>Startup, dependency outage, restart, restore.</w:t>
            </w:r>
          </w:p>
        </w:tc>
        <w:tc>
          <w:tcPr>
            <w:tcW w:type="dxa" w:w="2448"/>
            <w:vAlign w:val="center"/>
            <w:shd w:fill="EAF0F6"/>
          </w:tcPr>
          <w:p>
            <w:pPr>
              <w:spacing w:line="276" w:lineRule="auto"/>
            </w:pPr>
            <w:r>
              <w:rPr>
                <w:sz w:val="24"/>
              </w:rPr>
              <w:t>Failure is visible and recovery procedure works.</w:t>
            </w:r>
          </w:p>
        </w:tc>
      </w:tr>
    </w:tbl>
    <w:p>
      <w:pPr>
        <w:pStyle w:val="Caption"/>
        <w:keepLines/>
        <w:jc w:val="center"/>
      </w:pPr>
      <w:r>
        <w:t>Table 19. Test Design and Coverage Matrix</w:t>
      </w:r>
    </w:p>
    <w:p/>
    <w:p>
      <w:pPr>
        <w:pStyle w:val="Heading2"/>
        <w:keepNext/>
      </w:pPr>
      <w:r>
        <w:t>14.3 Detailed Test Case Specification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Case</w:t>
            </w:r>
          </w:p>
        </w:tc>
        <w:tc>
          <w:tcPr>
            <w:tcW w:type="dxa" w:w="2448"/>
            <w:shd w:fill="17365D"/>
          </w:tcPr>
          <w:p>
            <w:r>
              <w:rPr>
                <w:b/>
                <w:color w:val="FFFFFF"/>
                <w:sz w:val="24"/>
              </w:rPr>
              <w:t>Input condition</w:t>
            </w:r>
          </w:p>
        </w:tc>
        <w:tc>
          <w:tcPr>
            <w:tcW w:type="dxa" w:w="2448"/>
            <w:shd w:fill="17365D"/>
          </w:tcPr>
          <w:p>
            <w:r>
              <w:rPr>
                <w:b/>
                <w:color w:val="FFFFFF"/>
                <w:sz w:val="24"/>
              </w:rPr>
              <w:t>Expected system behavior</w:t>
            </w:r>
          </w:p>
        </w:tc>
        <w:tc>
          <w:tcPr>
            <w:tcW w:type="dxa" w:w="2448"/>
            <w:shd w:fill="17365D"/>
          </w:tcPr>
          <w:p>
            <w:r>
              <w:rPr>
                <w:b/>
                <w:color w:val="FFFFFF"/>
                <w:sz w:val="24"/>
              </w:rPr>
              <w:t>Evidence</w:t>
            </w:r>
          </w:p>
        </w:tc>
      </w:tr>
      <w:tr>
        <w:tc>
          <w:tcPr>
            <w:tcW w:type="dxa" w:w="2448"/>
            <w:vAlign w:val="center"/>
          </w:tcPr>
          <w:p>
            <w:pPr>
              <w:spacing w:line="276" w:lineRule="auto"/>
            </w:pPr>
            <w:r>
              <w:rPr>
                <w:sz w:val="24"/>
              </w:rPr>
              <w:t>TC-01</w:t>
            </w:r>
          </w:p>
        </w:tc>
        <w:tc>
          <w:tcPr>
            <w:tcW w:type="dxa" w:w="2448"/>
            <w:vAlign w:val="center"/>
          </w:tcPr>
          <w:p>
            <w:pPr>
              <w:spacing w:line="276" w:lineRule="auto"/>
            </w:pPr>
            <w:r>
              <w:rPr>
                <w:sz w:val="24"/>
              </w:rPr>
              <w:t>Correct amount under Total label.</w:t>
            </w:r>
          </w:p>
        </w:tc>
        <w:tc>
          <w:tcPr>
            <w:tcW w:type="dxa" w:w="2448"/>
            <w:vAlign w:val="center"/>
          </w:tcPr>
          <w:p>
            <w:pPr>
              <w:spacing w:line="276" w:lineRule="auto"/>
            </w:pPr>
            <w:r>
              <w:rPr>
                <w:sz w:val="24"/>
              </w:rPr>
              <w:t>Type, source, and label checks pass; audit records evidence.</w:t>
            </w:r>
          </w:p>
        </w:tc>
        <w:tc>
          <w:tcPr>
            <w:tcW w:type="dxa" w:w="2448"/>
            <w:vAlign w:val="center"/>
          </w:tcPr>
          <w:p>
            <w:pPr>
              <w:spacing w:line="276" w:lineRule="auto"/>
            </w:pPr>
            <w:r>
              <w:rPr>
                <w:sz w:val="24"/>
              </w:rPr>
              <w:t>Per-field audit result and source line.</w:t>
            </w:r>
          </w:p>
        </w:tc>
      </w:tr>
      <w:tr>
        <w:tc>
          <w:tcPr>
            <w:tcW w:type="dxa" w:w="2448"/>
            <w:vAlign w:val="center"/>
            <w:shd w:fill="EAF0F6"/>
          </w:tcPr>
          <w:p>
            <w:pPr>
              <w:spacing w:line="276" w:lineRule="auto"/>
            </w:pPr>
            <w:r>
              <w:rPr>
                <w:sz w:val="24"/>
              </w:rPr>
              <w:t>TC-02</w:t>
            </w:r>
          </w:p>
        </w:tc>
        <w:tc>
          <w:tcPr>
            <w:tcW w:type="dxa" w:w="2448"/>
            <w:vAlign w:val="center"/>
            <w:shd w:fill="EAF0F6"/>
          </w:tcPr>
          <w:p>
            <w:pPr>
              <w:spacing w:line="276" w:lineRule="auto"/>
            </w:pPr>
            <w:r>
              <w:rPr>
                <w:sz w:val="24"/>
              </w:rPr>
              <w:t>Subtotal value returned for Total.</w:t>
            </w:r>
          </w:p>
        </w:tc>
        <w:tc>
          <w:tcPr>
            <w:tcW w:type="dxa" w:w="2448"/>
            <w:vAlign w:val="center"/>
            <w:shd w:fill="EAF0F6"/>
          </w:tcPr>
          <w:p>
            <w:pPr>
              <w:spacing w:line="276" w:lineRule="auto"/>
            </w:pPr>
            <w:r>
              <w:rPr>
                <w:sz w:val="24"/>
              </w:rPr>
              <w:t>Conflicting subtotal label rejects candidate.</w:t>
            </w:r>
          </w:p>
        </w:tc>
        <w:tc>
          <w:tcPr>
            <w:tcW w:type="dxa" w:w="2448"/>
            <w:vAlign w:val="center"/>
            <w:shd w:fill="EAF0F6"/>
          </w:tcPr>
          <w:p>
            <w:pPr>
              <w:spacing w:line="276" w:lineRule="auto"/>
            </w:pPr>
            <w:r>
              <w:rPr>
                <w:sz w:val="24"/>
              </w:rPr>
              <w:t>label_mismatch reason.</w:t>
            </w:r>
          </w:p>
        </w:tc>
      </w:tr>
      <w:tr>
        <w:tc>
          <w:tcPr>
            <w:tcW w:type="dxa" w:w="2448"/>
            <w:vAlign w:val="center"/>
          </w:tcPr>
          <w:p>
            <w:pPr>
              <w:spacing w:line="276" w:lineRule="auto"/>
            </w:pPr>
            <w:r>
              <w:rPr>
                <w:sz w:val="24"/>
              </w:rPr>
              <w:t>TC-03</w:t>
            </w:r>
          </w:p>
        </w:tc>
        <w:tc>
          <w:tcPr>
            <w:tcW w:type="dxa" w:w="2448"/>
            <w:vAlign w:val="center"/>
          </w:tcPr>
          <w:p>
            <w:pPr>
              <w:spacing w:line="276" w:lineRule="auto"/>
            </w:pPr>
            <w:r>
              <w:rPr>
                <w:sz w:val="24"/>
              </w:rPr>
              <w:t>Invoice date returned as due date.</w:t>
            </w:r>
          </w:p>
        </w:tc>
        <w:tc>
          <w:tcPr>
            <w:tcW w:type="dxa" w:w="2448"/>
            <w:vAlign w:val="center"/>
          </w:tcPr>
          <w:p>
            <w:pPr>
              <w:spacing w:line="276" w:lineRule="auto"/>
            </w:pPr>
            <w:r>
              <w:rPr>
                <w:sz w:val="24"/>
              </w:rPr>
              <w:t>Date type may pass but due-date label check rejects it.</w:t>
            </w:r>
          </w:p>
        </w:tc>
        <w:tc>
          <w:tcPr>
            <w:tcW w:type="dxa" w:w="2448"/>
            <w:vAlign w:val="center"/>
          </w:tcPr>
          <w:p>
            <w:pPr>
              <w:spacing w:line="276" w:lineRule="auto"/>
            </w:pPr>
            <w:r>
              <w:rPr>
                <w:sz w:val="24"/>
              </w:rPr>
              <w:t>Unsupported audit with label evidence.</w:t>
            </w:r>
          </w:p>
        </w:tc>
      </w:tr>
      <w:tr>
        <w:tc>
          <w:tcPr>
            <w:tcW w:type="dxa" w:w="2448"/>
            <w:vAlign w:val="center"/>
            <w:shd w:fill="EAF0F6"/>
          </w:tcPr>
          <w:p>
            <w:pPr>
              <w:spacing w:line="276" w:lineRule="auto"/>
            </w:pPr>
            <w:r>
              <w:rPr>
                <w:sz w:val="24"/>
              </w:rPr>
              <w:t>TC-04</w:t>
            </w:r>
          </w:p>
        </w:tc>
        <w:tc>
          <w:tcPr>
            <w:tcW w:type="dxa" w:w="2448"/>
            <w:vAlign w:val="center"/>
            <w:shd w:fill="EAF0F6"/>
          </w:tcPr>
          <w:p>
            <w:pPr>
              <w:spacing w:line="276" w:lineRule="auto"/>
            </w:pPr>
            <w:r>
              <w:rPr>
                <w:sz w:val="24"/>
              </w:rPr>
              <w:t>Field absent from invoice.</w:t>
            </w:r>
          </w:p>
        </w:tc>
        <w:tc>
          <w:tcPr>
            <w:tcW w:type="dxa" w:w="2448"/>
            <w:vAlign w:val="center"/>
            <w:shd w:fill="EAF0F6"/>
          </w:tcPr>
          <w:p>
            <w:pPr>
              <w:spacing w:line="276" w:lineRule="auto"/>
            </w:pPr>
            <w:r>
              <w:rPr>
                <w:sz w:val="24"/>
              </w:rPr>
              <w:t>Empty or unsupported result is routed to review.</w:t>
            </w:r>
          </w:p>
        </w:tc>
        <w:tc>
          <w:tcPr>
            <w:tcW w:type="dxa" w:w="2448"/>
            <w:vAlign w:val="center"/>
            <w:shd w:fill="EAF0F6"/>
          </w:tcPr>
          <w:p>
            <w:pPr>
              <w:spacing w:line="276" w:lineRule="auto"/>
            </w:pPr>
            <w:r>
              <w:rPr>
                <w:sz w:val="24"/>
              </w:rPr>
              <w:t>No verified absent value.</w:t>
            </w:r>
          </w:p>
        </w:tc>
      </w:tr>
      <w:tr>
        <w:tc>
          <w:tcPr>
            <w:tcW w:type="dxa" w:w="2448"/>
            <w:vAlign w:val="center"/>
          </w:tcPr>
          <w:p>
            <w:pPr>
              <w:spacing w:line="276" w:lineRule="auto"/>
            </w:pPr>
            <w:r>
              <w:rPr>
                <w:sz w:val="24"/>
              </w:rPr>
              <w:t>TC-05</w:t>
            </w:r>
          </w:p>
        </w:tc>
        <w:tc>
          <w:tcPr>
            <w:tcW w:type="dxa" w:w="2448"/>
            <w:vAlign w:val="center"/>
          </w:tcPr>
          <w:p>
            <w:pPr>
              <w:spacing w:line="276" w:lineRule="auto"/>
            </w:pPr>
            <w:r>
              <w:rPr>
                <w:sz w:val="24"/>
              </w:rPr>
              <w:t>Value alone below a label on prior line.</w:t>
            </w:r>
          </w:p>
        </w:tc>
        <w:tc>
          <w:tcPr>
            <w:tcW w:type="dxa" w:w="2448"/>
            <w:vAlign w:val="center"/>
          </w:tcPr>
          <w:p>
            <w:pPr>
              <w:spacing w:line="276" w:lineRule="auto"/>
            </w:pPr>
            <w:r>
              <w:rPr>
                <w:sz w:val="24"/>
              </w:rPr>
              <w:t>Evidence helper combines the label line and value line.</w:t>
            </w:r>
          </w:p>
        </w:tc>
        <w:tc>
          <w:tcPr>
            <w:tcW w:type="dxa" w:w="2448"/>
            <w:vAlign w:val="center"/>
          </w:tcPr>
          <w:p>
            <w:pPr>
              <w:spacing w:line="276" w:lineRule="auto"/>
            </w:pPr>
            <w:r>
              <w:rPr>
                <w:sz w:val="24"/>
              </w:rPr>
              <w:t>Combined evidence text.</w:t>
            </w:r>
          </w:p>
        </w:tc>
      </w:tr>
      <w:tr>
        <w:tc>
          <w:tcPr>
            <w:tcW w:type="dxa" w:w="2448"/>
            <w:vAlign w:val="center"/>
            <w:shd w:fill="EAF0F6"/>
          </w:tcPr>
          <w:p>
            <w:pPr>
              <w:spacing w:line="276" w:lineRule="auto"/>
            </w:pPr>
            <w:r>
              <w:rPr>
                <w:sz w:val="24"/>
              </w:rPr>
              <w:t>TC-06</w:t>
            </w:r>
          </w:p>
        </w:tc>
        <w:tc>
          <w:tcPr>
            <w:tcW w:type="dxa" w:w="2448"/>
            <w:vAlign w:val="center"/>
            <w:shd w:fill="EAF0F6"/>
          </w:tcPr>
          <w:p>
            <w:pPr>
              <w:spacing w:line="276" w:lineRule="auto"/>
            </w:pPr>
            <w:r>
              <w:rPr>
                <w:sz w:val="24"/>
              </w:rPr>
              <w:t>First answer truncated after a company token.</w:t>
            </w:r>
          </w:p>
        </w:tc>
        <w:tc>
          <w:tcPr>
            <w:tcW w:type="dxa" w:w="2448"/>
            <w:vAlign w:val="center"/>
            <w:shd w:fill="EAF0F6"/>
          </w:tcPr>
          <w:p>
            <w:pPr>
              <w:spacing w:line="276" w:lineRule="auto"/>
            </w:pPr>
            <w:r>
              <w:rPr>
                <w:sz w:val="24"/>
              </w:rPr>
              <w:t>Line cleanup may extend the span to the line end.</w:t>
            </w:r>
          </w:p>
        </w:tc>
        <w:tc>
          <w:tcPr>
            <w:tcW w:type="dxa" w:w="2448"/>
            <w:vAlign w:val="center"/>
            <w:shd w:fill="EAF0F6"/>
          </w:tcPr>
          <w:p>
            <w:pPr>
              <w:spacing w:line="276" w:lineRule="auto"/>
            </w:pPr>
            <w:r>
              <w:rPr>
                <w:sz w:val="24"/>
              </w:rPr>
              <w:t>Candidate equals complete source line value.</w:t>
            </w:r>
          </w:p>
        </w:tc>
      </w:tr>
      <w:tr>
        <w:tc>
          <w:tcPr>
            <w:tcW w:type="dxa" w:w="2448"/>
            <w:vAlign w:val="center"/>
          </w:tcPr>
          <w:p>
            <w:pPr>
              <w:spacing w:line="276" w:lineRule="auto"/>
            </w:pPr>
            <w:r>
              <w:rPr>
                <w:sz w:val="24"/>
              </w:rPr>
              <w:t>TC-07</w:t>
            </w:r>
          </w:p>
        </w:tc>
        <w:tc>
          <w:tcPr>
            <w:tcW w:type="dxa" w:w="2448"/>
            <w:vAlign w:val="center"/>
          </w:tcPr>
          <w:p>
            <w:pPr>
              <w:spacing w:line="276" w:lineRule="auto"/>
            </w:pPr>
            <w:r>
              <w:rPr>
                <w:sz w:val="24"/>
              </w:rPr>
              <w:t>Repair discovers next-line value.</w:t>
            </w:r>
          </w:p>
        </w:tc>
        <w:tc>
          <w:tcPr>
            <w:tcW w:type="dxa" w:w="2448"/>
            <w:vAlign w:val="center"/>
          </w:tcPr>
          <w:p>
            <w:pPr>
              <w:spacing w:line="276" w:lineRule="auto"/>
            </w:pPr>
            <w:r>
              <w:rPr>
                <w:sz w:val="24"/>
              </w:rPr>
              <w:t>Layout candidate is tried and retained only if audited.</w:t>
            </w:r>
          </w:p>
        </w:tc>
        <w:tc>
          <w:tcPr>
            <w:tcW w:type="dxa" w:w="2448"/>
            <w:vAlign w:val="center"/>
          </w:tcPr>
          <w:p>
            <w:pPr>
              <w:spacing w:line="276" w:lineRule="auto"/>
            </w:pPr>
            <w:r>
              <w:rPr>
                <w:sz w:val="24"/>
              </w:rPr>
              <w:t>Before/after field and support outcome.</w:t>
            </w:r>
          </w:p>
        </w:tc>
      </w:tr>
      <w:tr>
        <w:tc>
          <w:tcPr>
            <w:tcW w:type="dxa" w:w="2448"/>
            <w:vAlign w:val="center"/>
            <w:shd w:fill="EAF0F6"/>
          </w:tcPr>
          <w:p>
            <w:pPr>
              <w:spacing w:line="276" w:lineRule="auto"/>
            </w:pPr>
            <w:r>
              <w:rPr>
                <w:sz w:val="24"/>
              </w:rPr>
              <w:t>TC-08</w:t>
            </w:r>
          </w:p>
        </w:tc>
        <w:tc>
          <w:tcPr>
            <w:tcW w:type="dxa" w:w="2448"/>
            <w:vAlign w:val="center"/>
            <w:shd w:fill="EAF0F6"/>
          </w:tcPr>
          <w:p>
            <w:pPr>
              <w:spacing w:line="276" w:lineRule="auto"/>
            </w:pPr>
            <w:r>
              <w:rPr>
                <w:sz w:val="24"/>
              </w:rPr>
              <w:t>No repair candidate passes.</w:t>
            </w:r>
          </w:p>
        </w:tc>
        <w:tc>
          <w:tcPr>
            <w:tcW w:type="dxa" w:w="2448"/>
            <w:vAlign w:val="center"/>
            <w:shd w:fill="EAF0F6"/>
          </w:tcPr>
          <w:p>
            <w:pPr>
              <w:spacing w:line="276" w:lineRule="auto"/>
            </w:pPr>
            <w:r>
              <w:rPr>
                <w:sz w:val="24"/>
              </w:rPr>
              <w:t>One repair round ends and document needs_review.</w:t>
            </w:r>
          </w:p>
        </w:tc>
        <w:tc>
          <w:tcPr>
            <w:tcW w:type="dxa" w:w="2448"/>
            <w:vAlign w:val="center"/>
            <w:shd w:fill="EAF0F6"/>
          </w:tcPr>
          <w:p>
            <w:pPr>
              <w:spacing w:line="276" w:lineRule="auto"/>
            </w:pPr>
            <w:r>
              <w:rPr>
                <w:sz w:val="24"/>
              </w:rPr>
              <w:t>repair_rounds and final state.</w:t>
            </w:r>
          </w:p>
        </w:tc>
      </w:tr>
      <w:tr>
        <w:tc>
          <w:tcPr>
            <w:tcW w:type="dxa" w:w="2448"/>
            <w:vAlign w:val="center"/>
          </w:tcPr>
          <w:p>
            <w:pPr>
              <w:spacing w:line="276" w:lineRule="auto"/>
            </w:pPr>
            <w:r>
              <w:rPr>
                <w:sz w:val="24"/>
              </w:rPr>
              <w:t>TC-09</w:t>
            </w:r>
          </w:p>
        </w:tc>
        <w:tc>
          <w:tcPr>
            <w:tcW w:type="dxa" w:w="2448"/>
            <w:vAlign w:val="center"/>
          </w:tcPr>
          <w:p>
            <w:pPr>
              <w:spacing w:line="276" w:lineRule="auto"/>
            </w:pPr>
            <w:r>
              <w:rPr>
                <w:sz w:val="24"/>
              </w:rPr>
              <w:t>Subtotal + tax differs from total by more than tolerance.</w:t>
            </w:r>
          </w:p>
        </w:tc>
        <w:tc>
          <w:tcPr>
            <w:tcW w:type="dxa" w:w="2448"/>
            <w:vAlign w:val="center"/>
          </w:tcPr>
          <w:p>
            <w:pPr>
              <w:spacing w:line="276" w:lineRule="auto"/>
            </w:pPr>
            <w:r>
              <w:rPr>
                <w:sz w:val="24"/>
              </w:rPr>
              <w:t>Arithmetic flag is present and risk becomes high.</w:t>
            </w:r>
          </w:p>
        </w:tc>
        <w:tc>
          <w:tcPr>
            <w:tcW w:type="dxa" w:w="2448"/>
            <w:vAlign w:val="center"/>
          </w:tcPr>
          <w:p>
            <w:pPr>
              <w:spacing w:line="276" w:lineRule="auto"/>
            </w:pPr>
            <w:r>
              <w:rPr>
                <w:sz w:val="24"/>
              </w:rPr>
              <w:t>Expected compliance flags.</w:t>
            </w:r>
          </w:p>
        </w:tc>
      </w:tr>
      <w:tr>
        <w:tc>
          <w:tcPr>
            <w:tcW w:type="dxa" w:w="2448"/>
            <w:vAlign w:val="center"/>
            <w:shd w:fill="EAF0F6"/>
          </w:tcPr>
          <w:p>
            <w:pPr>
              <w:spacing w:line="276" w:lineRule="auto"/>
            </w:pPr>
            <w:r>
              <w:rPr>
                <w:sz w:val="24"/>
              </w:rPr>
              <w:t>TC-10</w:t>
            </w:r>
          </w:p>
        </w:tc>
        <w:tc>
          <w:tcPr>
            <w:tcW w:type="dxa" w:w="2448"/>
            <w:vAlign w:val="center"/>
            <w:shd w:fill="EAF0F6"/>
          </w:tcPr>
          <w:p>
            <w:pPr>
              <w:spacing w:line="276" w:lineRule="auto"/>
            </w:pPr>
            <w:r>
              <w:rPr>
                <w:sz w:val="24"/>
              </w:rPr>
              <w:t>Duplicate invoice number for same normalized vendor.</w:t>
            </w:r>
          </w:p>
        </w:tc>
        <w:tc>
          <w:tcPr>
            <w:tcW w:type="dxa" w:w="2448"/>
            <w:vAlign w:val="center"/>
            <w:shd w:fill="EAF0F6"/>
          </w:tcPr>
          <w:p>
            <w:pPr>
              <w:spacing w:line="276" w:lineRule="auto"/>
            </w:pPr>
            <w:r>
              <w:rPr>
                <w:sz w:val="24"/>
              </w:rPr>
              <w:t>Duplicate flag appears when lookup finds prior invoice.</w:t>
            </w:r>
          </w:p>
        </w:tc>
        <w:tc>
          <w:tcPr>
            <w:tcW w:type="dxa" w:w="2448"/>
            <w:vAlign w:val="center"/>
            <w:shd w:fill="EAF0F6"/>
          </w:tcPr>
          <w:p>
            <w:pPr>
              <w:spacing w:line="276" w:lineRule="auto"/>
            </w:pPr>
            <w:r>
              <w:rPr>
                <w:sz w:val="24"/>
              </w:rPr>
              <w:t>Flag and matched prior record.</w:t>
            </w:r>
          </w:p>
        </w:tc>
      </w:tr>
      <w:tr>
        <w:tc>
          <w:tcPr>
            <w:tcW w:type="dxa" w:w="2448"/>
            <w:vAlign w:val="center"/>
          </w:tcPr>
          <w:p>
            <w:pPr>
              <w:spacing w:line="276" w:lineRule="auto"/>
            </w:pPr>
            <w:r>
              <w:rPr>
                <w:sz w:val="24"/>
              </w:rPr>
              <w:t>TC-11</w:t>
            </w:r>
          </w:p>
        </w:tc>
        <w:tc>
          <w:tcPr>
            <w:tcW w:type="dxa" w:w="2448"/>
            <w:vAlign w:val="center"/>
          </w:tcPr>
          <w:p>
            <w:pPr>
              <w:spacing w:line="276" w:lineRule="auto"/>
            </w:pPr>
            <w:r>
              <w:rPr>
                <w:sz w:val="24"/>
              </w:rPr>
              <w:t>Neutral NLI output in veto mode.</w:t>
            </w:r>
          </w:p>
        </w:tc>
        <w:tc>
          <w:tcPr>
            <w:tcW w:type="dxa" w:w="2448"/>
            <w:vAlign w:val="center"/>
          </w:tcPr>
          <w:p>
            <w:pPr>
              <w:spacing w:line="276" w:lineRule="auto"/>
            </w:pPr>
            <w:r>
              <w:rPr>
                <w:sz w:val="24"/>
              </w:rPr>
              <w:t>Deterministic checks remain decisive; neutral alone does not reject.</w:t>
            </w:r>
          </w:p>
        </w:tc>
        <w:tc>
          <w:tcPr>
            <w:tcW w:type="dxa" w:w="2448"/>
            <w:vAlign w:val="center"/>
          </w:tcPr>
          <w:p>
            <w:pPr>
              <w:spacing w:line="276" w:lineRule="auto"/>
            </w:pPr>
            <w:r>
              <w:rPr>
                <w:sz w:val="24"/>
              </w:rPr>
              <w:t>Mode, label, score, supported value.</w:t>
            </w:r>
          </w:p>
        </w:tc>
      </w:tr>
      <w:tr>
        <w:tc>
          <w:tcPr>
            <w:tcW w:type="dxa" w:w="2448"/>
            <w:vAlign w:val="center"/>
            <w:shd w:fill="EAF0F6"/>
          </w:tcPr>
          <w:p>
            <w:pPr>
              <w:spacing w:line="276" w:lineRule="auto"/>
            </w:pPr>
            <w:r>
              <w:rPr>
                <w:sz w:val="24"/>
              </w:rPr>
              <w:t>TC-12</w:t>
            </w:r>
          </w:p>
        </w:tc>
        <w:tc>
          <w:tcPr>
            <w:tcW w:type="dxa" w:w="2448"/>
            <w:vAlign w:val="center"/>
            <w:shd w:fill="EAF0F6"/>
          </w:tcPr>
          <w:p>
            <w:pPr>
              <w:spacing w:line="276" w:lineRule="auto"/>
            </w:pPr>
            <w:r>
              <w:rPr>
                <w:sz w:val="24"/>
              </w:rPr>
              <w:t>Malformed or non-PDF upload.</w:t>
            </w:r>
          </w:p>
        </w:tc>
        <w:tc>
          <w:tcPr>
            <w:tcW w:type="dxa" w:w="2448"/>
            <w:vAlign w:val="center"/>
            <w:shd w:fill="EAF0F6"/>
          </w:tcPr>
          <w:p>
            <w:pPr>
              <w:spacing w:line="276" w:lineRule="auto"/>
            </w:pPr>
            <w:r>
              <w:rPr>
                <w:sz w:val="24"/>
              </w:rPr>
              <w:t>Future hardening test: validation rejects it before queueing.</w:t>
            </w:r>
          </w:p>
        </w:tc>
        <w:tc>
          <w:tcPr>
            <w:tcW w:type="dxa" w:w="2448"/>
            <w:vAlign w:val="center"/>
            <w:shd w:fill="EAF0F6"/>
          </w:tcPr>
          <w:p>
            <w:pPr>
              <w:spacing w:line="276" w:lineRule="auto"/>
            </w:pPr>
            <w:r>
              <w:rPr>
                <w:sz w:val="24"/>
              </w:rPr>
              <w:t>HTTP error and no orphan task or file.</w:t>
            </w:r>
          </w:p>
        </w:tc>
      </w:tr>
    </w:tbl>
    <w:p>
      <w:pPr>
        <w:pStyle w:val="Caption"/>
        <w:keepLines/>
        <w:jc w:val="center"/>
      </w:pPr>
      <w:r>
        <w:t>Table 20. Detailed Test Case Specification</w:t>
      </w:r>
    </w:p>
    <w:p/>
    <w:p>
      <w:r>
        <w:t>The first eleven cases map to behaviors represented in the repository’s tests or evaluation data; the last case is a proposed acceptance test because the current upload route has limited validation. Test identifiers are introduced here as a planning convention, not existing test names. Any integration test involving model inference should distinguish expected model variability from deterministic rule outcomes.</w:t>
      </w:r>
    </w:p>
    <w:p>
      <w:pPr>
        <w:pStyle w:val="Heading2"/>
        <w:keepNext/>
      </w:pPr>
      <w:r>
        <w:t>14.4 Requirement Traceability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Requirement group</w:t>
            </w:r>
          </w:p>
        </w:tc>
        <w:tc>
          <w:tcPr>
            <w:tcW w:type="dxa" w:w="2448"/>
            <w:shd w:fill="17365D"/>
          </w:tcPr>
          <w:p>
            <w:r>
              <w:rPr>
                <w:b/>
                <w:color w:val="FFFFFF"/>
                <w:sz w:val="24"/>
              </w:rPr>
              <w:t>Implementation evidence</w:t>
            </w:r>
          </w:p>
        </w:tc>
        <w:tc>
          <w:tcPr>
            <w:tcW w:type="dxa" w:w="2448"/>
            <w:shd w:fill="17365D"/>
          </w:tcPr>
          <w:p>
            <w:r>
              <w:rPr>
                <w:b/>
                <w:color w:val="FFFFFF"/>
                <w:sz w:val="24"/>
              </w:rPr>
              <w:t>Verification evidence</w:t>
            </w:r>
          </w:p>
        </w:tc>
        <w:tc>
          <w:tcPr>
            <w:tcW w:type="dxa" w:w="2448"/>
            <w:shd w:fill="17365D"/>
          </w:tcPr>
          <w:p>
            <w:r>
              <w:rPr>
                <w:b/>
                <w:color w:val="FFFFFF"/>
                <w:sz w:val="24"/>
              </w:rPr>
              <w:t>Known gap</w:t>
            </w:r>
          </w:p>
        </w:tc>
      </w:tr>
      <w:tr>
        <w:tc>
          <w:tcPr>
            <w:tcW w:type="dxa" w:w="2448"/>
            <w:vAlign w:val="center"/>
          </w:tcPr>
          <w:p>
            <w:pPr>
              <w:spacing w:line="276" w:lineRule="auto"/>
            </w:pPr>
            <w:r>
              <w:rPr>
                <w:sz w:val="24"/>
              </w:rPr>
              <w:t>Upload and asynchronous status</w:t>
            </w:r>
          </w:p>
        </w:tc>
        <w:tc>
          <w:tcPr>
            <w:tcW w:type="dxa" w:w="2448"/>
            <w:vAlign w:val="center"/>
          </w:tcPr>
          <w:p>
            <w:pPr>
              <w:spacing w:line="276" w:lineRule="auto"/>
            </w:pPr>
            <w:r>
              <w:rPr>
                <w:sz w:val="24"/>
              </w:rPr>
              <w:t>FastAPI route, Celery task, document state enum.</w:t>
            </w:r>
          </w:p>
        </w:tc>
        <w:tc>
          <w:tcPr>
            <w:tcW w:type="dxa" w:w="2448"/>
            <w:vAlign w:val="center"/>
          </w:tcPr>
          <w:p>
            <w:pPr>
              <w:spacing w:line="276" w:lineRule="auto"/>
            </w:pPr>
            <w:r>
              <w:rPr>
                <w:sz w:val="24"/>
              </w:rPr>
              <w:t>Route and worker component tests.</w:t>
            </w:r>
          </w:p>
        </w:tc>
        <w:tc>
          <w:tcPr>
            <w:tcW w:type="dxa" w:w="2448"/>
            <w:vAlign w:val="center"/>
          </w:tcPr>
          <w:p>
            <w:pPr>
              <w:spacing w:line="276" w:lineRule="auto"/>
            </w:pPr>
            <w:r>
              <w:rPr>
                <w:sz w:val="24"/>
              </w:rPr>
              <w:t>No comprehensive size/type validation or retry contract.</w:t>
            </w:r>
          </w:p>
        </w:tc>
      </w:tr>
      <w:tr>
        <w:tc>
          <w:tcPr>
            <w:tcW w:type="dxa" w:w="2448"/>
            <w:vAlign w:val="center"/>
            <w:shd w:fill="EAF0F6"/>
          </w:tcPr>
          <w:p>
            <w:pPr>
              <w:spacing w:line="276" w:lineRule="auto"/>
            </w:pPr>
            <w:r>
              <w:rPr>
                <w:sz w:val="24"/>
              </w:rPr>
              <w:t>Seven-field extraction</w:t>
            </w:r>
          </w:p>
        </w:tc>
        <w:tc>
          <w:tcPr>
            <w:tcW w:type="dxa" w:w="2448"/>
            <w:vAlign w:val="center"/>
            <w:shd w:fill="EAF0F6"/>
          </w:tcPr>
          <w:p>
            <w:pPr>
              <w:spacing w:line="276" w:lineRule="auto"/>
            </w:pPr>
            <w:r>
              <w:rPr>
                <w:sz w:val="24"/>
              </w:rPr>
              <w:t>Question templates and extraction module.</w:t>
            </w:r>
          </w:p>
        </w:tc>
        <w:tc>
          <w:tcPr>
            <w:tcW w:type="dxa" w:w="2448"/>
            <w:vAlign w:val="center"/>
            <w:shd w:fill="EAF0F6"/>
          </w:tcPr>
          <w:p>
            <w:pPr>
              <w:spacing w:line="276" w:lineRule="auto"/>
            </w:pPr>
            <w:r>
              <w:rPr>
                <w:sz w:val="24"/>
              </w:rPr>
              <w:t>Golden invoice field comparison.</w:t>
            </w:r>
          </w:p>
        </w:tc>
        <w:tc>
          <w:tcPr>
            <w:tcW w:type="dxa" w:w="2448"/>
            <w:vAlign w:val="center"/>
            <w:shd w:fill="EAF0F6"/>
          </w:tcPr>
          <w:p>
            <w:pPr>
              <w:spacing w:line="276" w:lineRule="auto"/>
            </w:pPr>
            <w:r>
              <w:rPr>
                <w:sz w:val="24"/>
              </w:rPr>
              <w:t>Fixed schema and one text context limit.</w:t>
            </w:r>
          </w:p>
        </w:tc>
      </w:tr>
      <w:tr>
        <w:tc>
          <w:tcPr>
            <w:tcW w:type="dxa" w:w="2448"/>
            <w:vAlign w:val="center"/>
          </w:tcPr>
          <w:p>
            <w:pPr>
              <w:spacing w:line="276" w:lineRule="auto"/>
            </w:pPr>
            <w:r>
              <w:rPr>
                <w:sz w:val="24"/>
              </w:rPr>
              <w:t>Evidence-based verification</w:t>
            </w:r>
          </w:p>
        </w:tc>
        <w:tc>
          <w:tcPr>
            <w:tcW w:type="dxa" w:w="2448"/>
            <w:vAlign w:val="center"/>
          </w:tcPr>
          <w:p>
            <w:pPr>
              <w:spacing w:line="276" w:lineRule="auto"/>
            </w:pPr>
            <w:r>
              <w:rPr>
                <w:sz w:val="24"/>
              </w:rPr>
              <w:t>Checks and auditor modules.</w:t>
            </w:r>
          </w:p>
        </w:tc>
        <w:tc>
          <w:tcPr>
            <w:tcW w:type="dxa" w:w="2448"/>
            <w:vAlign w:val="center"/>
          </w:tcPr>
          <w:p>
            <w:pPr>
              <w:spacing w:line="276" w:lineRule="auto"/>
            </w:pPr>
            <w:r>
              <w:rPr>
                <w:sz w:val="24"/>
              </w:rPr>
              <w:t>Unit tests for type, source, label, NLI.</w:t>
            </w:r>
          </w:p>
        </w:tc>
        <w:tc>
          <w:tcPr>
            <w:tcW w:type="dxa" w:w="2448"/>
            <w:vAlign w:val="center"/>
          </w:tcPr>
          <w:p>
            <w:pPr>
              <w:spacing w:line="276" w:lineRule="auto"/>
            </w:pPr>
            <w:r>
              <w:rPr>
                <w:sz w:val="24"/>
              </w:rPr>
              <w:t>No page coordinate provenance.</w:t>
            </w:r>
          </w:p>
        </w:tc>
      </w:tr>
      <w:tr>
        <w:tc>
          <w:tcPr>
            <w:tcW w:type="dxa" w:w="2448"/>
            <w:vAlign w:val="center"/>
            <w:shd w:fill="EAF0F6"/>
          </w:tcPr>
          <w:p>
            <w:pPr>
              <w:spacing w:line="276" w:lineRule="auto"/>
            </w:pPr>
            <w:r>
              <w:rPr>
                <w:sz w:val="24"/>
              </w:rPr>
              <w:t>Compliance screening</w:t>
            </w:r>
          </w:p>
        </w:tc>
        <w:tc>
          <w:tcPr>
            <w:tcW w:type="dxa" w:w="2448"/>
            <w:vAlign w:val="center"/>
            <w:shd w:fill="EAF0F6"/>
          </w:tcPr>
          <w:p>
            <w:pPr>
              <w:spacing w:line="276" w:lineRule="auto"/>
            </w:pPr>
            <w:r>
              <w:rPr>
                <w:sz w:val="24"/>
              </w:rPr>
              <w:t>Compliance agent and duplicate query.</w:t>
            </w:r>
          </w:p>
        </w:tc>
        <w:tc>
          <w:tcPr>
            <w:tcW w:type="dxa" w:w="2448"/>
            <w:vAlign w:val="center"/>
            <w:shd w:fill="EAF0F6"/>
          </w:tcPr>
          <w:p>
            <w:pPr>
              <w:spacing w:line="276" w:lineRule="auto"/>
            </w:pPr>
            <w:r>
              <w:rPr>
                <w:sz w:val="24"/>
              </w:rPr>
              <w:t>Flag tests and expected flag scoring.</w:t>
            </w:r>
          </w:p>
        </w:tc>
        <w:tc>
          <w:tcPr>
            <w:tcW w:type="dxa" w:w="2448"/>
            <w:vAlign w:val="center"/>
            <w:shd w:fill="EAF0F6"/>
          </w:tcPr>
          <w:p>
            <w:pPr>
              <w:spacing w:line="276" w:lineRule="auto"/>
            </w:pPr>
            <w:r>
              <w:rPr>
                <w:sz w:val="24"/>
              </w:rPr>
              <w:t>Threshold/currency policy is simplified.</w:t>
            </w:r>
          </w:p>
        </w:tc>
      </w:tr>
      <w:tr>
        <w:tc>
          <w:tcPr>
            <w:tcW w:type="dxa" w:w="2448"/>
            <w:vAlign w:val="center"/>
          </w:tcPr>
          <w:p>
            <w:pPr>
              <w:spacing w:line="276" w:lineRule="auto"/>
            </w:pPr>
            <w:r>
              <w:rPr>
                <w:sz w:val="24"/>
              </w:rPr>
              <w:t>Repair and safe routing</w:t>
            </w:r>
          </w:p>
        </w:tc>
        <w:tc>
          <w:tcPr>
            <w:tcW w:type="dxa" w:w="2448"/>
            <w:vAlign w:val="center"/>
          </w:tcPr>
          <w:p>
            <w:pPr>
              <w:spacing w:line="276" w:lineRule="auto"/>
            </w:pPr>
            <w:r>
              <w:rPr>
                <w:sz w:val="24"/>
              </w:rPr>
              <w:t>LangGraph conditional edge and repair node.</w:t>
            </w:r>
          </w:p>
        </w:tc>
        <w:tc>
          <w:tcPr>
            <w:tcW w:type="dxa" w:w="2448"/>
            <w:vAlign w:val="center"/>
          </w:tcPr>
          <w:p>
            <w:pPr>
              <w:spacing w:line="276" w:lineRule="auto"/>
            </w:pPr>
            <w:r>
              <w:rPr>
                <w:sz w:val="24"/>
              </w:rPr>
              <w:t>Repair-flow tests and needs_review cases.</w:t>
            </w:r>
          </w:p>
        </w:tc>
        <w:tc>
          <w:tcPr>
            <w:tcW w:type="dxa" w:w="2448"/>
            <w:vAlign w:val="center"/>
          </w:tcPr>
          <w:p>
            <w:pPr>
              <w:spacing w:line="276" w:lineRule="auto"/>
            </w:pPr>
            <w:r>
              <w:rPr>
                <w:sz w:val="24"/>
              </w:rPr>
              <w:t>One bounded round; no reviewer correction.</w:t>
            </w:r>
          </w:p>
        </w:tc>
      </w:tr>
      <w:tr>
        <w:tc>
          <w:tcPr>
            <w:tcW w:type="dxa" w:w="2448"/>
            <w:vAlign w:val="center"/>
            <w:shd w:fill="EAF0F6"/>
          </w:tcPr>
          <w:p>
            <w:pPr>
              <w:spacing w:line="276" w:lineRule="auto"/>
            </w:pPr>
            <w:r>
              <w:rPr>
                <w:sz w:val="24"/>
              </w:rPr>
              <w:t>Evaluation and regression</w:t>
            </w:r>
          </w:p>
        </w:tc>
        <w:tc>
          <w:tcPr>
            <w:tcW w:type="dxa" w:w="2448"/>
            <w:vAlign w:val="center"/>
            <w:shd w:fill="EAF0F6"/>
          </w:tcPr>
          <w:p>
            <w:pPr>
              <w:spacing w:line="276" w:lineRule="auto"/>
            </w:pPr>
            <w:r>
              <w:rPr>
                <w:sz w:val="24"/>
              </w:rPr>
              <w:t>Metrics and run_eval scripts.</w:t>
            </w:r>
          </w:p>
        </w:tc>
        <w:tc>
          <w:tcPr>
            <w:tcW w:type="dxa" w:w="2448"/>
            <w:vAlign w:val="center"/>
            <w:shd w:fill="EAF0F6"/>
          </w:tcPr>
          <w:p>
            <w:pPr>
              <w:spacing w:line="276" w:lineRule="auto"/>
            </w:pPr>
            <w:r>
              <w:rPr>
                <w:sz w:val="24"/>
              </w:rPr>
              <w:t>Scorecard and threshold gate.</w:t>
            </w:r>
          </w:p>
        </w:tc>
        <w:tc>
          <w:tcPr>
            <w:tcW w:type="dxa" w:w="2448"/>
            <w:vAlign w:val="center"/>
            <w:shd w:fill="EAF0F6"/>
          </w:tcPr>
          <w:p>
            <w:pPr>
              <w:spacing w:line="276" w:lineRule="auto"/>
            </w:pPr>
            <w:r>
              <w:rPr>
                <w:sz w:val="24"/>
              </w:rPr>
              <w:t>Final test set is not independent after tuning.</w:t>
            </w:r>
          </w:p>
        </w:tc>
      </w:tr>
    </w:tbl>
    <w:p>
      <w:pPr>
        <w:pStyle w:val="Caption"/>
        <w:keepLines/>
        <w:jc w:val="center"/>
      </w:pPr>
      <w:r>
        <w:t>Table 21. Requirement-to-Evidence Traceability</w:t>
      </w:r>
    </w:p>
    <w:p/>
    <w:p>
      <w:pPr>
        <w:pStyle w:val="Heading2"/>
        <w:keepNext/>
      </w:pPr>
      <w:r>
        <w:t>14.5 Release Acceptance Checklist</w:t>
      </w:r>
    </w:p>
    <w:p>
      <w:pPr>
        <w:pStyle w:val="ListBullet"/>
      </w:pPr>
      <w:r>
        <w:t>Record code revision, configuration, dependency lock, model identifiers, and dataset version.</w:t>
      </w:r>
    </w:p>
    <w:p>
      <w:pPr>
        <w:pStyle w:val="ListBullet"/>
      </w:pPr>
      <w:r>
        <w:t>Run unit tests and capture the result; investigate every failure rather than reporting only a summary.</w:t>
      </w:r>
    </w:p>
    <w:p>
      <w:pPr>
        <w:pStyle w:val="ListBullet"/>
      </w:pPr>
      <w:r>
        <w:t>Run the declared benchmark and retain per-field errors, false verified values, absent-field outcomes, flags, and review rate.</w:t>
      </w:r>
    </w:p>
    <w:p>
      <w:pPr>
        <w:pStyle w:val="ListBullet"/>
      </w:pPr>
      <w:r>
        <w:t>Exercise API and worker integration using a disposable database, broker, and vector collection.</w:t>
      </w:r>
    </w:p>
    <w:p>
      <w:pPr>
        <w:pStyle w:val="ListBullet"/>
      </w:pPr>
      <w:r>
        <w:t>Verify that all persisted documents have consistent database rows and accessible source files.</w:t>
      </w:r>
    </w:p>
    <w:p>
      <w:pPr>
        <w:pStyle w:val="ListBullet"/>
      </w:pPr>
      <w:r>
        <w:t>Review dependency and upload-security posture before processing sensitive data.</w:t>
      </w:r>
    </w:p>
    <w:p>
      <w:pPr>
        <w:pStyle w:val="ListBullet"/>
      </w:pPr>
      <w:r>
        <w:t>Confirm backups and restoration procedure for database, source PDFs, and vector data.</w:t>
      </w:r>
    </w:p>
    <w:p>
      <w:pPr>
        <w:pStyle w:val="ListBullet"/>
      </w:pPr>
      <w:r>
        <w:t>Document known deviations from acceptance thresholds and obtain academic or operational review.</w:t>
      </w:r>
    </w:p>
    <w:p>
      <w:r>
        <w:br w:type="page"/>
      </w:r>
    </w:p>
    <w:p>
      <w:pPr>
        <w:pStyle w:val="Heading1"/>
        <w:keepNext/>
      </w:pPr>
      <w:r>
        <w:t>15. Project Feasibility and Risk Management</w:t>
      </w:r>
    </w:p>
    <w:p>
      <w:r>
        <w:t>DocuAudit is feasible as an academic prototype because its scope is bounded to native-text invoices and a fixed seven-field schema. The repository uses established Python components for web APIs, background tasks, relational persistence, vector retrieval, and model inference. Docker Compose provides a reproducible demonstration topology. These strengths make the work suitable for demonstrating system integration and measurable verification logic, while the limitations below prevent it from being treated as a ready financial control.</w:t>
      </w:r>
    </w:p>
    <w:p>
      <w:pPr>
        <w:pStyle w:val="Heading2"/>
        <w:keepNext/>
      </w:pPr>
      <w:r>
        <w:t>15.1 Technical and Operational Feasibility</w:t>
      </w:r>
    </w:p>
    <w:p>
      <w:r>
        <w:t>Technical feasibility is supported by a complete path through upload, asynchronous processing, extraction, auditing, persistence, and UI presentation. The individual services have clear responsibilities, and the graph controls the order of pipeline stages. The project also includes unit-level checks and an evaluation harness, so design changes can be linked to observed behavior on constructed invoices.</w:t>
      </w:r>
    </w:p>
    <w:p>
      <w:r>
        <w:t>Operational feasibility is conditional. Model downloads require substantial storage and network access during initial setup, the worker has significant memory requirements, and the services need consistent networking and shared file access. A local Compose environment can demonstrate behavior on one machine, but production availability, multi-user access, fault recovery, data retention, authentication, privacy governance, and scaling targets have not been established in the repository. Therefore a real deployment would require additional engineering and organizational approval.</w:t>
      </w:r>
    </w:p>
    <w:p>
      <w:r>
        <w:t>Economic feasibility cannot be expressed as a reliable currency estimate from the repository alone. The project is based on open-source application components and publicly available model checkpoints, but hosting still consumes compute, memory, disk, network bandwidth, backup storage, and operator time. A fair comparison with manual processing or commercial document software would require measured invoice volume, human review time, hardware configuration, licensing review, and cost per accepted invoice.</w:t>
      </w:r>
    </w:p>
    <w:p>
      <w:pPr>
        <w:pStyle w:val="Heading2"/>
        <w:keepNext/>
      </w:pPr>
      <w:r>
        <w:t>15.2 Academic Project Work Plan</w:t>
      </w:r>
    </w:p>
    <w:p>
      <w:r>
        <w:t>A defensible academic work plan can be organized into evidence-producing stages. The schedule below is a proposed planning framework rather than a claim about the historical time spent on this repository. Each stage should leave a reviewable artifact so that implementation, measurement, and writing do not become detached from one another.</w:t>
      </w:r>
    </w:p>
    <w:p>
      <w:pPr>
        <w:pStyle w:val="ListNumber"/>
      </w:pPr>
      <w:r>
        <w:t>Scope and requirements: define input assumptions, seven fields, status semantics, compliance rules, and success measures.</w:t>
      </w:r>
    </w:p>
    <w:p>
      <w:pPr>
        <w:pStyle w:val="ListNumber"/>
      </w:pPr>
      <w:r>
        <w:t>Architecture and data model: establish service boundaries, storage responsibilities, and sequence diagrams before integrating models.</w:t>
      </w:r>
    </w:p>
    <w:p>
      <w:pPr>
        <w:pStyle w:val="ListNumber"/>
      </w:pPr>
      <w:r>
        <w:t>Core processing: implement PDF text ingestion, fixed-schema extraction, evidence checks, and explicit unsupported outcomes.</w:t>
      </w:r>
    </w:p>
    <w:p>
      <w:pPr>
        <w:pStyle w:val="ListNumber"/>
      </w:pPr>
      <w:r>
        <w:t>Asynchronous integration: connect API, worker, broker, relational store, vector service, and frontend using container networking.</w:t>
      </w:r>
    </w:p>
    <w:p>
      <w:pPr>
        <w:pStyle w:val="ListNumber"/>
      </w:pPr>
      <w:r>
        <w:t>Controlled evaluation: generate and annotate test invoices, run the baseline, categorize failures, and separate development cases from held-out cases.</w:t>
      </w:r>
    </w:p>
    <w:p>
      <w:pPr>
        <w:pStyle w:val="ListNumber"/>
      </w:pPr>
      <w:r>
        <w:t>Hardening: add targeted checks, bounded repair, useful diagnostics, and a regression gate while preserving an independent evaluation split.</w:t>
      </w:r>
    </w:p>
    <w:p>
      <w:pPr>
        <w:pStyle w:val="ListNumber"/>
      </w:pPr>
      <w:r>
        <w:t>Final validation and documentation: capture reproducible setup steps, results, limitations, diagrams, and an honest statement of what was and was not tested.</w:t>
      </w:r>
    </w:p>
    <w:p>
      <w:r>
        <w:t>For future iterations, the project should reserve a permanent test partition before writing rules against observed errors. Annotation guidelines should define exact values, normalization policy, absent fields, and expected compliance flags. A second annotator or adjudication pass would help identify ambiguous labels. The data card should record synthetic generation settings and exclude personally identifiable information from any future real-world set unless consent and governance permit its use.</w:t>
      </w:r>
    </w:p>
    <w:p>
      <w:pPr>
        <w:pStyle w:val="Heading2"/>
        <w:keepNext/>
      </w:pPr>
      <w:r>
        <w:t>15.3 Project Risk Register</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Risk</w:t>
            </w:r>
          </w:p>
        </w:tc>
        <w:tc>
          <w:tcPr>
            <w:tcW w:type="dxa" w:w="2448"/>
            <w:shd w:fill="17365D"/>
          </w:tcPr>
          <w:p>
            <w:r>
              <w:rPr>
                <w:b/>
                <w:color w:val="FFFFFF"/>
                <w:sz w:val="24"/>
              </w:rPr>
              <w:t>Likelihood / impact</w:t>
            </w:r>
          </w:p>
        </w:tc>
        <w:tc>
          <w:tcPr>
            <w:tcW w:type="dxa" w:w="2448"/>
            <w:shd w:fill="17365D"/>
          </w:tcPr>
          <w:p>
            <w:r>
              <w:rPr>
                <w:b/>
                <w:color w:val="FFFFFF"/>
                <w:sz w:val="24"/>
              </w:rPr>
              <w:t>Existing control</w:t>
            </w:r>
          </w:p>
        </w:tc>
        <w:tc>
          <w:tcPr>
            <w:tcW w:type="dxa" w:w="2448"/>
            <w:shd w:fill="17365D"/>
          </w:tcPr>
          <w:p>
            <w:r>
              <w:rPr>
                <w:b/>
                <w:color w:val="FFFFFF"/>
                <w:sz w:val="24"/>
              </w:rPr>
              <w:t>Recommended action</w:t>
            </w:r>
          </w:p>
        </w:tc>
      </w:tr>
      <w:tr>
        <w:tc>
          <w:tcPr>
            <w:tcW w:type="dxa" w:w="2448"/>
            <w:vAlign w:val="center"/>
          </w:tcPr>
          <w:p>
            <w:pPr>
              <w:spacing w:line="276" w:lineRule="auto"/>
            </w:pPr>
            <w:r>
              <w:rPr>
                <w:sz w:val="24"/>
              </w:rPr>
              <w:t>Plausible but wrong extraction</w:t>
            </w:r>
          </w:p>
        </w:tc>
        <w:tc>
          <w:tcPr>
            <w:tcW w:type="dxa" w:w="2448"/>
            <w:vAlign w:val="center"/>
          </w:tcPr>
          <w:p>
            <w:pPr>
              <w:spacing w:line="276" w:lineRule="auto"/>
            </w:pPr>
            <w:r>
              <w:rPr>
                <w:sz w:val="24"/>
              </w:rPr>
              <w:t>Medium / High</w:t>
            </w:r>
          </w:p>
        </w:tc>
        <w:tc>
          <w:tcPr>
            <w:tcW w:type="dxa" w:w="2448"/>
            <w:vAlign w:val="center"/>
          </w:tcPr>
          <w:p>
            <w:pPr>
              <w:spacing w:line="276" w:lineRule="auto"/>
            </w:pPr>
            <w:r>
              <w:rPr>
                <w:sz w:val="24"/>
              </w:rPr>
              <w:t>Type, source, label, audit, and review routing.</w:t>
            </w:r>
          </w:p>
        </w:tc>
        <w:tc>
          <w:tcPr>
            <w:tcW w:type="dxa" w:w="2448"/>
            <w:vAlign w:val="center"/>
          </w:tcPr>
          <w:p>
            <w:pPr>
              <w:spacing w:line="276" w:lineRule="auto"/>
            </w:pPr>
            <w:r>
              <w:rPr>
                <w:sz w:val="24"/>
              </w:rPr>
              <w:t>Maintain independent test data and reviewer approval.</w:t>
            </w:r>
          </w:p>
        </w:tc>
      </w:tr>
      <w:tr>
        <w:tc>
          <w:tcPr>
            <w:tcW w:type="dxa" w:w="2448"/>
            <w:vAlign w:val="center"/>
            <w:shd w:fill="EAF0F6"/>
          </w:tcPr>
          <w:p>
            <w:pPr>
              <w:spacing w:line="276" w:lineRule="auto"/>
            </w:pPr>
            <w:r>
              <w:rPr>
                <w:sz w:val="24"/>
              </w:rPr>
              <w:t>Unsupported field accepted</w:t>
            </w:r>
          </w:p>
        </w:tc>
        <w:tc>
          <w:tcPr>
            <w:tcW w:type="dxa" w:w="2448"/>
            <w:vAlign w:val="center"/>
            <w:shd w:fill="EAF0F6"/>
          </w:tcPr>
          <w:p>
            <w:pPr>
              <w:spacing w:line="276" w:lineRule="auto"/>
            </w:pPr>
            <w:r>
              <w:rPr>
                <w:sz w:val="24"/>
              </w:rPr>
              <w:t>Low on current benchmark / High</w:t>
            </w:r>
          </w:p>
        </w:tc>
        <w:tc>
          <w:tcPr>
            <w:tcW w:type="dxa" w:w="2448"/>
            <w:vAlign w:val="center"/>
            <w:shd w:fill="EAF0F6"/>
          </w:tcPr>
          <w:p>
            <w:pPr>
              <w:spacing w:line="276" w:lineRule="auto"/>
            </w:pPr>
            <w:r>
              <w:rPr>
                <w:sz w:val="24"/>
              </w:rPr>
              <w:t>Regression gate and absent-field metrics.</w:t>
            </w:r>
          </w:p>
        </w:tc>
        <w:tc>
          <w:tcPr>
            <w:tcW w:type="dxa" w:w="2448"/>
            <w:vAlign w:val="center"/>
            <w:shd w:fill="EAF0F6"/>
          </w:tcPr>
          <w:p>
            <w:pPr>
              <w:spacing w:line="276" w:lineRule="auto"/>
            </w:pPr>
            <w:r>
              <w:rPr>
                <w:sz w:val="24"/>
              </w:rPr>
              <w:t>Monitor verified precision and test new failure modes.</w:t>
            </w:r>
          </w:p>
        </w:tc>
      </w:tr>
      <w:tr>
        <w:tc>
          <w:tcPr>
            <w:tcW w:type="dxa" w:w="2448"/>
            <w:vAlign w:val="center"/>
          </w:tcPr>
          <w:p>
            <w:pPr>
              <w:spacing w:line="276" w:lineRule="auto"/>
            </w:pPr>
            <w:r>
              <w:rPr>
                <w:sz w:val="24"/>
              </w:rPr>
              <w:t>Model or service unavailable</w:t>
            </w:r>
          </w:p>
        </w:tc>
        <w:tc>
          <w:tcPr>
            <w:tcW w:type="dxa" w:w="2448"/>
            <w:vAlign w:val="center"/>
          </w:tcPr>
          <w:p>
            <w:pPr>
              <w:spacing w:line="276" w:lineRule="auto"/>
            </w:pPr>
            <w:r>
              <w:rPr>
                <w:sz w:val="24"/>
              </w:rPr>
              <w:t>Medium / Medium</w:t>
            </w:r>
          </w:p>
        </w:tc>
        <w:tc>
          <w:tcPr>
            <w:tcW w:type="dxa" w:w="2448"/>
            <w:vAlign w:val="center"/>
          </w:tcPr>
          <w:p>
            <w:pPr>
              <w:spacing w:line="276" w:lineRule="auto"/>
            </w:pPr>
            <w:r>
              <w:rPr>
                <w:sz w:val="24"/>
              </w:rPr>
              <w:t>Asynchronous worker status and failed state.</w:t>
            </w:r>
          </w:p>
        </w:tc>
        <w:tc>
          <w:tcPr>
            <w:tcW w:type="dxa" w:w="2448"/>
            <w:vAlign w:val="center"/>
          </w:tcPr>
          <w:p>
            <w:pPr>
              <w:spacing w:line="276" w:lineRule="auto"/>
            </w:pPr>
            <w:r>
              <w:rPr>
                <w:sz w:val="24"/>
              </w:rPr>
              <w:t>Add retries, readiness checks, alerts, and recovery runbook.</w:t>
            </w:r>
          </w:p>
        </w:tc>
      </w:tr>
      <w:tr>
        <w:tc>
          <w:tcPr>
            <w:tcW w:type="dxa" w:w="2448"/>
            <w:vAlign w:val="center"/>
            <w:shd w:fill="EAF0F6"/>
          </w:tcPr>
          <w:p>
            <w:pPr>
              <w:spacing w:line="276" w:lineRule="auto"/>
            </w:pPr>
            <w:r>
              <w:rPr>
                <w:sz w:val="24"/>
              </w:rPr>
              <w:t>Sensitive invoice exposure</w:t>
            </w:r>
          </w:p>
        </w:tc>
        <w:tc>
          <w:tcPr>
            <w:tcW w:type="dxa" w:w="2448"/>
            <w:vAlign w:val="center"/>
            <w:shd w:fill="EAF0F6"/>
          </w:tcPr>
          <w:p>
            <w:pPr>
              <w:spacing w:line="276" w:lineRule="auto"/>
            </w:pPr>
            <w:r>
              <w:rPr>
                <w:sz w:val="24"/>
              </w:rPr>
              <w:t>Medium / High</w:t>
            </w:r>
          </w:p>
        </w:tc>
        <w:tc>
          <w:tcPr>
            <w:tcW w:type="dxa" w:w="2448"/>
            <w:vAlign w:val="center"/>
            <w:shd w:fill="EAF0F6"/>
          </w:tcPr>
          <w:p>
            <w:pPr>
              <w:spacing w:line="276" w:lineRule="auto"/>
            </w:pPr>
            <w:r>
              <w:rPr>
                <w:sz w:val="24"/>
              </w:rPr>
              <w:t>Local/containerized processing; no redaction claim.</w:t>
            </w:r>
          </w:p>
        </w:tc>
        <w:tc>
          <w:tcPr>
            <w:tcW w:type="dxa" w:w="2448"/>
            <w:vAlign w:val="center"/>
            <w:shd w:fill="EAF0F6"/>
          </w:tcPr>
          <w:p>
            <w:pPr>
              <w:spacing w:line="276" w:lineRule="auto"/>
            </w:pPr>
            <w:r>
              <w:rPr>
                <w:sz w:val="24"/>
              </w:rPr>
              <w:t>Add authentication, encryption, access logging, retention and deletion.</w:t>
            </w:r>
          </w:p>
        </w:tc>
      </w:tr>
      <w:tr>
        <w:tc>
          <w:tcPr>
            <w:tcW w:type="dxa" w:w="2448"/>
            <w:vAlign w:val="center"/>
          </w:tcPr>
          <w:p>
            <w:pPr>
              <w:spacing w:line="276" w:lineRule="auto"/>
            </w:pPr>
            <w:r>
              <w:rPr>
                <w:sz w:val="24"/>
              </w:rPr>
              <w:t>Dataset overfitting</w:t>
            </w:r>
          </w:p>
        </w:tc>
        <w:tc>
          <w:tcPr>
            <w:tcW w:type="dxa" w:w="2448"/>
            <w:vAlign w:val="center"/>
          </w:tcPr>
          <w:p>
            <w:pPr>
              <w:spacing w:line="276" w:lineRule="auto"/>
            </w:pPr>
            <w:r>
              <w:rPr>
                <w:sz w:val="24"/>
              </w:rPr>
              <w:t>High / High</w:t>
            </w:r>
          </w:p>
        </w:tc>
        <w:tc>
          <w:tcPr>
            <w:tcW w:type="dxa" w:w="2448"/>
            <w:vAlign w:val="center"/>
          </w:tcPr>
          <w:p>
            <w:pPr>
              <w:spacing w:line="276" w:lineRule="auto"/>
            </w:pPr>
            <w:r>
              <w:rPr>
                <w:sz w:val="24"/>
              </w:rPr>
              <w:t>Limitations are documented; prior holdout reported.</w:t>
            </w:r>
          </w:p>
        </w:tc>
        <w:tc>
          <w:tcPr>
            <w:tcW w:type="dxa" w:w="2448"/>
            <w:vAlign w:val="center"/>
          </w:tcPr>
          <w:p>
            <w:pPr>
              <w:spacing w:line="276" w:lineRule="auto"/>
            </w:pPr>
            <w:r>
              <w:rPr>
                <w:sz w:val="24"/>
              </w:rPr>
              <w:t>Freeze a new independent test set before further tuning.</w:t>
            </w:r>
          </w:p>
        </w:tc>
      </w:tr>
      <w:tr>
        <w:tc>
          <w:tcPr>
            <w:tcW w:type="dxa" w:w="2448"/>
            <w:vAlign w:val="center"/>
            <w:shd w:fill="EAF0F6"/>
          </w:tcPr>
          <w:p>
            <w:pPr>
              <w:spacing w:line="276" w:lineRule="auto"/>
            </w:pPr>
            <w:r>
              <w:rPr>
                <w:sz w:val="24"/>
              </w:rPr>
              <w:t>Resource exhaustion</w:t>
            </w:r>
          </w:p>
        </w:tc>
        <w:tc>
          <w:tcPr>
            <w:tcW w:type="dxa" w:w="2448"/>
            <w:vAlign w:val="center"/>
            <w:shd w:fill="EAF0F6"/>
          </w:tcPr>
          <w:p>
            <w:pPr>
              <w:spacing w:line="276" w:lineRule="auto"/>
            </w:pPr>
            <w:r>
              <w:rPr>
                <w:sz w:val="24"/>
              </w:rPr>
              <w:t>Medium / Medium</w:t>
            </w:r>
          </w:p>
        </w:tc>
        <w:tc>
          <w:tcPr>
            <w:tcW w:type="dxa" w:w="2448"/>
            <w:vAlign w:val="center"/>
            <w:shd w:fill="EAF0F6"/>
          </w:tcPr>
          <w:p>
            <w:pPr>
              <w:spacing w:line="276" w:lineRule="auto"/>
            </w:pPr>
            <w:r>
              <w:rPr>
                <w:sz w:val="24"/>
              </w:rPr>
              <w:t>Model cache volumes reduce repeat downloads.</w:t>
            </w:r>
          </w:p>
        </w:tc>
        <w:tc>
          <w:tcPr>
            <w:tcW w:type="dxa" w:w="2448"/>
            <w:vAlign w:val="center"/>
            <w:shd w:fill="EAF0F6"/>
          </w:tcPr>
          <w:p>
            <w:pPr>
              <w:spacing w:line="276" w:lineRule="auto"/>
            </w:pPr>
            <w:r>
              <w:rPr>
                <w:sz w:val="24"/>
              </w:rPr>
              <w:t>Measure memory/disk and define concurrency and size limits.</w:t>
            </w:r>
          </w:p>
        </w:tc>
      </w:tr>
      <w:tr>
        <w:tc>
          <w:tcPr>
            <w:tcW w:type="dxa" w:w="2448"/>
            <w:vAlign w:val="center"/>
          </w:tcPr>
          <w:p>
            <w:pPr>
              <w:spacing w:line="276" w:lineRule="auto"/>
            </w:pPr>
            <w:r>
              <w:rPr>
                <w:sz w:val="24"/>
              </w:rPr>
              <w:t>Duplicate detection omission</w:t>
            </w:r>
          </w:p>
        </w:tc>
        <w:tc>
          <w:tcPr>
            <w:tcW w:type="dxa" w:w="2448"/>
            <w:vAlign w:val="center"/>
          </w:tcPr>
          <w:p>
            <w:pPr>
              <w:spacing w:line="276" w:lineRule="auto"/>
            </w:pPr>
            <w:r>
              <w:rPr>
                <w:sz w:val="24"/>
              </w:rPr>
              <w:t>Medium / High</w:t>
            </w:r>
          </w:p>
        </w:tc>
        <w:tc>
          <w:tcPr>
            <w:tcW w:type="dxa" w:w="2448"/>
            <w:vAlign w:val="center"/>
          </w:tcPr>
          <w:p>
            <w:pPr>
              <w:spacing w:line="276" w:lineRule="auto"/>
            </w:pPr>
            <w:r>
              <w:rPr>
                <w:sz w:val="24"/>
              </w:rPr>
              <w:t>Warning when lookup fails; duplicate flag rule.</w:t>
            </w:r>
          </w:p>
        </w:tc>
        <w:tc>
          <w:tcPr>
            <w:tcW w:type="dxa" w:w="2448"/>
            <w:vAlign w:val="center"/>
          </w:tcPr>
          <w:p>
            <w:pPr>
              <w:spacing w:line="276" w:lineRule="auto"/>
            </w:pPr>
            <w:r>
              <w:rPr>
                <w:sz w:val="24"/>
              </w:rPr>
              <w:t>Move lookup to indexed query and surface degraded checks.</w:t>
            </w:r>
          </w:p>
        </w:tc>
      </w:tr>
      <w:tr>
        <w:tc>
          <w:tcPr>
            <w:tcW w:type="dxa" w:w="2448"/>
            <w:vAlign w:val="center"/>
            <w:shd w:fill="EAF0F6"/>
          </w:tcPr>
          <w:p>
            <w:pPr>
              <w:spacing w:line="276" w:lineRule="auto"/>
            </w:pPr>
            <w:r>
              <w:rPr>
                <w:sz w:val="24"/>
              </w:rPr>
              <w:t>Misuse of complete status</w:t>
            </w:r>
          </w:p>
        </w:tc>
        <w:tc>
          <w:tcPr>
            <w:tcW w:type="dxa" w:w="2448"/>
            <w:vAlign w:val="center"/>
            <w:shd w:fill="EAF0F6"/>
          </w:tcPr>
          <w:p>
            <w:pPr>
              <w:spacing w:line="276" w:lineRule="auto"/>
            </w:pPr>
            <w:r>
              <w:rPr>
                <w:sz w:val="24"/>
              </w:rPr>
              <w:t>Medium / High</w:t>
            </w:r>
          </w:p>
        </w:tc>
        <w:tc>
          <w:tcPr>
            <w:tcW w:type="dxa" w:w="2448"/>
            <w:vAlign w:val="center"/>
            <w:shd w:fill="EAF0F6"/>
          </w:tcPr>
          <w:p>
            <w:pPr>
              <w:spacing w:line="276" w:lineRule="auto"/>
            </w:pPr>
            <w:r>
              <w:rPr>
                <w:sz w:val="24"/>
              </w:rPr>
              <w:t>Report states status is not authenticity or legal proof.</w:t>
            </w:r>
          </w:p>
        </w:tc>
        <w:tc>
          <w:tcPr>
            <w:tcW w:type="dxa" w:w="2448"/>
            <w:vAlign w:val="center"/>
            <w:shd w:fill="EAF0F6"/>
          </w:tcPr>
          <w:p>
            <w:pPr>
              <w:spacing w:line="276" w:lineRule="auto"/>
            </w:pPr>
            <w:r>
              <w:rPr>
                <w:sz w:val="24"/>
              </w:rPr>
              <w:t>Keep human authorization and clear UI wording.</w:t>
            </w:r>
          </w:p>
        </w:tc>
      </w:tr>
    </w:tbl>
    <w:p>
      <w:pPr>
        <w:pStyle w:val="Caption"/>
        <w:keepLines/>
        <w:jc w:val="center"/>
      </w:pPr>
      <w:r>
        <w:t>Table 22. Project Risk Register</w:t>
      </w:r>
    </w:p>
    <w:p/>
    <w:p>
      <w:pPr>
        <w:pStyle w:val="Heading2"/>
        <w:keepNext/>
      </w:pPr>
      <w:r>
        <w:t>15.4 Success Criteria and Evidence Package</w:t>
      </w:r>
    </w:p>
    <w:p>
      <w:r>
        <w:t>For an academic demonstration, success should be judged across correctness, traceability, review behavior, and reproducibility rather than only whether the interface opens. The evidence package should include a requirements list, an architecture/data-flow description, test coverage, a versioned dataset manifest, per-field results, examples of accepted and rejected values, and an explicit limitations section. Claims should be limited to the code revision, settings, and dataset that produced the reported results.</w:t>
      </w:r>
    </w:p>
    <w:p>
      <w:r>
        <w:t>For a production pilot, additional entry criteria are necessary: security review, data-processing authorization, upload validation, a documented retention policy, model and dependency version capture, operational monitoring, backup restoration, human correction and approval, and a separate evaluation on representative invoices. If any mandatory check is unavailable, the system should make that degraded state visible rather than quietly presenting an ordinary complete result.</w:t>
      </w:r>
    </w:p>
    <w:p>
      <w:r>
        <w:br w:type="page"/>
      </w:r>
    </w:p>
    <w:p>
      <w:pPr>
        <w:pStyle w:val="Heading1"/>
        <w:keepNext/>
      </w:pPr>
      <w:r>
        <w:t>16. Detailed Component Architecture</w:t>
      </w:r>
    </w:p>
    <w:p>
      <w:r>
        <w:t>The earlier architecture chapter presents the system as a set of cooperating services. This chapter follows one document through each software boundary and explains which component owns each responsibility. The distinction is useful for university assessment because it links the diagrams to concrete modules in the repository and makes it possible to discuss what would need to change if one service were replaced.</w:t>
      </w:r>
    </w:p>
    <w:p>
      <w:pPr>
        <w:pStyle w:val="Heading2"/>
        <w:keepNext/>
      </w:pPr>
      <w:r>
        <w:t>16.1 Frontend Responsibilities</w:t>
      </w:r>
    </w:p>
    <w:p>
      <w:r>
        <w:t>The Streamlit frontend is a user-facing client rather than the processing engine. It collects a file, submits it to the API, retains or displays the returned document identifier, polls for state, and renders extraction, compliance, audit, and review information. This separation allows a worker to continue processing when a browser tab is refreshed. The frontend should communicate the difference between a proposed extraction and an accepted value because the current interface can display a value next to an unsupported warning.</w:t>
      </w:r>
    </w:p>
    <w:p>
      <w:r>
        <w:t>The frontend is also the natural point to improve user feedback. It can show whether a document is waiting, processing, complete, or needs review; present a concise explanation for each unsupported field; and let a reviewer open the source PDF next to the associated text evidence. At present it does not implement document correction, reviewer authentication, approval history, or export into an accounting workflow. These features require API and persistence changes as well as additional widgets, so they should be treated as a complete workflow design rather than a cosmetic interface patch.</w:t>
      </w:r>
    </w:p>
    <w:p>
      <w:pPr>
        <w:pStyle w:val="Heading2"/>
        <w:keepNext/>
      </w:pPr>
      <w:r>
        <w:t>16.2 API Layer and Persistence Boundary</w:t>
      </w:r>
    </w:p>
    <w:p>
      <w:r>
        <w:t>The FastAPI layer owns HTTP request handling and database-facing document operations. The upload handler creates a database record before storing the file, updates the path after writing the bytes, enqueues a task, and returns the document ID. Detail retrieval assembles related extraction, compliance, and audit rows into a single response. Listing orders documents by upload time. This thin API design keeps model inference outside request handlers, but it also means error validation and response semantics are part of the API contract and must be designed deliberately.</w:t>
      </w:r>
    </w:p>
    <w:p>
      <w:r>
        <w:t>A useful invariant for future work is that the database record represents the workflow state, while the stored file represents the authoritative input bytes. The path saved in the record should resolve inside a controlled upload root and should not be constructed from an untrusted path. A database transaction cannot by itself make a filesystem write and a Redis enqueue atomic; failures between these steps can leave an orphan file or a record that was not queued. A production version should define compensating cleanup, an outbox pattern, or a reconciliation job and test failures at each boundary.</w:t>
      </w:r>
    </w:p>
    <w:p>
      <w:pPr>
        <w:pStyle w:val="Heading2"/>
        <w:keepNext/>
      </w:pPr>
      <w:r>
        <w:t>16.3 Worker and Task Lifecycle</w:t>
      </w:r>
    </w:p>
    <w:p>
      <w:r>
        <w:t>The Celery task opens a database session, loads the document record, marks it processing, and commits before running the pipeline. It then reads the PDF, extracts page text, indexes the text, invokes the graph, and stores the three result records. The final status is derived from the graph output. A broad exception handler marks the document failed, and a finally block commits and closes the session. This ensures a terminal status is attempted even when processing raises, but the task currently writes the exception to logs rather than a structured error field.</w:t>
      </w:r>
    </w:p>
    <w:p>
      <w:r>
        <w:t>Task lifecycle behavior has implications for retries. If a worker crashes after adding an extraction row but before the final status commit, a retry may create duplicate related rows unless uniqueness or upsert behavior prevents it. If the same document is indexed more than once, deterministic vector IDs help overwrite the same points, but database and file actions need their own idempotency design. A robust retry policy should specify which exceptions are retryable, how many attempts are allowed, how delays are scheduled, and how a partially processed record is reconciled.</w:t>
      </w:r>
    </w:p>
    <w:p>
      <w:pPr>
        <w:pStyle w:val="Heading2"/>
        <w:keepNext/>
      </w:pPr>
      <w:r>
        <w:t>16.4 Graph State and Branching</w:t>
      </w:r>
    </w:p>
    <w:p>
      <w:r>
        <w:t>The LangGraph state carries the document ID, source text, extracted field mapping, compliance result, audit result, repair-round counter, and final review flag. Nodes keep each transformation conceptually separate: retrieval replaces or augments the text context; extraction proposes values; compliance evaluates document-level rules; audit decides field support; repair searches for alternatives; finalization derives needs_review from faithfulness. A conditional edge after audit chooses repair only when there are unsupported fields and the one-round limit has not been reached.</w:t>
      </w:r>
    </w:p>
    <w:p>
      <w:r>
        <w:t>This graph makes control flow visible and helps isolate a failure class. A field can fail extraction but still allow other fields to proceed; an audit can reject one candidate without stopping compliance checks; repair can change a value and return the graph to compliance and audit; and finalization can route the document to review. A future graph could add explicit validation, human correction, escalation, or retry nodes, but each additional branch would need well-defined state invariants and tests for every route.</w:t>
      </w:r>
    </w:p>
    <w:p>
      <w:pPr>
        <w:pStyle w:val="Heading2"/>
        <w:keepNext/>
      </w:pPr>
      <w:r>
        <w:t>16.5 Vector Retrieval and Model Invocation</w:t>
      </w:r>
    </w:p>
    <w:p>
      <w:r>
        <w:t>The retrieval module creates a 384-dimensional vector collection with cosine distance, encodes text, and stores points with a document identifier and text payload. At invocation time the graph asks for invoice details and filters the search by document ID. This filter is an important correctness boundary: it prevents a semantic search from returning another document’s text when the collection is shared. The current ingestion path provides one whole-invoice chunk, so the embedding mostly identifies the current document rather than selecting among many evidence passages.</w:t>
      </w:r>
    </w:p>
    <w:p>
      <w:r>
        <w:t>Question answering, named entity recognition, natural language inference, and sentence embedding each use different checkpoints and libraries. The repository loads some models lazily and reuses module-level objects. This can reduce repeated initialization within a process, but it also creates a large resident memory footprint. Deployment decisions should account for which worker process loads which model and whether multiple worker processes duplicate the same weights. A future model registry should record checkpoint name, revision, tokenizer, input truncation policy, and expected output labels.</w:t>
      </w:r>
    </w:p>
    <w:p>
      <w:pPr>
        <w:pStyle w:val="Heading2"/>
        <w:keepNext/>
      </w:pPr>
      <w:r>
        <w:t>16.6 Cross-Component Data Flow</w:t>
      </w:r>
    </w:p>
    <w:p>
      <w:r>
        <w:t>The document ID is the primary correlation key across the database, vector payload, upload filename, and Celery task arguments. This shared identifier lets operators connect a user request to worker activity without using invoice contents as a log key. The task and API still need consistent logging conventions so that the ID appears in relevant messages and the user can be guided to a useful status or error response. Sensitive invoice text should not be included in ordinary logs by default.</w:t>
      </w:r>
    </w:p>
    <w:p>
      <w:r>
        <w:t>The system uses both synchronous and asynchronous interactions. The browser-to-API upload and query calls are synchronous HTTP exchanges. API-to-worker processing is asynchronous through Redis and Celery. Worker-to-database and worker-to-Qdrant calls happen during processing, and the UI polls for the durable result. This architecture provides responsiveness but introduces eventual consistency: the user may observe a pending state after the task is queued and before the worker updates the document. Clients should tolerate that progression and avoid interpreting a single poll as a final answer.</w:t>
      </w:r>
    </w:p>
    <w:p>
      <w:pPr>
        <w:pStyle w:val="Heading2"/>
        <w:keepNext/>
      </w:pPr>
      <w:r>
        <w:t>16.7 Failure Isolation and Observability</w:t>
      </w:r>
    </w:p>
    <w:p>
      <w:r>
        <w:t>Failure can arise in PDF reading, model loading, vector operations, database access, duplicate lookup, compliance scanning, or audit inference. The current implementation treats duplicate lookup as optional and continues after a warning, while other pipeline exceptions are caught at the task boundary and mark the document failed. This behavior favors completion in one case and fails the document in others. A richer error model should distinguish required and optional dependencies and should record which controls were skipped.</w:t>
      </w:r>
    </w:p>
    <w:p>
      <w:r>
        <w:t>Operational observability should include structured events for upload accepted, task queued, task started, each major stage completed, persistence completed, and final state selected. Each event should carry document ID, task ID, code revision, model-policy version, and elapsed time for that stage. Sensitive text and model inputs should be omitted or redacted unless a controlled debugging workflow authorizes their use. Structured stage timing would allow performance analysis without relying on ad hoc console messages.</w:t>
      </w:r>
    </w:p>
    <w:p>
      <w:r>
        <w:br w:type="page"/>
      </w:r>
    </w:p>
    <w:p>
      <w:pPr>
        <w:pStyle w:val="Heading1"/>
        <w:keepNext/>
      </w:pPr>
      <w:r>
        <w:t>17. Data Dictionary and Record Lifecycle</w:t>
      </w:r>
    </w:p>
    <w:p>
      <w:r>
        <w:t>This chapter gives a more detailed account of information represented by DocuAudit and the way it moves between the PDF, text representation, vector index, model outputs, and relational records. The current storage design is intentionally compact. A longer-term system should explicitly define data ownership, retention, schema versioning, and which output is considered authoritative.</w:t>
      </w:r>
    </w:p>
    <w:p>
      <w:pPr>
        <w:pStyle w:val="Heading2"/>
        <w:keepNext/>
      </w:pPr>
      <w:r>
        <w:t>17.1 Source Document and Extracted Text</w:t>
      </w:r>
    </w:p>
    <w:p>
      <w:r>
        <w:t>The source document is the uploaded PDF. The API records the original filename and a filesystem path, while the upload bytes are written to an ID-prefixed filename under the configured upload directory. The worker opens the PDF with PyMuPDF and extracts text from each page. The page structure includes a zero-based page number and text, but the downstream graph receives a joined text string. As a result, page structure is not retained in the audit payload.</w:t>
      </w:r>
    </w:p>
    <w:p>
      <w:r>
        <w:t>The extracted text is a derived representation rather than a replacement for the original file. It can differ from what a human sees because PDF text order, line breaks, fonts, and column layout influence extraction. The ingestion step does not perform OCR, table reconstruction, reading-order correction, or visual interpretation. If the text is incomplete or misordered, the QA model and the evidence auditor both operate on that imperfect representation. Future provenance should link each evidence span to a page, character offsets, and, where feasible, a bounding box in the source PDF.</w:t>
      </w:r>
    </w:p>
    <w:p>
      <w:pPr>
        <w:pStyle w:val="Heading2"/>
        <w:keepNext/>
      </w:pPr>
      <w:r>
        <w:t>17.2 Document Entity</w:t>
      </w:r>
    </w:p>
    <w:p>
      <w:r>
        <w:t>The Document row is the lifecycle anchor. Its identifier is generated as a UUID string. Filename is retained for display, file_path points to the stored upload, status records the workflow state, and uploaded_at records creation time. The status enum includes pending, processing, complete, needs_review, and failed. The current model does not include explicit tenant ownership, uploader identity, deletion time, retention category, content hash, or structured error details.</w:t>
      </w:r>
    </w:p>
    <w:p>
      <w:r>
        <w:t>A content hash would help detect accidental reprocessing or verify that a restored source file matches the database record. An uploader or tenant field would be necessary for access control in a multi-user service. A deletion timestamp or retention classification would support lifecycle management. Those fields are recommendations for a future schema, not values currently stored by the project. Migration scripts and backward compatibility would be needed if the ORM schema were extended.</w:t>
      </w:r>
    </w:p>
    <w:p>
      <w:pPr>
        <w:pStyle w:val="Heading2"/>
        <w:keepNext/>
      </w:pPr>
      <w:r>
        <w:t>17.3 Extraction Result</w:t>
      </w:r>
    </w:p>
    <w:p>
      <w:r>
        <w:t>ExtractionResult stores a JSON object containing the fixed invoice schema. The fields are invoice number, invoice date, vendor name, due date, subtotal, tax, and total. Values are represented as strings in the extraction path so formatting such as a currency symbol or invoice-number prefix can remain visible. Validation functions interpret the strings but the model does not store a canonical numeric or date value alongside the original text.</w:t>
      </w:r>
    </w:p>
    <w:p>
      <w:r>
        <w:t>A production schema could retain both raw and normalized representations. For example, a raw amount string can preserve “$1,200.00” while a normalized value stores decimal 1200.00 and currency USD, provided the currency was actually established from the source. Dates could similarly store raw text, normalized ISO date, and parsing confidence or rule version. Keeping both avoids losing the exact source form while making downstream comparison more reliable. The current system does not implement this dual representation.</w:t>
      </w:r>
    </w:p>
    <w:p>
      <w:pPr>
        <w:pStyle w:val="Heading2"/>
        <w:keepNext/>
      </w:pPr>
      <w:r>
        <w:t>17.4 Compliance and Audit Records</w:t>
      </w:r>
    </w:p>
    <w:p>
      <w:r>
        <w:t>ComplianceFlag stores detected PII-like entities, rule flags, and risk level. Entity entries include the recognized text and entity type. The implementation detects person and location groups but does not use this record to redact the document. The flags list can include duplicate invoice number, arithmetic mismatch, over-threshold amount, or unparseable amount conditions. Risk level is high when one or more flags are present and low otherwise; this is a simple aggregation, not a calibrated financial risk score.</w:t>
      </w:r>
    </w:p>
    <w:p>
      <w:r>
        <w:t>AuditLog stores a mapping from each field to its support outcome, evidence, reason, and sometimes NLI metadata. It also stores a faithfulness rate and a model_versions JSON value. The worker currently writes an empty model_versions object. A future audit record should capture the evaluator policy, field-rule version, model checkpoint revision, document hash, and timestamp of each decision. If reviewer corrections are added, those should be separate events rather than overwriting the original machine audit.</w:t>
      </w:r>
    </w:p>
    <w:p>
      <w:pPr>
        <w:pStyle w:val="Heading2"/>
        <w:keepNext/>
      </w:pPr>
      <w:r>
        <w:t>17.5 Record Consistency and Retention</w:t>
      </w:r>
    </w:p>
    <w:p>
      <w:r>
        <w:t>A completed pipeline should have a Document row and related extraction, compliance, and audit rows. Pending or processing records may not yet have the related outputs. A failed document may have partial intermediate work depending on where the exception occurred, although the worker currently persists the result objects after graph completion. The API returns null for absent relationships. Client code should therefore use status and relationship availability together, not assume that every record is populated at creation time.</w:t>
      </w:r>
    </w:p>
    <w:p>
      <w:r>
        <w:t>Retention must consider the database, vector database, upload filesystem, logs, and backups. Removing only the relational row does not necessarily remove vector payloads or the source PDF. A deletion feature should enumerate each storage location, record success or failure, and reconcile partial deletion. Because invoice records can include personal and commercial information, the policy should define who may request deletion, which legal or institutional constraints apply, and how backup copies expire.</w:t>
      </w:r>
    </w:p>
    <w:p>
      <w:r>
        <w:br w:type="page"/>
      </w:r>
    </w:p>
    <w:p>
      <w:pPr>
        <w:pStyle w:val="Heading1"/>
        <w:keepNext/>
      </w:pPr>
      <w:r>
        <w:t>18. Security, Privacy, and Threat Analysis</w:t>
      </w:r>
    </w:p>
    <w:p>
      <w:r>
        <w:t>DocuAudit processes documents that may contain financial, personal, or commercially sensitive information. A prototype that runs locally or in containers is not automatically secure. This chapter identifies the assets, trust boundaries, plausible threat scenarios, and safeguards that should be assessed before handling real invoices. It distinguishes existing behavior from recommended controls so the report does not imply that controls are already implemented.</w:t>
      </w:r>
    </w:p>
    <w:p>
      <w:pPr>
        <w:pStyle w:val="Heading2"/>
        <w:keepNext/>
      </w:pPr>
      <w:r>
        <w:t>18.1 Assets and Trust Boundaries</w:t>
      </w:r>
    </w:p>
    <w:p>
      <w:r>
        <w:t>The principal assets are original PDF files, extracted text, invoice field values, PII-like detections, audit decisions, credentials for database and broker connections, model artifacts, and service logs. The trust boundaries include the user’s browser to the API, API to the filesystem, API to Redis, worker to PostgreSQL and Qdrant, containers to host-mounted volumes, and the runtime environment to external model repositories during initial download. Each boundary can expose a different class of data or control.</w:t>
      </w:r>
    </w:p>
    <w:p>
      <w:r>
        <w:t>The current repository’s Docker Compose topology supports local development but does not by itself supply identity management, network segmentation, encrypted transport, authorization policy, or a secure secrets manager. Whether a service is reachable outside the host depends on its port bindings and surrounding network. A deployment review should inspect the Compose file, host firewall, mounted paths, and environment files rather than relying on the diagram alone.</w:t>
      </w:r>
    </w:p>
    <w:p>
      <w:pPr>
        <w:pStyle w:val="Heading2"/>
        <w:keepNext/>
      </w:pPr>
      <w:r>
        <w:t>18.2 Upload and Parsing Threats</w:t>
      </w:r>
    </w:p>
    <w:p>
      <w:r>
        <w:t>An upload endpoint that reads arbitrary bytes and writes them to disk can be exposed to oversized files, malformed PDFs, decompression/resource exhaustion, parser vulnerabilities, unexpected filenames, and repeated submissions. The route’s filename is incorporated into a stored path with a document ID prefix. A safer implementation should generate the storage name entirely from a trusted identifier, normalize display names separately, enforce content and size limits, validate the PDF signature, scan files if required by institutional policy, and process untrusted files with resource limits.</w:t>
      </w:r>
    </w:p>
    <w:p>
      <w:r>
        <w:t>PDF parsing can consume substantial CPU and memory or encounter crafted structures. The worker should have timeouts, memory limits, and a failure policy that does not expose internal stack traces to users. Temporary files should be removed on failure where safe. Security tests should include malformed and large files, interrupted writes, duplicate names, path traversal strings, and files with unexpected content types. The current repository does not document a complete test suite for these cases.</w:t>
      </w:r>
    </w:p>
    <w:p>
      <w:pPr>
        <w:pStyle w:val="Heading2"/>
        <w:keepNext/>
      </w:pPr>
      <w:r>
        <w:t>18.3 Data Exposure and Access Control</w:t>
      </w:r>
    </w:p>
    <w:p>
      <w:r>
        <w:t>The current route set does not demonstrate authentication or per-document authorization. In a single-user local demonstration this may be an acceptable scope decision, but a network-accessible deployment could allow a user who knows or guesses an identifier to read another invoice. UUIDs are identifiers, not authorization credentials. A multi-user service should authenticate requests, associate records with a principal or tenant, check authorization on every read and write, and avoid revealing whether another user’s document exists.</w:t>
      </w:r>
    </w:p>
    <w:p>
      <w:r>
        <w:t>Sensitive data may appear in model inputs, persisted JSON, vector payloads, screenshots, logs, backups, and developer notebooks. The NER component detects person and location entities for output; it does not anonymize, redact, encrypt, or prevent a model from seeing those values. Privacy controls should include data minimization, restricted access, encryption at rest and in transit where supported, retention limits, secure deletion, and a documented assessment of whether external model downloads or hosted inference are permitted.</w:t>
      </w:r>
    </w:p>
    <w:p>
      <w:pPr>
        <w:pStyle w:val="Heading2"/>
        <w:keepNext/>
      </w:pPr>
      <w:r>
        <w:t>18.4 Secrets, Dependencies, and Supply Chain</w:t>
      </w:r>
    </w:p>
    <w:p>
      <w:r>
        <w:t>Database and Redis connection strings are required configuration and may contain credentials. They should not be committed to the repository or copied into report screenshots. A production environment should use a protected secret store and rotate credentials when exposure is suspected. Container images and Python packages should be pinned and scanned under the organization’s normal vulnerability process. Model artifacts should be downloaded from trusted sources, pinned to a revision where possible, and verified through an approved process.</w:t>
      </w:r>
    </w:p>
    <w:p>
      <w:r>
        <w:t>Model update risk is not limited to security vulnerabilities. A new checkpoint or tokenizer can change field extraction, NLI labels, memory footprint, or latency. The release record should therefore capture exact revisions and test outputs. The current report’s model citations identify model families, while the worker’s model_versions field remains empty; filling that field and preserving package lock data would improve reproducibility and incident analysis.</w:t>
      </w:r>
    </w:p>
    <w:p>
      <w:pPr>
        <w:pStyle w:val="Heading2"/>
        <w:keepNext/>
      </w:pPr>
      <w:r>
        <w:t>18.5 Threat-to-Control Reasoning</w:t>
      </w:r>
    </w:p>
    <w:p>
      <w:r>
        <w:t>For an extraction integrity threat, the existing controls are type validation, source presence, label compatibility, NLI policy, and review routing. These controls reduce selected classes of unsupported output but do not protect against a forged source invoice or a wrong value placed under a correct label. For an availability threat, asynchronous processing and a failed state provide a basic response boundary, but retries, resource limits, rate limiting, and alerting remain deployment responsibilities.</w:t>
      </w:r>
    </w:p>
    <w:p>
      <w:r>
        <w:t>For a confidentiality threat, local persistence and PII detection do not replace authentication or access controls. For an integrity threat in stored results, database access control, backups, audit-log immutability, and explicit update history are required. For a privacy-retention threat, a deletion policy must cover every backing store. The recommended security review should map each control to a named owner and verification artifact; a risk register should not mark a threat as mitigated merely because a model or status field exists.</w:t>
      </w:r>
    </w:p>
    <w:p>
      <w:r>
        <w:br w:type="page"/>
      </w:r>
    </w:p>
    <w:p>
      <w:pPr>
        <w:pStyle w:val="Heading1"/>
        <w:keepNext/>
      </w:pPr>
      <w:r>
        <w:t>19. Reproducibility and Metric Interpretation</w:t>
      </w:r>
    </w:p>
    <w:p>
      <w:r>
        <w:t>The project’s quantitative results are meaningful only when tied to the exact dataset, code, configuration, and scoring rules that produced them. This chapter develops a reproducibility protocol and explains the interpretation risks associated with a small synthetic benchmark and multiple notions of correctness.</w:t>
      </w:r>
    </w:p>
    <w:p>
      <w:pPr>
        <w:pStyle w:val="Heading2"/>
        <w:keepNext/>
      </w:pPr>
      <w:r>
        <w:t>19.1 Dataset Provenance</w:t>
      </w:r>
    </w:p>
    <w:p>
      <w:r>
        <w:t>The final benchmark described by the repository contains 27 generated invoice PDFs and 186 labelled values. The README distinguishes an original development set of 17 invoices from a 10-invoice set that was initially held out. After the held-out run, those ten were inspected, fixes were made, and the invoices were incorporated into the final 27-case set. Consequently, the final set is useful for regression testing but is not an untouched test partition.</w:t>
      </w:r>
    </w:p>
    <w:p>
      <w:r>
        <w:t>Every future benchmark release should contain a manifest with a dataset version, document identifier, generator revision or acquisition method, field annotation, expected compliance flags, and inclusion/exclusion rationale. The manifest should state whether samples were used during development. Synthetic document generation parameters should be preserved so cases can be regenerated, while any real-world data should have documented permissions, anonymization policy, and access restrictions.</w:t>
      </w:r>
    </w:p>
    <w:p>
      <w:pPr>
        <w:pStyle w:val="Heading2"/>
        <w:keepNext/>
      </w:pPr>
      <w:r>
        <w:t>19.2 Annotation Protocol</w:t>
      </w:r>
    </w:p>
    <w:p>
      <w:r>
        <w:t>A field annotation guide should define what counts as the invoice number, which date is the invoice date versus due date, whether currency symbols are part of an amount string, how punctuation and whitespace are normalized, and how missing or ambiguous values are recorded. Compliance labels should define the exact expected flags and the amount threshold policy. Ambiguous examples should receive an “uncertain” or adjudicated status rather than being forced into a single answer without explanation.</w:t>
      </w:r>
    </w:p>
    <w:p>
      <w:r>
        <w:t>For more reliable evaluation, two annotators can label a sample independently and disagreements can be adjudicated by a third reviewer. Agreement should be reported by field because vendor names, totals, and invoice references have different ambiguity patterns. Gold labels should not be revised after seeing system output without documenting the change and rerunning all affected comparisons. This is especially important when label rules are developed from observed errors.</w:t>
      </w:r>
    </w:p>
    <w:p>
      <w:pPr>
        <w:pStyle w:val="Heading2"/>
        <w:keepNext/>
      </w:pPr>
      <w:r>
        <w:t>19.3 Metric Denominators and Edge Cases</w:t>
      </w:r>
    </w:p>
    <w:p>
      <w:r>
        <w:t>Field F1 is averaged over fields with gold values. It measures token overlap after the project’s normalization, not whether the auditor accepted a field. Verified precision considers values accepted by the auditor and asks whether those accepted values match the expected value under a strict F1 threshold. Coverage considers the share of present gold fields accepted. Absent-field handling considers whether a field missing from the document remains unsupported. These metrics answer different questions and should be presented together.</w:t>
      </w:r>
    </w:p>
    <w:p>
      <w:r>
        <w:t>A system that rejects every candidate can have perfect verified precision by the implementation’s convention when no values are verified, while its coverage would be zero. A system that returns a plausible value for an absent field may increase extraction coverage but will reduce verified precision if it marks that value supported. Compliance flag accuracy is exact set matching at invoice level, so one extra flag and one missed flag both count as a document mismatch. A scorecard should display denominators and raw counts alongside percentages to prevent small-sample ratios from appearing more certain than they are.</w:t>
      </w:r>
    </w:p>
    <w:p>
      <w:r>
        <w:t>The project’s token-set F1 normalization removes case differences, currency symbols, commas, and trailing periods. It does not use edit distance, semantic equivalence, or field-specific decimal and date parsing. Thus “100.00” and “100” may score differently depending on tokenization, and a semantically equivalent date formatting may not be represented identically. A next evaluation version should report both the existing score for comparability and a separately defined normalized exact-match metric.</w:t>
      </w:r>
    </w:p>
    <w:p>
      <w:pPr>
        <w:pStyle w:val="Heading2"/>
        <w:keepNext/>
      </w:pPr>
      <w:r>
        <w:t>19.4 Uncertainty and Statistical Reporting</w:t>
      </w:r>
    </w:p>
    <w:p>
      <w:r>
        <w:t>A benchmark of 27 invoices is too small to support precise claims about broad invoice populations. One document can materially change the score, and several field values within one invoice are not independent observations. If a larger representative set is collected, uncertainty intervals should account for document-level clustering rather than treating every field as an unrelated sample. Reports should include counts of documents, present fields, absent fields, verified fields, correct verified values, review cases, and flag matches.</w:t>
      </w:r>
    </w:p>
    <w:p>
      <w:r>
        <w:t>An ablation that finds identical results in veto and rules-only modes indicates that the NLI model did not change decisions on those examples under that code and threshold. It does not show that NLI is generally useless. A strict-mode review increase shows the cost of requiring entailment on this dataset; whether that trade-off is acceptable depends on the cost of false acceptance versus human review. A future study should define those costs and compare the policies on independent failure cases.</w:t>
      </w:r>
    </w:p>
    <w:p>
      <w:pPr>
        <w:pStyle w:val="Heading2"/>
        <w:keepNext/>
      </w:pPr>
      <w:r>
        <w:t>19.5 Reproducible Evaluation Record</w:t>
      </w:r>
    </w:p>
    <w:p>
      <w:pPr>
        <w:pStyle w:val="ListBullet"/>
      </w:pPr>
      <w:r>
        <w:t>Record Git commit or source archive hash and a clean working-tree status.</w:t>
      </w:r>
    </w:p>
    <w:p>
      <w:pPr>
        <w:pStyle w:val="ListBullet"/>
      </w:pPr>
      <w:r>
        <w:t>Record Python version, dependency lock, container image tags, and operating system.</w:t>
      </w:r>
    </w:p>
    <w:p>
      <w:pPr>
        <w:pStyle w:val="ListBullet"/>
      </w:pPr>
      <w:r>
        <w:t>Record checkpoint names and revisions, tokenizer revisions, NLI mode, and any thresholds.</w:t>
      </w:r>
    </w:p>
    <w:p>
      <w:pPr>
        <w:pStyle w:val="ListBullet"/>
      </w:pPr>
      <w:r>
        <w:t>Record dataset version, annotation guide version, and exact document count.</w:t>
      </w:r>
    </w:p>
    <w:p>
      <w:pPr>
        <w:pStyle w:val="ListBullet"/>
      </w:pPr>
      <w:r>
        <w:t>Record command, start/end time, hardware class, and whether model caches were warm.</w:t>
      </w:r>
    </w:p>
    <w:p>
      <w:pPr>
        <w:pStyle w:val="ListBullet"/>
      </w:pPr>
      <w:r>
        <w:t>Store per-document predictions, audit reasons, compliance flags, and aggregate scorecard with restricted access.</w:t>
      </w:r>
    </w:p>
    <w:p>
      <w:pPr>
        <w:pStyle w:val="ListBullet"/>
      </w:pPr>
      <w:r>
        <w:t>Run the same process after any code or data change and preserve prior reports for comparison.</w:t>
      </w:r>
    </w:p>
    <w:p>
      <w:r>
        <w:br w:type="page"/>
      </w:r>
    </w:p>
    <w:p>
      <w:pPr>
        <w:pStyle w:val="Heading1"/>
        <w:keepNext/>
      </w:pPr>
      <w:r>
        <w:t>20. Alternative Designs and Trade-offs</w:t>
      </w:r>
    </w:p>
    <w:p>
      <w:r>
        <w:t>A project report should explain not only the selected architecture but also the alternatives that were reasonable and the evidence needed to choose among them. The repository encodes one workable prototype design; the comparisons below are engineering options rather than experiments completed by the project unless explicitly stated.</w:t>
      </w:r>
    </w:p>
    <w:p>
      <w:pPr>
        <w:pStyle w:val="Heading2"/>
        <w:keepNext/>
      </w:pPr>
      <w:r>
        <w:t>20.1 Synchronous Versus Asynchronous Processing</w:t>
      </w:r>
    </w:p>
    <w:p>
      <w:r>
        <w:t>A synchronous endpoint is simpler for small, fast tasks: one request enters and receives a final result. Invoice processing invokes multiple transformer components and may require model initialization, so a synchronous request could hold a connection open and become vulnerable to client or proxy timeouts. The selected Celery/Redis pattern returns a document ID and allows the client to poll. Its costs include broker operations, task status coordination, retries, shared upload storage, and eventual consistency.</w:t>
      </w:r>
    </w:p>
    <w:p>
      <w:r>
        <w:t>An alternative is a managed job queue or workflow service. Such a service can offer visibility, retry policy, and scaling controls, but adds an external dependency and may introduce data residency concerns. A future selection should compare expected throughput, failure semantics, operational skills, cloud constraints, and the sensitivity of invoice content. The current local stack is appropriate for a self-contained academic demonstration but does not constitute a universal deployment recommendation.</w:t>
      </w:r>
    </w:p>
    <w:p>
      <w:pPr>
        <w:pStyle w:val="Heading2"/>
        <w:keepNext/>
      </w:pPr>
      <w:r>
        <w:t>20.2 Rules, NLI, and Human-in-the-Loop Verification</w:t>
      </w:r>
    </w:p>
    <w:p>
      <w:r>
        <w:t>Pure rules are predictable and fast but depend on known labels and formatting. A natural-language inference model can provide an additional semantic comparison, but it can be uncertain, inconsistent, or overly conservative. Human review can resolve ambiguity but adds labor and requires a usable workflow. DocuAudit combines deterministic checks, optional NLI, and a review state. The benchmark ablation supports the selected default for the constructed set only; a new dataset could change the balance.</w:t>
      </w:r>
    </w:p>
    <w:p>
      <w:r>
        <w:t>The verification decision can be modeled as a policy with two costs: accepting an incorrect value and sending a correct value to review. Financial workflows often treat those costs asymmetrically. A deployment should set the policy with stakeholders, document the threshold, and measure both false acceptance and review burden. It should not lower review volume simply to improve automation without assessing the resulting false-acceptance rate.</w:t>
      </w:r>
    </w:p>
    <w:p>
      <w:pPr>
        <w:pStyle w:val="Heading2"/>
        <w:keepNext/>
      </w:pPr>
      <w:r>
        <w:t>20.3 Retrieval Strategies</w:t>
      </w:r>
    </w:p>
    <w:p>
      <w:r>
        <w:t>The current Qdrant store uses an embedding and document filter, while the present worker indexes one full-document chunk. For short invoices this is operationally straightforward; for long PDFs, it can fail to isolate the most relevant evidence and may exceed model input limits. Candidate alternatives include page-level chunks, label-value windows, layout-aware blocks, lexical retrieval, hybrid lexical/vector search, and reranking. Each alternative should preserve source page and offset metadata so that improved retrieval does not weaken evidence traceability.</w:t>
      </w:r>
    </w:p>
    <w:p>
      <w:r>
        <w:t>A retrieval experiment should compare recall of the correct evidence span, extraction accuracy, audit acceptance, review rate, latency, and memory/storage use. The query should be evaluated separately for each field rather than assuming “invoice details” retrieves every relevant line equally well. A simple lexical baseline is useful because many invoice fields are associated with explicit labels; vector retrieval is most valuable when wording varies or context must be inferred.</w:t>
      </w:r>
    </w:p>
    <w:p>
      <w:pPr>
        <w:pStyle w:val="Heading2"/>
        <w:keepNext/>
      </w:pPr>
      <w:r>
        <w:t>20.4 Fixed Schema Versus General Extraction</w:t>
      </w:r>
    </w:p>
    <w:p>
      <w:r>
        <w:t>A fixed seven-field schema supports focused questions, clear validation rules, compact evaluation, and stable API output. It does not generalize to purchase orders, receipts, credit notes, line items, or country-specific tax forms without new schema and policy work. Open-ended extraction could support more fields but would make validation, annotation, and downstream compatibility more difficult. The project’s fixed-schema choice is therefore a scope-control decision rather than a claim that all invoices share one universal schema.</w:t>
      </w:r>
    </w:p>
    <w:p>
      <w:r>
        <w:t>A future extension can use versioned schemas and document-type classification, but classification errors then become an early routing risk. Each schema should define field type, required/optional status, label aliases, normalization, evidence rule, and missing-value behavior. An output should identify which schema version produced it so a client can interpret new fields without silently misreading an older payload.</w:t>
      </w:r>
    </w:p>
    <w:p>
      <w:pPr>
        <w:pStyle w:val="Heading2"/>
        <w:keepNext/>
      </w:pPr>
      <w:r>
        <w:t>20.5 Storage and Review Alternatives</w:t>
      </w:r>
    </w:p>
    <w:p>
      <w:r>
        <w:t>PostgreSQL is used for relational lifecycle data, while Qdrant supports semantic retrieval. For a low-volume prototype, a simpler relational text search or in-memory document context might reduce service count. The separate vector store becomes more useful when there are multiple chunks per invoice, longer documents, or semantic search requirements. Any choice should be based on retrieval evaluation rather than architecture fashion.</w:t>
      </w:r>
    </w:p>
    <w:p>
      <w:r>
        <w:t>The current review queue is a list of document states. A full human review system would need assignment, ownership, correction, decision rationale, timestamps, access control, and audit history. Storing reviewer correction separately preserves the distinction between machine proposal and human-authorized value. A queue with no correction action is an uncertainty display, not an end-to-end exception-resolution workflow.</w:t>
      </w:r>
    </w:p>
    <w:p>
      <w:r>
        <w:br w:type="page"/>
      </w:r>
    </w:p>
    <w:p>
      <w:pPr>
        <w:pStyle w:val="Heading1"/>
        <w:keepNext/>
      </w:pPr>
      <w:r>
        <w:t>21. Extended Implementation Plan</w:t>
      </w:r>
    </w:p>
    <w:p>
      <w:r>
        <w:t>The extended plan below turns the report’s recommendations into a sequence of work packages. It is a proposed future plan and must not be mistaken for completed functionality. Dependencies are stated so that foundational data and security work precede higher-risk automation.</w:t>
      </w:r>
    </w:p>
    <w:p>
      <w:pPr>
        <w:pStyle w:val="Heading2"/>
        <w:keepNext/>
      </w:pPr>
      <w:r>
        <w:t>21.1 Stage One: Evaluation Governance</w:t>
      </w:r>
    </w:p>
    <w:p>
      <w:r>
        <w:t>Freeze an independent test set before modifying field rules or prompts. Publish an annotation guide that defines the seven fields, normalization, missing values, compliance flags, and adjudication. Add a dataset manifest and retain a hash of each source PDF. Keep development, validation, and test sets separate. Record every case that has influenced a code change so that results can be grouped by exposure status.</w:t>
      </w:r>
    </w:p>
    <w:p>
      <w:r>
        <w:t>Completion evidence should include a reproducible scoring command, a report that displays raw counts and percentages, a per-field confusion/error analysis, and an independent review of annotations. Any changes to the test set should create a new dataset version rather than silently rewriting the previous benchmark. This stage is a prerequisite for claims about generalization.</w:t>
      </w:r>
    </w:p>
    <w:p>
      <w:pPr>
        <w:pStyle w:val="Heading2"/>
        <w:keepNext/>
      </w:pPr>
      <w:r>
        <w:t>21.2 Stage Two: Provenance and Human Review</w:t>
      </w:r>
    </w:p>
    <w:p>
      <w:r>
        <w:t>Extend ingestion to retain page boundaries and character offsets. Where feasible, retain bounding boxes from PDF text extraction so a UI can highlight the original evidence. Store a stable reference from each audit decision to the source document hash, page, and text span. Define how evidence is presented when a value appears more than once or when label/value lines are separated by layout.</w:t>
      </w:r>
    </w:p>
    <w:p>
      <w:r>
        <w:t>Build a reviewer workflow that shows the PDF beside extracted candidates, audit reasons, and compliance flags. Allow the reviewer to correct a value, mark it absent or ambiguous, select a reason, and approve or return the document. Preserve machine output and human decisions as separate records with timestamps and user identity. Downstream integrations should use the approved record and reject an unreviewed needs_review document.</w:t>
      </w:r>
    </w:p>
    <w:p>
      <w:pPr>
        <w:pStyle w:val="Heading2"/>
        <w:keepNext/>
      </w:pPr>
      <w:r>
        <w:t>21.3 Stage Three: Security and Data Lifecycle</w:t>
      </w:r>
    </w:p>
    <w:p>
      <w:r>
        <w:t>Add authentication and document-level authorization before enabling access across users. Validate PDF content, enforce file-size and processing-time limits, protect upload paths, and restrict container permissions. Store secrets outside source control. Define encryption, retention, deletion, backup, and recovery procedures that cover PostgreSQL, uploaded PDFs, Qdrant payloads, logs, and backups. Record which controls are enabled in a deployment profile.</w:t>
      </w:r>
    </w:p>
    <w:p>
      <w:r>
        <w:t>Security acceptance should include automated tests for invalid uploads, unauthorized access, guessed document IDs, malformed PDFs, secret leakage, and partial failure cleanup. A privacy review should identify whether model inference is local or remote, what data leave the deployment boundary, and whether storage of original documents and extracted text is permitted. Monitoring should report control degradation if a required service or duplicate check is unavailable.</w:t>
      </w:r>
    </w:p>
    <w:p>
      <w:pPr>
        <w:pStyle w:val="Heading2"/>
        <w:keepNext/>
      </w:pPr>
      <w:r>
        <w:t>21.4 Stage Four: Extraction and Scale Improvements</w:t>
      </w:r>
    </w:p>
    <w:p>
      <w:r>
        <w:t>After evaluation governance and provenance are established, test more granular chunking, layout-aware extraction, OCR for scanned documents, currency-aware amount normalization, and database-indexed duplicate checking. Each capability should be delivered behind a versioned feature or schema and evaluated independently. Adding OCR increases the number of failure modes and should include scan quality, language, rotation, and table cases in its dataset.</w:t>
      </w:r>
    </w:p>
    <w:p>
      <w:r>
        <w:t>Measure cold start, warm latency, throughput, queue delay, memory, model-cache storage, and vector/database growth on declared hardware. Use those measurements to select worker concurrency and service limits. A design that is more accurate but exceeds the available memory or produces a high review rate may not be practical for a given institution; performance and quality should be reported together.</w:t>
      </w:r>
    </w:p>
    <w:p>
      <w:pPr>
        <w:pStyle w:val="Heading2"/>
        <w:keepNext/>
      </w:pPr>
      <w:r>
        <w:t>21.5 Stage Five: Controlled Pilot and Release Decision</w:t>
      </w:r>
    </w:p>
    <w:p>
      <w:r>
        <w:t>A pilot should begin in shadow mode, where DocuAudit produces proposals but does not trigger payment, posting, or vendor actions. Human operators compare outputs against the existing process, correct errors, and record reasons. The pilot should have a fixed duration or sample target, escalation path, and stop criteria. It should track false verified values, review volume, operational failures, latency, and data-handling incidents.</w:t>
      </w:r>
    </w:p>
    <w:p>
      <w:r>
        <w:t>A release decision should state the supported invoice population, excluded documents, accepted risk, human approval requirements, service ownership, support hours, recovery objectives, and review cadence. If the pilot reveals a new failure type, the test set and rule changes should be governed so that the new example is not presented as independent holdout evidence. The system should remain in decision-support scope until evidence justifies any wider automation.</w:t>
      </w:r>
    </w:p>
    <w:p>
      <w:r>
        <w:br w:type="page"/>
      </w:r>
    </w:p>
    <w:p>
      <w:pPr>
        <w:pStyle w:val="Heading1"/>
        <w:keepNext/>
      </w:pPr>
      <w:r>
        <w:t>References</w:t>
      </w:r>
    </w:p>
    <w:p>
      <w:r>
        <w:t>[1] deepset, “roberta-base-squad2,” Hugging Face model card. https://huggingface.co/deepset/roberta-base-squad2 (accessed 16 Oct. 2026).</w:t>
      </w:r>
    </w:p>
    <w:p>
      <w:r>
        <w:t>[2] BAAI, “bge-small-en-v1.5,” Hugging Face model repository. https://huggingface.co/BAAI/bge-small-en-v1.5 (accessed 16 Oct. 2026).</w:t>
      </w:r>
    </w:p>
    <w:p>
      <w:r>
        <w:t>[3] cross-encoder, “nli-deberta-v3-base,” Hugging Face model repository. https://huggingface.co/cross-encoder/nli-deberta-v3-base (accessed 16 Oct. 2026).</w:t>
      </w:r>
    </w:p>
    <w:p>
      <w:r>
        <w:t>[4] dslim, “bert-base-NER,” Hugging Face model card. https://huggingface.co/dslim/bert-base-NER (accessed 16 Oct. 2026).</w:t>
      </w:r>
    </w:p>
    <w:p>
      <w:r>
        <w:t>[5] DocuAudit project repository: README.md, backend/app, frontend/app.py, evaluation/, tests/, and docker-compose.yml. Accessed 16 Oct. 2026.</w:t>
      </w:r>
    </w:p>
    <w:p>
      <w:r>
        <w:t>[6] LangChain, “LangGraph Documentation.” https://docs.langchain.com/oss/python/langgraph/overview (accessed 16 Oct. 2026).</w:t>
      </w:r>
    </w:p>
    <w:p>
      <w:r>
        <w:t>[7] FastAPI, “FastAPI Documentation.” https://fastapi.tiangolo.com/ (accessed 16 Oct. 2026).</w:t>
      </w:r>
    </w:p>
    <w:p>
      <w:r>
        <w:t>[8] Qdrant, “Qdrant Documentation.” https://qdrant.tech/documentation/ (accessed 16 Oct. 2026).</w:t>
      </w:r>
    </w:p>
    <w:p>
      <w:r>
        <w:br w:type="page"/>
      </w:r>
    </w:p>
    <w:p>
      <w:pPr>
        <w:pStyle w:val="Heading1"/>
        <w:keepNext/>
      </w:pPr>
      <w:r>
        <w:t>Appendix A. API and Setup Summary</w:t>
      </w:r>
    </w:p>
    <w:p>
      <w:r>
        <w:t>The README documents Docker Desktop deployment with docker compose up --build -d. The backend is exposed on port 8000; interactive API documentation is at /docs. PostgreSQL stores relational records, Redis brokers Celery work, Qdrant stores vectors, and Docker volumes persist database, vector, upload, and model-cache data. Local testing instructions specify Python 3.11, backend/requirements.txt, and pytest tests/. This report reproduces documented results and does not claim a fresh test run for this submission.</w:t>
      </w:r>
    </w:p>
    <w:p>
      <w:r>
        <w:br w:type="page"/>
      </w:r>
    </w:p>
    <w:p>
      <w:pPr>
        <w:pStyle w:val="Heading1"/>
        <w:keepNext/>
      </w:pPr>
      <w:r>
        <w:t>Appendix B. Repository Structure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Path</w:t>
            </w:r>
          </w:p>
        </w:tc>
        <w:tc>
          <w:tcPr>
            <w:tcW w:type="dxa" w:w="4896"/>
            <w:shd w:fill="17365D"/>
          </w:tcPr>
          <w:p>
            <w:r>
              <w:rPr>
                <w:b/>
                <w:color w:val="FFFFFF"/>
                <w:sz w:val="24"/>
              </w:rPr>
              <w:t>Contents</w:t>
            </w:r>
          </w:p>
        </w:tc>
      </w:tr>
      <w:tr>
        <w:tc>
          <w:tcPr>
            <w:tcW w:type="dxa" w:w="4896"/>
            <w:vAlign w:val="center"/>
          </w:tcPr>
          <w:p>
            <w:pPr>
              <w:spacing w:line="276" w:lineRule="auto"/>
            </w:pPr>
            <w:r>
              <w:rPr>
                <w:sz w:val="24"/>
              </w:rPr>
              <w:t>backend/app/api</w:t>
            </w:r>
          </w:p>
        </w:tc>
        <w:tc>
          <w:tcPr>
            <w:tcW w:type="dxa" w:w="4896"/>
            <w:vAlign w:val="center"/>
          </w:tcPr>
          <w:p>
            <w:pPr>
              <w:spacing w:line="276" w:lineRule="auto"/>
            </w:pPr>
            <w:r>
              <w:rPr>
                <w:sz w:val="24"/>
              </w:rPr>
              <w:t>FastAPI document routes.</w:t>
            </w:r>
          </w:p>
        </w:tc>
      </w:tr>
      <w:tr>
        <w:tc>
          <w:tcPr>
            <w:tcW w:type="dxa" w:w="4896"/>
            <w:vAlign w:val="center"/>
            <w:shd w:fill="EAF0F6"/>
          </w:tcPr>
          <w:p>
            <w:pPr>
              <w:spacing w:line="276" w:lineRule="auto"/>
            </w:pPr>
            <w:r>
              <w:rPr>
                <w:sz w:val="24"/>
              </w:rPr>
              <w:t>backend/app/agents</w:t>
            </w:r>
          </w:p>
        </w:tc>
        <w:tc>
          <w:tcPr>
            <w:tcW w:type="dxa" w:w="4896"/>
            <w:vAlign w:val="center"/>
            <w:shd w:fill="EAF0F6"/>
          </w:tcPr>
          <w:p>
            <w:pPr>
              <w:spacing w:line="276" w:lineRule="auto"/>
            </w:pPr>
            <w:r>
              <w:rPr>
                <w:sz w:val="24"/>
              </w:rPr>
              <w:t>Ingestion, retrieval, extraction, compliance, audit, validation.</w:t>
            </w:r>
          </w:p>
        </w:tc>
      </w:tr>
      <w:tr>
        <w:tc>
          <w:tcPr>
            <w:tcW w:type="dxa" w:w="4896"/>
            <w:vAlign w:val="center"/>
          </w:tcPr>
          <w:p>
            <w:pPr>
              <w:spacing w:line="276" w:lineRule="auto"/>
            </w:pPr>
            <w:r>
              <w:rPr>
                <w:sz w:val="24"/>
              </w:rPr>
              <w:t>backend/app/graph</w:t>
            </w:r>
          </w:p>
        </w:tc>
        <w:tc>
          <w:tcPr>
            <w:tcW w:type="dxa" w:w="4896"/>
            <w:vAlign w:val="center"/>
          </w:tcPr>
          <w:p>
            <w:pPr>
              <w:spacing w:line="276" w:lineRule="auto"/>
            </w:pPr>
            <w:r>
              <w:rPr>
                <w:sz w:val="24"/>
              </w:rPr>
              <w:t>LangGraph workflow and repair routing.</w:t>
            </w:r>
          </w:p>
        </w:tc>
      </w:tr>
      <w:tr>
        <w:tc>
          <w:tcPr>
            <w:tcW w:type="dxa" w:w="4896"/>
            <w:vAlign w:val="center"/>
            <w:shd w:fill="EAF0F6"/>
          </w:tcPr>
          <w:p>
            <w:pPr>
              <w:spacing w:line="276" w:lineRule="auto"/>
            </w:pPr>
            <w:r>
              <w:rPr>
                <w:sz w:val="24"/>
              </w:rPr>
              <w:t>backend/app/db</w:t>
            </w:r>
          </w:p>
        </w:tc>
        <w:tc>
          <w:tcPr>
            <w:tcW w:type="dxa" w:w="4896"/>
            <w:vAlign w:val="center"/>
            <w:shd w:fill="EAF0F6"/>
          </w:tcPr>
          <w:p>
            <w:pPr>
              <w:spacing w:line="276" w:lineRule="auto"/>
            </w:pPr>
            <w:r>
              <w:rPr>
                <w:sz w:val="24"/>
              </w:rPr>
              <w:t>Models, sessions, duplicate lookup.</w:t>
            </w:r>
          </w:p>
        </w:tc>
      </w:tr>
      <w:tr>
        <w:tc>
          <w:tcPr>
            <w:tcW w:type="dxa" w:w="4896"/>
            <w:vAlign w:val="center"/>
          </w:tcPr>
          <w:p>
            <w:pPr>
              <w:spacing w:line="276" w:lineRule="auto"/>
            </w:pPr>
            <w:r>
              <w:rPr>
                <w:sz w:val="24"/>
              </w:rPr>
              <w:t>backend/app/workers</w:t>
            </w:r>
          </w:p>
        </w:tc>
        <w:tc>
          <w:tcPr>
            <w:tcW w:type="dxa" w:w="4896"/>
            <w:vAlign w:val="center"/>
          </w:tcPr>
          <w:p>
            <w:pPr>
              <w:spacing w:line="276" w:lineRule="auto"/>
            </w:pPr>
            <w:r>
              <w:rPr>
                <w:sz w:val="24"/>
              </w:rPr>
              <w:t>Celery app and document-processing task.</w:t>
            </w:r>
          </w:p>
        </w:tc>
      </w:tr>
      <w:tr>
        <w:tc>
          <w:tcPr>
            <w:tcW w:type="dxa" w:w="4896"/>
            <w:vAlign w:val="center"/>
            <w:shd w:fill="EAF0F6"/>
          </w:tcPr>
          <w:p>
            <w:pPr>
              <w:spacing w:line="276" w:lineRule="auto"/>
            </w:pPr>
            <w:r>
              <w:rPr>
                <w:sz w:val="24"/>
              </w:rPr>
              <w:t>frontend/app.py</w:t>
            </w:r>
          </w:p>
        </w:tc>
        <w:tc>
          <w:tcPr>
            <w:tcW w:type="dxa" w:w="4896"/>
            <w:vAlign w:val="center"/>
            <w:shd w:fill="EAF0F6"/>
          </w:tcPr>
          <w:p>
            <w:pPr>
              <w:spacing w:line="276" w:lineRule="auto"/>
            </w:pPr>
            <w:r>
              <w:rPr>
                <w:sz w:val="24"/>
              </w:rPr>
              <w:t>Streamlit upload, status, results, review queue.</w:t>
            </w:r>
          </w:p>
        </w:tc>
      </w:tr>
      <w:tr>
        <w:tc>
          <w:tcPr>
            <w:tcW w:type="dxa" w:w="4896"/>
            <w:vAlign w:val="center"/>
          </w:tcPr>
          <w:p>
            <w:pPr>
              <w:spacing w:line="276" w:lineRule="auto"/>
            </w:pPr>
            <w:r>
              <w:rPr>
                <w:sz w:val="24"/>
              </w:rPr>
              <w:t>evaluation/</w:t>
            </w:r>
          </w:p>
        </w:tc>
        <w:tc>
          <w:tcPr>
            <w:tcW w:type="dxa" w:w="4896"/>
            <w:vAlign w:val="center"/>
          </w:tcPr>
          <w:p>
            <w:pPr>
              <w:spacing w:line="276" w:lineRule="auto"/>
            </w:pPr>
            <w:r>
              <w:rPr>
                <w:sz w:val="24"/>
              </w:rPr>
              <w:t>Metrics, evaluation runners, mode comparison, golden set.</w:t>
            </w:r>
          </w:p>
        </w:tc>
      </w:tr>
      <w:tr>
        <w:tc>
          <w:tcPr>
            <w:tcW w:type="dxa" w:w="4896"/>
            <w:vAlign w:val="center"/>
            <w:shd w:fill="EAF0F6"/>
          </w:tcPr>
          <w:p>
            <w:pPr>
              <w:spacing w:line="276" w:lineRule="auto"/>
            </w:pPr>
            <w:r>
              <w:rPr>
                <w:sz w:val="24"/>
              </w:rPr>
              <w:t>tests/</w:t>
            </w:r>
          </w:p>
        </w:tc>
        <w:tc>
          <w:tcPr>
            <w:tcW w:type="dxa" w:w="4896"/>
            <w:vAlign w:val="center"/>
            <w:shd w:fill="EAF0F6"/>
          </w:tcPr>
          <w:p>
            <w:pPr>
              <w:spacing w:line="276" w:lineRule="auto"/>
            </w:pPr>
            <w:r>
              <w:rPr>
                <w:sz w:val="24"/>
              </w:rPr>
              <w:t>Unit tests for checks, repair, compliance, duplicates, metrics.</w:t>
            </w:r>
          </w:p>
        </w:tc>
      </w:tr>
      <w:tr>
        <w:tc>
          <w:tcPr>
            <w:tcW w:type="dxa" w:w="4896"/>
            <w:vAlign w:val="center"/>
          </w:tcPr>
          <w:p>
            <w:pPr>
              <w:spacing w:line="276" w:lineRule="auto"/>
            </w:pPr>
            <w:r>
              <w:rPr>
                <w:sz w:val="24"/>
              </w:rPr>
              <w:t>docs/</w:t>
            </w:r>
          </w:p>
        </w:tc>
        <w:tc>
          <w:tcPr>
            <w:tcW w:type="dxa" w:w="4896"/>
            <w:vAlign w:val="center"/>
          </w:tcPr>
          <w:p>
            <w:pPr>
              <w:spacing w:line="276" w:lineRule="auto"/>
            </w:pPr>
            <w:r>
              <w:rPr>
                <w:sz w:val="24"/>
              </w:rPr>
              <w:t>Interface screenshots.</w:t>
            </w:r>
          </w:p>
        </w:tc>
      </w:tr>
      <w:tr>
        <w:tc>
          <w:tcPr>
            <w:tcW w:type="dxa" w:w="4896"/>
            <w:vAlign w:val="center"/>
            <w:shd w:fill="EAF0F6"/>
          </w:tcPr>
          <w:p>
            <w:pPr>
              <w:spacing w:line="276" w:lineRule="auto"/>
            </w:pPr>
            <w:r>
              <w:rPr>
                <w:sz w:val="24"/>
              </w:rPr>
              <w:t>docker-compose.yml</w:t>
            </w:r>
          </w:p>
        </w:tc>
        <w:tc>
          <w:tcPr>
            <w:tcW w:type="dxa" w:w="4896"/>
            <w:vAlign w:val="center"/>
            <w:shd w:fill="EAF0F6"/>
          </w:tcPr>
          <w:p>
            <w:pPr>
              <w:spacing w:line="276" w:lineRule="auto"/>
            </w:pPr>
            <w:r>
              <w:rPr>
                <w:sz w:val="24"/>
              </w:rPr>
              <w:t>Multi-service deployment definition.</w:t>
            </w:r>
          </w:p>
        </w:tc>
      </w:tr>
    </w:tbl>
    <w:p>
      <w:pPr>
        <w:pStyle w:val="Caption"/>
        <w:keepLines/>
        <w:jc w:val="center"/>
      </w:pPr>
      <w:r>
        <w:t>Table 23. Repository Structure</w:t>
      </w:r>
    </w:p>
    <w:p/>
    <w:p>
      <w:r>
        <w:br w:type="page"/>
      </w:r>
    </w:p>
    <w:p>
      <w:pPr>
        <w:pStyle w:val="Heading1"/>
        <w:keepNext/>
      </w:pPr>
      <w:r>
        <w:t>Appendix C. Abbreviations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7365D"/>
          </w:tcPr>
          <w:p>
            <w:r>
              <w:rPr>
                <w:b/>
                <w:color w:val="FFFFFF"/>
                <w:sz w:val="24"/>
              </w:rPr>
              <w:t>Term</w:t>
            </w:r>
          </w:p>
        </w:tc>
        <w:tc>
          <w:tcPr>
            <w:tcW w:type="dxa" w:w="4896"/>
            <w:shd w:fill="17365D"/>
          </w:tcPr>
          <w:p>
            <w:r>
              <w:rPr>
                <w:b/>
                <w:color w:val="FFFFFF"/>
                <w:sz w:val="24"/>
              </w:rPr>
              <w:t>Definition</w:t>
            </w:r>
          </w:p>
        </w:tc>
      </w:tr>
      <w:tr>
        <w:tc>
          <w:tcPr>
            <w:tcW w:type="dxa" w:w="4896"/>
            <w:vAlign w:val="center"/>
          </w:tcPr>
          <w:p>
            <w:pPr>
              <w:spacing w:line="276" w:lineRule="auto"/>
            </w:pPr>
            <w:r>
              <w:rPr>
                <w:sz w:val="24"/>
              </w:rPr>
              <w:t>API</w:t>
            </w:r>
          </w:p>
        </w:tc>
        <w:tc>
          <w:tcPr>
            <w:tcW w:type="dxa" w:w="4896"/>
            <w:vAlign w:val="center"/>
          </w:tcPr>
          <w:p>
            <w:pPr>
              <w:spacing w:line="276" w:lineRule="auto"/>
            </w:pPr>
            <w:r>
              <w:rPr>
                <w:sz w:val="24"/>
              </w:rPr>
              <w:t>Application Programming Interface</w:t>
            </w:r>
          </w:p>
        </w:tc>
      </w:tr>
      <w:tr>
        <w:tc>
          <w:tcPr>
            <w:tcW w:type="dxa" w:w="4896"/>
            <w:vAlign w:val="center"/>
            <w:shd w:fill="EAF0F6"/>
          </w:tcPr>
          <w:p>
            <w:pPr>
              <w:spacing w:line="276" w:lineRule="auto"/>
            </w:pPr>
            <w:r>
              <w:rPr>
                <w:sz w:val="24"/>
              </w:rPr>
              <w:t>F1</w:t>
            </w:r>
          </w:p>
        </w:tc>
        <w:tc>
          <w:tcPr>
            <w:tcW w:type="dxa" w:w="4896"/>
            <w:vAlign w:val="center"/>
            <w:shd w:fill="EAF0F6"/>
          </w:tcPr>
          <w:p>
            <w:pPr>
              <w:spacing w:line="276" w:lineRule="auto"/>
            </w:pPr>
            <w:r>
              <w:rPr>
                <w:sz w:val="24"/>
              </w:rPr>
              <w:t>Harmonic mean of precision and recall</w:t>
            </w:r>
          </w:p>
        </w:tc>
      </w:tr>
      <w:tr>
        <w:tc>
          <w:tcPr>
            <w:tcW w:type="dxa" w:w="4896"/>
            <w:vAlign w:val="center"/>
          </w:tcPr>
          <w:p>
            <w:pPr>
              <w:spacing w:line="276" w:lineRule="auto"/>
            </w:pPr>
            <w:r>
              <w:rPr>
                <w:sz w:val="24"/>
              </w:rPr>
              <w:t>NER</w:t>
            </w:r>
          </w:p>
        </w:tc>
        <w:tc>
          <w:tcPr>
            <w:tcW w:type="dxa" w:w="4896"/>
            <w:vAlign w:val="center"/>
          </w:tcPr>
          <w:p>
            <w:pPr>
              <w:spacing w:line="276" w:lineRule="auto"/>
            </w:pPr>
            <w:r>
              <w:rPr>
                <w:sz w:val="24"/>
              </w:rPr>
              <w:t>Named Entity Recognition</w:t>
            </w:r>
          </w:p>
        </w:tc>
      </w:tr>
      <w:tr>
        <w:tc>
          <w:tcPr>
            <w:tcW w:type="dxa" w:w="4896"/>
            <w:vAlign w:val="center"/>
            <w:shd w:fill="EAF0F6"/>
          </w:tcPr>
          <w:p>
            <w:pPr>
              <w:spacing w:line="276" w:lineRule="auto"/>
            </w:pPr>
            <w:r>
              <w:rPr>
                <w:sz w:val="24"/>
              </w:rPr>
              <w:t>NLI</w:t>
            </w:r>
          </w:p>
        </w:tc>
        <w:tc>
          <w:tcPr>
            <w:tcW w:type="dxa" w:w="4896"/>
            <w:vAlign w:val="center"/>
            <w:shd w:fill="EAF0F6"/>
          </w:tcPr>
          <w:p>
            <w:pPr>
              <w:spacing w:line="276" w:lineRule="auto"/>
            </w:pPr>
            <w:r>
              <w:rPr>
                <w:sz w:val="24"/>
              </w:rPr>
              <w:t>Natural Language Inference</w:t>
            </w:r>
          </w:p>
        </w:tc>
      </w:tr>
      <w:tr>
        <w:tc>
          <w:tcPr>
            <w:tcW w:type="dxa" w:w="4896"/>
            <w:vAlign w:val="center"/>
          </w:tcPr>
          <w:p>
            <w:pPr>
              <w:spacing w:line="276" w:lineRule="auto"/>
            </w:pPr>
            <w:r>
              <w:rPr>
                <w:sz w:val="24"/>
              </w:rPr>
              <w:t>PII</w:t>
            </w:r>
          </w:p>
        </w:tc>
        <w:tc>
          <w:tcPr>
            <w:tcW w:type="dxa" w:w="4896"/>
            <w:vAlign w:val="center"/>
          </w:tcPr>
          <w:p>
            <w:pPr>
              <w:spacing w:line="276" w:lineRule="auto"/>
            </w:pPr>
            <w:r>
              <w:rPr>
                <w:sz w:val="24"/>
              </w:rPr>
              <w:t>Personally Identifiable Information</w:t>
            </w:r>
          </w:p>
        </w:tc>
      </w:tr>
      <w:tr>
        <w:tc>
          <w:tcPr>
            <w:tcW w:type="dxa" w:w="4896"/>
            <w:vAlign w:val="center"/>
            <w:shd w:fill="EAF0F6"/>
          </w:tcPr>
          <w:p>
            <w:pPr>
              <w:spacing w:line="276" w:lineRule="auto"/>
            </w:pPr>
            <w:r>
              <w:rPr>
                <w:sz w:val="24"/>
              </w:rPr>
              <w:t>PDF</w:t>
            </w:r>
          </w:p>
        </w:tc>
        <w:tc>
          <w:tcPr>
            <w:tcW w:type="dxa" w:w="4896"/>
            <w:vAlign w:val="center"/>
            <w:shd w:fill="EAF0F6"/>
          </w:tcPr>
          <w:p>
            <w:pPr>
              <w:spacing w:line="276" w:lineRule="auto"/>
            </w:pPr>
            <w:r>
              <w:rPr>
                <w:sz w:val="24"/>
              </w:rPr>
              <w:t>Portable Document Format</w:t>
            </w:r>
          </w:p>
        </w:tc>
      </w:tr>
      <w:tr>
        <w:tc>
          <w:tcPr>
            <w:tcW w:type="dxa" w:w="4896"/>
            <w:vAlign w:val="center"/>
          </w:tcPr>
          <w:p>
            <w:pPr>
              <w:spacing w:line="276" w:lineRule="auto"/>
            </w:pPr>
            <w:r>
              <w:rPr>
                <w:sz w:val="24"/>
              </w:rPr>
              <w:t>QA</w:t>
            </w:r>
          </w:p>
        </w:tc>
        <w:tc>
          <w:tcPr>
            <w:tcW w:type="dxa" w:w="4896"/>
            <w:vAlign w:val="center"/>
          </w:tcPr>
          <w:p>
            <w:pPr>
              <w:spacing w:line="276" w:lineRule="auto"/>
            </w:pPr>
            <w:r>
              <w:rPr>
                <w:sz w:val="24"/>
              </w:rPr>
              <w:t>Question Answering</w:t>
            </w:r>
          </w:p>
        </w:tc>
      </w:tr>
      <w:tr>
        <w:tc>
          <w:tcPr>
            <w:tcW w:type="dxa" w:w="4896"/>
            <w:vAlign w:val="center"/>
            <w:shd w:fill="EAF0F6"/>
          </w:tcPr>
          <w:p>
            <w:pPr>
              <w:spacing w:line="276" w:lineRule="auto"/>
            </w:pPr>
            <w:r>
              <w:rPr>
                <w:sz w:val="24"/>
              </w:rPr>
              <w:t>REST</w:t>
            </w:r>
          </w:p>
        </w:tc>
        <w:tc>
          <w:tcPr>
            <w:tcW w:type="dxa" w:w="4896"/>
            <w:vAlign w:val="center"/>
            <w:shd w:fill="EAF0F6"/>
          </w:tcPr>
          <w:p>
            <w:pPr>
              <w:spacing w:line="276" w:lineRule="auto"/>
            </w:pPr>
            <w:r>
              <w:rPr>
                <w:sz w:val="24"/>
              </w:rPr>
              <w:t>Representational State Transfer</w:t>
            </w:r>
          </w:p>
        </w:tc>
      </w:tr>
      <w:tr>
        <w:tc>
          <w:tcPr>
            <w:tcW w:type="dxa" w:w="4896"/>
            <w:vAlign w:val="center"/>
          </w:tcPr>
          <w:p>
            <w:pPr>
              <w:spacing w:line="276" w:lineRule="auto"/>
            </w:pPr>
            <w:r>
              <w:rPr>
                <w:sz w:val="24"/>
              </w:rPr>
              <w:t>UUID</w:t>
            </w:r>
          </w:p>
        </w:tc>
        <w:tc>
          <w:tcPr>
            <w:tcW w:type="dxa" w:w="4896"/>
            <w:vAlign w:val="center"/>
          </w:tcPr>
          <w:p>
            <w:pPr>
              <w:spacing w:line="276" w:lineRule="auto"/>
            </w:pPr>
            <w:r>
              <w:rPr>
                <w:sz w:val="24"/>
              </w:rPr>
              <w:t>Universally Unique Identifier</w:t>
            </w:r>
          </w:p>
        </w:tc>
      </w:tr>
    </w:tbl>
    <w:p>
      <w:pPr>
        <w:pStyle w:val="Caption"/>
        <w:keepLines/>
        <w:jc w:val="center"/>
      </w:pPr>
      <w:r>
        <w:t>Table 24. Abbreviations</w:t>
      </w:r>
    </w:p>
    <w:p/>
    <w:p>
      <w:r>
        <w:br w:type="page"/>
      </w:r>
    </w:p>
    <w:p>
      <w:pPr>
        <w:pStyle w:val="Heading1"/>
        <w:keepNext/>
      </w:pPr>
      <w:r>
        <w:t>Appendix D. API Contract Reference</w:t>
      </w:r>
    </w:p>
    <w:p>
      <w:r>
        <w:t>This appendix describes the current HTTP surface at a level suitable for a student demonstration and client integration. Exact runtime behavior should be checked against the API implementation and interactive documentation for the deployed revision. The API currently uses JSON responses and an uploaded file field; authentication, pagination, explicit error schemas, and a reviewer write endpoint are not included in the documented route set.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Method and path</w:t>
            </w:r>
          </w:p>
        </w:tc>
        <w:tc>
          <w:tcPr>
            <w:tcW w:type="dxa" w:w="2448"/>
            <w:shd w:fill="17365D"/>
          </w:tcPr>
          <w:p>
            <w:r>
              <w:rPr>
                <w:b/>
                <w:color w:val="FFFFFF"/>
                <w:sz w:val="24"/>
              </w:rPr>
              <w:t>Input</w:t>
            </w:r>
          </w:p>
        </w:tc>
        <w:tc>
          <w:tcPr>
            <w:tcW w:type="dxa" w:w="2448"/>
            <w:shd w:fill="17365D"/>
          </w:tcPr>
          <w:p>
            <w:r>
              <w:rPr>
                <w:b/>
                <w:color w:val="FFFFFF"/>
                <w:sz w:val="24"/>
              </w:rPr>
              <w:t>Successful result</w:t>
            </w:r>
          </w:p>
        </w:tc>
        <w:tc>
          <w:tcPr>
            <w:tcW w:type="dxa" w:w="2448"/>
            <w:shd w:fill="17365D"/>
          </w:tcPr>
          <w:p>
            <w:r>
              <w:rPr>
                <w:b/>
                <w:color w:val="FFFFFF"/>
                <w:sz w:val="24"/>
              </w:rPr>
              <w:t>Important behavior</w:t>
            </w:r>
          </w:p>
        </w:tc>
      </w:tr>
      <w:tr>
        <w:tc>
          <w:tcPr>
            <w:tcW w:type="dxa" w:w="2448"/>
            <w:vAlign w:val="center"/>
          </w:tcPr>
          <w:p>
            <w:pPr>
              <w:spacing w:line="276" w:lineRule="auto"/>
            </w:pPr>
            <w:r>
              <w:rPr>
                <w:sz w:val="24"/>
              </w:rPr>
              <w:t>POST /documents</w:t>
            </w:r>
          </w:p>
        </w:tc>
        <w:tc>
          <w:tcPr>
            <w:tcW w:type="dxa" w:w="2448"/>
            <w:vAlign w:val="center"/>
          </w:tcPr>
          <w:p>
            <w:pPr>
              <w:spacing w:line="276" w:lineRule="auto"/>
            </w:pPr>
            <w:r>
              <w:rPr>
                <w:sz w:val="24"/>
              </w:rPr>
              <w:t>Multipart upload with file.</w:t>
            </w:r>
          </w:p>
        </w:tc>
        <w:tc>
          <w:tcPr>
            <w:tcW w:type="dxa" w:w="2448"/>
            <w:vAlign w:val="center"/>
          </w:tcPr>
          <w:p>
            <w:pPr>
              <w:spacing w:line="276" w:lineRule="auto"/>
            </w:pPr>
            <w:r>
              <w:rPr>
                <w:sz w:val="24"/>
              </w:rPr>
              <w:t>doc_id and status.</w:t>
            </w:r>
          </w:p>
        </w:tc>
        <w:tc>
          <w:tcPr>
            <w:tcW w:type="dxa" w:w="2448"/>
            <w:vAlign w:val="center"/>
          </w:tcPr>
          <w:p>
            <w:pPr>
              <w:spacing w:line="276" w:lineRule="auto"/>
            </w:pPr>
            <w:r>
              <w:rPr>
                <w:sz w:val="24"/>
              </w:rPr>
              <w:t>Creates the record, writes the upload, queues processing.</w:t>
            </w:r>
          </w:p>
        </w:tc>
      </w:tr>
      <w:tr>
        <w:tc>
          <w:tcPr>
            <w:tcW w:type="dxa" w:w="2448"/>
            <w:vAlign w:val="center"/>
            <w:shd w:fill="EAF0F6"/>
          </w:tcPr>
          <w:p>
            <w:pPr>
              <w:spacing w:line="276" w:lineRule="auto"/>
            </w:pPr>
            <w:r>
              <w:rPr>
                <w:sz w:val="24"/>
              </w:rPr>
              <w:t>GET /documents/{doc_id}</w:t>
            </w:r>
          </w:p>
        </w:tc>
        <w:tc>
          <w:tcPr>
            <w:tcW w:type="dxa" w:w="2448"/>
            <w:vAlign w:val="center"/>
            <w:shd w:fill="EAF0F6"/>
          </w:tcPr>
          <w:p>
            <w:pPr>
              <w:spacing w:line="276" w:lineRule="auto"/>
            </w:pPr>
            <w:r>
              <w:rPr>
                <w:sz w:val="24"/>
              </w:rPr>
              <w:t>Path identifier.</w:t>
            </w:r>
          </w:p>
        </w:tc>
        <w:tc>
          <w:tcPr>
            <w:tcW w:type="dxa" w:w="2448"/>
            <w:vAlign w:val="center"/>
            <w:shd w:fill="EAF0F6"/>
          </w:tcPr>
          <w:p>
            <w:pPr>
              <w:spacing w:line="276" w:lineRule="auto"/>
            </w:pPr>
            <w:r>
              <w:rPr>
                <w:sz w:val="24"/>
              </w:rPr>
              <w:t>Document identity, status, extraction, compliance, audit.</w:t>
            </w:r>
          </w:p>
        </w:tc>
        <w:tc>
          <w:tcPr>
            <w:tcW w:type="dxa" w:w="2448"/>
            <w:vAlign w:val="center"/>
            <w:shd w:fill="EAF0F6"/>
          </w:tcPr>
          <w:p>
            <w:pPr>
              <w:spacing w:line="276" w:lineRule="auto"/>
            </w:pPr>
            <w:r>
              <w:rPr>
                <w:sz w:val="24"/>
              </w:rPr>
              <w:t>Unknown ID currently returns a JSON error object.</w:t>
            </w:r>
          </w:p>
        </w:tc>
      </w:tr>
      <w:tr>
        <w:tc>
          <w:tcPr>
            <w:tcW w:type="dxa" w:w="2448"/>
            <w:vAlign w:val="center"/>
          </w:tcPr>
          <w:p>
            <w:pPr>
              <w:spacing w:line="276" w:lineRule="auto"/>
            </w:pPr>
            <w:r>
              <w:rPr>
                <w:sz w:val="24"/>
              </w:rPr>
              <w:t>GET /documents</w:t>
            </w:r>
          </w:p>
        </w:tc>
        <w:tc>
          <w:tcPr>
            <w:tcW w:type="dxa" w:w="2448"/>
            <w:vAlign w:val="center"/>
          </w:tcPr>
          <w:p>
            <w:pPr>
              <w:spacing w:line="276" w:lineRule="auto"/>
            </w:pPr>
            <w:r>
              <w:rPr>
                <w:sz w:val="24"/>
              </w:rPr>
              <w:t>No required input.</w:t>
            </w:r>
          </w:p>
        </w:tc>
        <w:tc>
          <w:tcPr>
            <w:tcW w:type="dxa" w:w="2448"/>
            <w:vAlign w:val="center"/>
          </w:tcPr>
          <w:p>
            <w:pPr>
              <w:spacing w:line="276" w:lineRule="auto"/>
            </w:pPr>
            <w:r>
              <w:rPr>
                <w:sz w:val="24"/>
              </w:rPr>
              <w:t>Array of IDs, filenames, and statuses.</w:t>
            </w:r>
          </w:p>
        </w:tc>
        <w:tc>
          <w:tcPr>
            <w:tcW w:type="dxa" w:w="2448"/>
            <w:vAlign w:val="center"/>
          </w:tcPr>
          <w:p>
            <w:pPr>
              <w:spacing w:line="276" w:lineRule="auto"/>
            </w:pPr>
            <w:r>
              <w:rPr>
                <w:sz w:val="24"/>
              </w:rPr>
              <w:t>Ordered by upload time descending.</w:t>
            </w:r>
          </w:p>
        </w:tc>
      </w:tr>
      <w:tr>
        <w:tc>
          <w:tcPr>
            <w:tcW w:type="dxa" w:w="2448"/>
            <w:vAlign w:val="center"/>
            <w:shd w:fill="EAF0F6"/>
          </w:tcPr>
          <w:p>
            <w:pPr>
              <w:spacing w:line="276" w:lineRule="auto"/>
            </w:pPr>
            <w:r>
              <w:rPr>
                <w:sz w:val="24"/>
              </w:rPr>
              <w:t>GET /health</w:t>
            </w:r>
          </w:p>
        </w:tc>
        <w:tc>
          <w:tcPr>
            <w:tcW w:type="dxa" w:w="2448"/>
            <w:vAlign w:val="center"/>
            <w:shd w:fill="EAF0F6"/>
          </w:tcPr>
          <w:p>
            <w:pPr>
              <w:spacing w:line="276" w:lineRule="auto"/>
            </w:pPr>
            <w:r>
              <w:rPr>
                <w:sz w:val="24"/>
              </w:rPr>
              <w:t>No required input.</w:t>
            </w:r>
          </w:p>
        </w:tc>
        <w:tc>
          <w:tcPr>
            <w:tcW w:type="dxa" w:w="2448"/>
            <w:vAlign w:val="center"/>
            <w:shd w:fill="EAF0F6"/>
          </w:tcPr>
          <w:p>
            <w:pPr>
              <w:spacing w:line="276" w:lineRule="auto"/>
            </w:pPr>
            <w:r>
              <w:rPr>
                <w:sz w:val="24"/>
              </w:rPr>
              <w:t>Liveness response.</w:t>
            </w:r>
          </w:p>
        </w:tc>
        <w:tc>
          <w:tcPr>
            <w:tcW w:type="dxa" w:w="2448"/>
            <w:vAlign w:val="center"/>
            <w:shd w:fill="EAF0F6"/>
          </w:tcPr>
          <w:p>
            <w:pPr>
              <w:spacing w:line="276" w:lineRule="auto"/>
            </w:pPr>
            <w:r>
              <w:rPr>
                <w:sz w:val="24"/>
              </w:rPr>
              <w:t>Does not by itself prove every dependency is ready.</w:t>
            </w:r>
          </w:p>
        </w:tc>
      </w:tr>
    </w:tbl>
    <w:p>
      <w:pPr>
        <w:pStyle w:val="Caption"/>
        <w:keepLines/>
        <w:jc w:val="center"/>
      </w:pPr>
      <w:r>
        <w:t>Table 25. API Endpoint Request and Response Summary</w:t>
      </w:r>
    </w:p>
    <w:p/>
    <w:p>
      <w:pPr>
        <w:pStyle w:val="Heading2"/>
        <w:keepNext/>
      </w:pPr>
      <w:r>
        <w:t>D.1 Document Detail Payload</w:t>
      </w:r>
    </w:p>
    <w:p>
      <w:r>
        <w:t>The detail response groups information by purpose. The extraction object contains the field mapping. Compliance contains flags, risk level, and PII-like entity detections. Audit contains a faithfulness rate and per-field results. A frontend should preserve the distinction between these objects instead of flattening them into one status or one confidence number. A missing related record can be represented as null while work is incomplete.</w:t>
      </w:r>
    </w:p>
    <w:p>
      <w:r>
        <w:t>The following shape is schematic and omits concrete invoice data:</w:t>
      </w:r>
    </w:p>
    <w:p>
      <w:r>
        <w:t>{ doc_id, filename, status, extraction: { invoice_number, invoice_date, vendor_name, due_date, subtotal, tax, total }, compliance: { flags, risk_level, pii_entities }, audit: { faithfulness_rate, per_field } }</w:t>
      </w:r>
    </w:p>
    <w:p>
      <w:r>
        <w:t>For a field to be operationally usable, the consumer should inspect the value and audit decision together. A needs_review result means at least one per-field decision is unsupported. The current API does not include a separate collection of human corrections, reviewer identity, approval timestamps, or a structured processing error. Such fields should be added through a versioned contract if the system grows into a multi-client service.</w:t>
      </w:r>
    </w:p>
    <w:p>
      <w:pPr>
        <w:pStyle w:val="Heading2"/>
        <w:keepNext/>
      </w:pPr>
      <w:r>
        <w:t>D.2 Client Error Handling</w:t>
      </w:r>
    </w:p>
    <w:p>
      <w:r>
        <w:t>A robust client should handle network errors, non-success HTTP responses, malformed JSON, unknown IDs, and long-running tasks. It should not treat an empty extraction object as equivalent to a complete result. The UI’s polling interval and maximum wait are interface choices; backend processing may outlast a browser wait. Clients should retain the ID and allow a later refresh.</w:t>
      </w:r>
    </w:p>
    <w:p>
      <w:r>
        <w:t>Future API hardening should define stable status/error codes, reject unsupported content types and oversized uploads, use explicit HTTP status codes, and return a request correlation identifier. A versioned API schema should document optional/null properties and the exact semantics of audit reasons. If field corrections are added, the write operation should require authorization and preserve an immutable record of the original proposal and reviewer decision.</w:t>
      </w:r>
    </w:p>
    <w:p>
      <w:r>
        <w:br w:type="page"/>
      </w:r>
    </w:p>
    <w:p>
      <w:pPr>
        <w:pStyle w:val="Heading1"/>
        <w:keepNext/>
      </w:pPr>
      <w:r>
        <w:t>Appendix E. Configuration Reference</w:t>
      </w:r>
    </w:p>
    <w:p>
      <w:r>
        <w:t>Configuration is split between runtime URLs and policy choices. The application reads database and Redis settings through Pydantic Settings, with the environment file located relative to the backend configuration module. Container service names differ from local hostnames. The model names are currently defined in the Python modules, so the list below distinguishes settings exposed by the project from model constants embedded in source code.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Variable or constant</w:t>
            </w:r>
          </w:p>
        </w:tc>
        <w:tc>
          <w:tcPr>
            <w:tcW w:type="dxa" w:w="2448"/>
            <w:shd w:fill="17365D"/>
          </w:tcPr>
          <w:p>
            <w:r>
              <w:rPr>
                <w:b/>
                <w:color w:val="FFFFFF"/>
                <w:sz w:val="24"/>
              </w:rPr>
              <w:t>Required / default</w:t>
            </w:r>
          </w:p>
        </w:tc>
        <w:tc>
          <w:tcPr>
            <w:tcW w:type="dxa" w:w="2448"/>
            <w:shd w:fill="17365D"/>
          </w:tcPr>
          <w:p>
            <w:r>
              <w:rPr>
                <w:b/>
                <w:color w:val="FFFFFF"/>
                <w:sz w:val="24"/>
              </w:rPr>
              <w:t>Component</w:t>
            </w:r>
          </w:p>
        </w:tc>
        <w:tc>
          <w:tcPr>
            <w:tcW w:type="dxa" w:w="2448"/>
            <w:shd w:fill="17365D"/>
          </w:tcPr>
          <w:p>
            <w:r>
              <w:rPr>
                <w:b/>
                <w:color w:val="FFFFFF"/>
                <w:sz w:val="24"/>
              </w:rPr>
              <w:t>Purpose</w:t>
            </w:r>
          </w:p>
        </w:tc>
      </w:tr>
      <w:tr>
        <w:tc>
          <w:tcPr>
            <w:tcW w:type="dxa" w:w="2448"/>
            <w:vAlign w:val="center"/>
          </w:tcPr>
          <w:p>
            <w:pPr>
              <w:spacing w:line="276" w:lineRule="auto"/>
            </w:pPr>
            <w:r>
              <w:rPr>
                <w:sz w:val="24"/>
              </w:rPr>
              <w:t>DATABASE_URL</w:t>
            </w:r>
          </w:p>
        </w:tc>
        <w:tc>
          <w:tcPr>
            <w:tcW w:type="dxa" w:w="2448"/>
            <w:vAlign w:val="center"/>
          </w:tcPr>
          <w:p>
            <w:pPr>
              <w:spacing w:line="276" w:lineRule="auto"/>
            </w:pPr>
            <w:r>
              <w:rPr>
                <w:sz w:val="24"/>
              </w:rPr>
              <w:t>Required</w:t>
            </w:r>
          </w:p>
        </w:tc>
        <w:tc>
          <w:tcPr>
            <w:tcW w:type="dxa" w:w="2448"/>
            <w:vAlign w:val="center"/>
          </w:tcPr>
          <w:p>
            <w:pPr>
              <w:spacing w:line="276" w:lineRule="auto"/>
            </w:pPr>
            <w:r>
              <w:rPr>
                <w:sz w:val="24"/>
              </w:rPr>
              <w:t>API, worker</w:t>
            </w:r>
          </w:p>
        </w:tc>
        <w:tc>
          <w:tcPr>
            <w:tcW w:type="dxa" w:w="2448"/>
            <w:vAlign w:val="center"/>
          </w:tcPr>
          <w:p>
            <w:pPr>
              <w:spacing w:line="276" w:lineRule="auto"/>
            </w:pPr>
            <w:r>
              <w:rPr>
                <w:sz w:val="24"/>
              </w:rPr>
              <w:t>SQLAlchemy connection string.</w:t>
            </w:r>
          </w:p>
        </w:tc>
      </w:tr>
      <w:tr>
        <w:tc>
          <w:tcPr>
            <w:tcW w:type="dxa" w:w="2448"/>
            <w:vAlign w:val="center"/>
            <w:shd w:fill="EAF0F6"/>
          </w:tcPr>
          <w:p>
            <w:pPr>
              <w:spacing w:line="276" w:lineRule="auto"/>
            </w:pPr>
            <w:r>
              <w:rPr>
                <w:sz w:val="24"/>
              </w:rPr>
              <w:t>REDIS_URL</w:t>
            </w:r>
          </w:p>
        </w:tc>
        <w:tc>
          <w:tcPr>
            <w:tcW w:type="dxa" w:w="2448"/>
            <w:vAlign w:val="center"/>
            <w:shd w:fill="EAF0F6"/>
          </w:tcPr>
          <w:p>
            <w:pPr>
              <w:spacing w:line="276" w:lineRule="auto"/>
            </w:pPr>
            <w:r>
              <w:rPr>
                <w:sz w:val="24"/>
              </w:rPr>
              <w:t>Required</w:t>
            </w:r>
          </w:p>
        </w:tc>
        <w:tc>
          <w:tcPr>
            <w:tcW w:type="dxa" w:w="2448"/>
            <w:vAlign w:val="center"/>
            <w:shd w:fill="EAF0F6"/>
          </w:tcPr>
          <w:p>
            <w:pPr>
              <w:spacing w:line="276" w:lineRule="auto"/>
            </w:pPr>
            <w:r>
              <w:rPr>
                <w:sz w:val="24"/>
              </w:rPr>
              <w:t>Celery</w:t>
            </w:r>
          </w:p>
        </w:tc>
        <w:tc>
          <w:tcPr>
            <w:tcW w:type="dxa" w:w="2448"/>
            <w:vAlign w:val="center"/>
            <w:shd w:fill="EAF0F6"/>
          </w:tcPr>
          <w:p>
            <w:pPr>
              <w:spacing w:line="276" w:lineRule="auto"/>
            </w:pPr>
            <w:r>
              <w:rPr>
                <w:sz w:val="24"/>
              </w:rPr>
              <w:t>Broker connection string.</w:t>
            </w:r>
          </w:p>
        </w:tc>
      </w:tr>
      <w:tr>
        <w:tc>
          <w:tcPr>
            <w:tcW w:type="dxa" w:w="2448"/>
            <w:vAlign w:val="center"/>
          </w:tcPr>
          <w:p>
            <w:pPr>
              <w:spacing w:line="276" w:lineRule="auto"/>
            </w:pPr>
            <w:r>
              <w:rPr>
                <w:sz w:val="24"/>
              </w:rPr>
              <w:t>QDRANT_HOST</w:t>
            </w:r>
          </w:p>
        </w:tc>
        <w:tc>
          <w:tcPr>
            <w:tcW w:type="dxa" w:w="2448"/>
            <w:vAlign w:val="center"/>
          </w:tcPr>
          <w:p>
            <w:pPr>
              <w:spacing w:line="276" w:lineRule="auto"/>
            </w:pPr>
            <w:r>
              <w:rPr>
                <w:sz w:val="24"/>
              </w:rPr>
              <w:t>localhost default; Compose override</w:t>
            </w:r>
          </w:p>
        </w:tc>
        <w:tc>
          <w:tcPr>
            <w:tcW w:type="dxa" w:w="2448"/>
            <w:vAlign w:val="center"/>
          </w:tcPr>
          <w:p>
            <w:pPr>
              <w:spacing w:line="276" w:lineRule="auto"/>
            </w:pPr>
            <w:r>
              <w:rPr>
                <w:sz w:val="24"/>
              </w:rPr>
              <w:t>Retrieval</w:t>
            </w:r>
          </w:p>
        </w:tc>
        <w:tc>
          <w:tcPr>
            <w:tcW w:type="dxa" w:w="2448"/>
            <w:vAlign w:val="center"/>
          </w:tcPr>
          <w:p>
            <w:pPr>
              <w:spacing w:line="276" w:lineRule="auto"/>
            </w:pPr>
            <w:r>
              <w:rPr>
                <w:sz w:val="24"/>
              </w:rPr>
              <w:t>Qdrant network host.</w:t>
            </w:r>
          </w:p>
        </w:tc>
      </w:tr>
      <w:tr>
        <w:tc>
          <w:tcPr>
            <w:tcW w:type="dxa" w:w="2448"/>
            <w:vAlign w:val="center"/>
            <w:shd w:fill="EAF0F6"/>
          </w:tcPr>
          <w:p>
            <w:pPr>
              <w:spacing w:line="276" w:lineRule="auto"/>
            </w:pPr>
            <w:r>
              <w:rPr>
                <w:sz w:val="24"/>
              </w:rPr>
              <w:t>QDRANT_PORT</w:t>
            </w:r>
          </w:p>
        </w:tc>
        <w:tc>
          <w:tcPr>
            <w:tcW w:type="dxa" w:w="2448"/>
            <w:vAlign w:val="center"/>
            <w:shd w:fill="EAF0F6"/>
          </w:tcPr>
          <w:p>
            <w:pPr>
              <w:spacing w:line="276" w:lineRule="auto"/>
            </w:pPr>
            <w:r>
              <w:rPr>
                <w:sz w:val="24"/>
              </w:rPr>
              <w:t>6333 default</w:t>
            </w:r>
          </w:p>
        </w:tc>
        <w:tc>
          <w:tcPr>
            <w:tcW w:type="dxa" w:w="2448"/>
            <w:vAlign w:val="center"/>
            <w:shd w:fill="EAF0F6"/>
          </w:tcPr>
          <w:p>
            <w:pPr>
              <w:spacing w:line="276" w:lineRule="auto"/>
            </w:pPr>
            <w:r>
              <w:rPr>
                <w:sz w:val="24"/>
              </w:rPr>
              <w:t>Retrieval</w:t>
            </w:r>
          </w:p>
        </w:tc>
        <w:tc>
          <w:tcPr>
            <w:tcW w:type="dxa" w:w="2448"/>
            <w:vAlign w:val="center"/>
            <w:shd w:fill="EAF0F6"/>
          </w:tcPr>
          <w:p>
            <w:pPr>
              <w:spacing w:line="276" w:lineRule="auto"/>
            </w:pPr>
            <w:r>
              <w:rPr>
                <w:sz w:val="24"/>
              </w:rPr>
              <w:t>Qdrant service port.</w:t>
            </w:r>
          </w:p>
        </w:tc>
      </w:tr>
      <w:tr>
        <w:tc>
          <w:tcPr>
            <w:tcW w:type="dxa" w:w="2448"/>
            <w:vAlign w:val="center"/>
          </w:tcPr>
          <w:p>
            <w:pPr>
              <w:spacing w:line="276" w:lineRule="auto"/>
            </w:pPr>
            <w:r>
              <w:rPr>
                <w:sz w:val="24"/>
              </w:rPr>
              <w:t>UPLOAD_DIR</w:t>
            </w:r>
          </w:p>
        </w:tc>
        <w:tc>
          <w:tcPr>
            <w:tcW w:type="dxa" w:w="2448"/>
            <w:vAlign w:val="center"/>
          </w:tcPr>
          <w:p>
            <w:pPr>
              <w:spacing w:line="276" w:lineRule="auto"/>
            </w:pPr>
            <w:r>
              <w:rPr>
                <w:sz w:val="24"/>
              </w:rPr>
              <w:t>./data/uploads default</w:t>
            </w:r>
          </w:p>
        </w:tc>
        <w:tc>
          <w:tcPr>
            <w:tcW w:type="dxa" w:w="2448"/>
            <w:vAlign w:val="center"/>
          </w:tcPr>
          <w:p>
            <w:pPr>
              <w:spacing w:line="276" w:lineRule="auto"/>
            </w:pPr>
            <w:r>
              <w:rPr>
                <w:sz w:val="24"/>
              </w:rPr>
              <w:t>API and worker</w:t>
            </w:r>
          </w:p>
        </w:tc>
        <w:tc>
          <w:tcPr>
            <w:tcW w:type="dxa" w:w="2448"/>
            <w:vAlign w:val="center"/>
          </w:tcPr>
          <w:p>
            <w:pPr>
              <w:spacing w:line="276" w:lineRule="auto"/>
            </w:pPr>
            <w:r>
              <w:rPr>
                <w:sz w:val="24"/>
              </w:rPr>
              <w:t>Shared source-file location.</w:t>
            </w:r>
          </w:p>
        </w:tc>
      </w:tr>
      <w:tr>
        <w:tc>
          <w:tcPr>
            <w:tcW w:type="dxa" w:w="2448"/>
            <w:vAlign w:val="center"/>
            <w:shd w:fill="EAF0F6"/>
          </w:tcPr>
          <w:p>
            <w:pPr>
              <w:spacing w:line="276" w:lineRule="auto"/>
            </w:pPr>
            <w:r>
              <w:rPr>
                <w:sz w:val="24"/>
              </w:rPr>
              <w:t>DOCUAUDIT_NLI_MODE</w:t>
            </w:r>
          </w:p>
        </w:tc>
        <w:tc>
          <w:tcPr>
            <w:tcW w:type="dxa" w:w="2448"/>
            <w:vAlign w:val="center"/>
            <w:shd w:fill="EAF0F6"/>
          </w:tcPr>
          <w:p>
            <w:pPr>
              <w:spacing w:line="276" w:lineRule="auto"/>
            </w:pPr>
            <w:r>
              <w:rPr>
                <w:sz w:val="24"/>
              </w:rPr>
              <w:t>veto default</w:t>
            </w:r>
          </w:p>
        </w:tc>
        <w:tc>
          <w:tcPr>
            <w:tcW w:type="dxa" w:w="2448"/>
            <w:vAlign w:val="center"/>
            <w:shd w:fill="EAF0F6"/>
          </w:tcPr>
          <w:p>
            <w:pPr>
              <w:spacing w:line="276" w:lineRule="auto"/>
            </w:pPr>
            <w:r>
              <w:rPr>
                <w:sz w:val="24"/>
              </w:rPr>
              <w:t>Auditor</w:t>
            </w:r>
          </w:p>
        </w:tc>
        <w:tc>
          <w:tcPr>
            <w:tcW w:type="dxa" w:w="2448"/>
            <w:vAlign w:val="center"/>
            <w:shd w:fill="EAF0F6"/>
          </w:tcPr>
          <w:p>
            <w:pPr>
              <w:spacing w:line="276" w:lineRule="auto"/>
            </w:pPr>
            <w:r>
              <w:rPr>
                <w:sz w:val="24"/>
              </w:rPr>
              <w:t>Selects veto, strict, or rules-only policy.</w:t>
            </w:r>
          </w:p>
        </w:tc>
      </w:tr>
      <w:tr>
        <w:tc>
          <w:tcPr>
            <w:tcW w:type="dxa" w:w="2448"/>
            <w:vAlign w:val="center"/>
          </w:tcPr>
          <w:p>
            <w:pPr>
              <w:spacing w:line="276" w:lineRule="auto"/>
            </w:pPr>
            <w:r>
              <w:rPr>
                <w:sz w:val="24"/>
              </w:rPr>
              <w:t>QA checkpoint</w:t>
            </w:r>
          </w:p>
        </w:tc>
        <w:tc>
          <w:tcPr>
            <w:tcW w:type="dxa" w:w="2448"/>
            <w:vAlign w:val="center"/>
          </w:tcPr>
          <w:p>
            <w:pPr>
              <w:spacing w:line="276" w:lineRule="auto"/>
            </w:pPr>
            <w:r>
              <w:rPr>
                <w:sz w:val="24"/>
              </w:rPr>
              <w:t>deepset/roberta-base-squad2 in code</w:t>
            </w:r>
          </w:p>
        </w:tc>
        <w:tc>
          <w:tcPr>
            <w:tcW w:type="dxa" w:w="2448"/>
            <w:vAlign w:val="center"/>
          </w:tcPr>
          <w:p>
            <w:pPr>
              <w:spacing w:line="276" w:lineRule="auto"/>
            </w:pPr>
            <w:r>
              <w:rPr>
                <w:sz w:val="24"/>
              </w:rPr>
              <w:t>Extractor</w:t>
            </w:r>
          </w:p>
        </w:tc>
        <w:tc>
          <w:tcPr>
            <w:tcW w:type="dxa" w:w="2448"/>
            <w:vAlign w:val="center"/>
          </w:tcPr>
          <w:p>
            <w:pPr>
              <w:spacing w:line="276" w:lineRule="auto"/>
            </w:pPr>
            <w:r>
              <w:rPr>
                <w:sz w:val="24"/>
              </w:rPr>
              <w:t>Extractive question-answering model.</w:t>
            </w:r>
          </w:p>
        </w:tc>
      </w:tr>
      <w:tr>
        <w:tc>
          <w:tcPr>
            <w:tcW w:type="dxa" w:w="2448"/>
            <w:vAlign w:val="center"/>
            <w:shd w:fill="EAF0F6"/>
          </w:tcPr>
          <w:p>
            <w:pPr>
              <w:spacing w:line="276" w:lineRule="auto"/>
            </w:pPr>
            <w:r>
              <w:rPr>
                <w:sz w:val="24"/>
              </w:rPr>
              <w:t>Embedding checkpoint</w:t>
            </w:r>
          </w:p>
        </w:tc>
        <w:tc>
          <w:tcPr>
            <w:tcW w:type="dxa" w:w="2448"/>
            <w:vAlign w:val="center"/>
            <w:shd w:fill="EAF0F6"/>
          </w:tcPr>
          <w:p>
            <w:pPr>
              <w:spacing w:line="276" w:lineRule="auto"/>
            </w:pPr>
            <w:r>
              <w:rPr>
                <w:sz w:val="24"/>
              </w:rPr>
              <w:t>BAAI/bge-small-en-v1.5 in code</w:t>
            </w:r>
          </w:p>
        </w:tc>
        <w:tc>
          <w:tcPr>
            <w:tcW w:type="dxa" w:w="2448"/>
            <w:vAlign w:val="center"/>
            <w:shd w:fill="EAF0F6"/>
          </w:tcPr>
          <w:p>
            <w:pPr>
              <w:spacing w:line="276" w:lineRule="auto"/>
            </w:pPr>
            <w:r>
              <w:rPr>
                <w:sz w:val="24"/>
              </w:rPr>
              <w:t>Retrieval</w:t>
            </w:r>
          </w:p>
        </w:tc>
        <w:tc>
          <w:tcPr>
            <w:tcW w:type="dxa" w:w="2448"/>
            <w:vAlign w:val="center"/>
            <w:shd w:fill="EAF0F6"/>
          </w:tcPr>
          <w:p>
            <w:pPr>
              <w:spacing w:line="276" w:lineRule="auto"/>
            </w:pPr>
            <w:r>
              <w:rPr>
                <w:sz w:val="24"/>
              </w:rPr>
              <w:t>384-dimensional document/query vectors.</w:t>
            </w:r>
          </w:p>
        </w:tc>
      </w:tr>
      <w:tr>
        <w:tc>
          <w:tcPr>
            <w:tcW w:type="dxa" w:w="2448"/>
            <w:vAlign w:val="center"/>
          </w:tcPr>
          <w:p>
            <w:pPr>
              <w:spacing w:line="276" w:lineRule="auto"/>
            </w:pPr>
            <w:r>
              <w:rPr>
                <w:sz w:val="24"/>
              </w:rPr>
              <w:t>NER checkpoint</w:t>
            </w:r>
          </w:p>
        </w:tc>
        <w:tc>
          <w:tcPr>
            <w:tcW w:type="dxa" w:w="2448"/>
            <w:vAlign w:val="center"/>
          </w:tcPr>
          <w:p>
            <w:pPr>
              <w:spacing w:line="276" w:lineRule="auto"/>
            </w:pPr>
            <w:r>
              <w:rPr>
                <w:sz w:val="24"/>
              </w:rPr>
              <w:t>dslim/bert-base-NER in code</w:t>
            </w:r>
          </w:p>
        </w:tc>
        <w:tc>
          <w:tcPr>
            <w:tcW w:type="dxa" w:w="2448"/>
            <w:vAlign w:val="center"/>
          </w:tcPr>
          <w:p>
            <w:pPr>
              <w:spacing w:line="276" w:lineRule="auto"/>
            </w:pPr>
            <w:r>
              <w:rPr>
                <w:sz w:val="24"/>
              </w:rPr>
              <w:t>Compliance</w:t>
            </w:r>
          </w:p>
        </w:tc>
        <w:tc>
          <w:tcPr>
            <w:tcW w:type="dxa" w:w="2448"/>
            <w:vAlign w:val="center"/>
          </w:tcPr>
          <w:p>
            <w:pPr>
              <w:spacing w:line="276" w:lineRule="auto"/>
            </w:pPr>
            <w:r>
              <w:rPr>
                <w:sz w:val="24"/>
              </w:rPr>
              <w:t>Person/location entity detection.</w:t>
            </w:r>
          </w:p>
        </w:tc>
      </w:tr>
      <w:tr>
        <w:tc>
          <w:tcPr>
            <w:tcW w:type="dxa" w:w="2448"/>
            <w:vAlign w:val="center"/>
            <w:shd w:fill="EAF0F6"/>
          </w:tcPr>
          <w:p>
            <w:pPr>
              <w:spacing w:line="276" w:lineRule="auto"/>
            </w:pPr>
            <w:r>
              <w:rPr>
                <w:sz w:val="24"/>
              </w:rPr>
              <w:t>NLI checkpoint</w:t>
            </w:r>
          </w:p>
        </w:tc>
        <w:tc>
          <w:tcPr>
            <w:tcW w:type="dxa" w:w="2448"/>
            <w:vAlign w:val="center"/>
            <w:shd w:fill="EAF0F6"/>
          </w:tcPr>
          <w:p>
            <w:pPr>
              <w:spacing w:line="276" w:lineRule="auto"/>
            </w:pPr>
            <w:r>
              <w:rPr>
                <w:sz w:val="24"/>
              </w:rPr>
              <w:t>cross-encoder/nli-deberta-v3-base in code</w:t>
            </w:r>
          </w:p>
        </w:tc>
        <w:tc>
          <w:tcPr>
            <w:tcW w:type="dxa" w:w="2448"/>
            <w:vAlign w:val="center"/>
            <w:shd w:fill="EAF0F6"/>
          </w:tcPr>
          <w:p>
            <w:pPr>
              <w:spacing w:line="276" w:lineRule="auto"/>
            </w:pPr>
            <w:r>
              <w:rPr>
                <w:sz w:val="24"/>
              </w:rPr>
              <w:t>Auditor</w:t>
            </w:r>
          </w:p>
        </w:tc>
        <w:tc>
          <w:tcPr>
            <w:tcW w:type="dxa" w:w="2448"/>
            <w:vAlign w:val="center"/>
            <w:shd w:fill="EAF0F6"/>
          </w:tcPr>
          <w:p>
            <w:pPr>
              <w:spacing w:line="276" w:lineRule="auto"/>
            </w:pPr>
            <w:r>
              <w:rPr>
                <w:sz w:val="24"/>
              </w:rPr>
              <w:t>Evidence/claim text-pair classification.</w:t>
            </w:r>
          </w:p>
        </w:tc>
      </w:tr>
    </w:tbl>
    <w:p>
      <w:pPr>
        <w:pStyle w:val="Caption"/>
        <w:keepLines/>
        <w:jc w:val="center"/>
      </w:pPr>
      <w:r>
        <w:t>Table 26. Configuration Reference</w:t>
      </w:r>
    </w:p>
    <w:p/>
    <w:p>
      <w:r>
        <w:t>Secrets should be provided through an environment-specific secret store or protected environment file. They should not be written into the project report, logs, screenshots, or source control. Non-secret operational choices such as NLI policy, upload limits, retention duration, and worker concurrency should be recorded in a deployment manifest so a result can be associated with its execution settings.</w:t>
      </w:r>
    </w:p>
    <w:p>
      <w:r>
        <w:br w:type="page"/>
      </w:r>
    </w:p>
    <w:p>
      <w:pPr>
        <w:pStyle w:val="Heading1"/>
        <w:keepNext/>
      </w:pPr>
      <w:r>
        <w:t>Appendix F. Field Rules Reference</w:t>
      </w:r>
    </w:p>
    <w:p>
      <w:r>
        <w:t>The rule definitions are implemented in the checks module. The table below summarizes representative accepted label alternatives and important exclusions. This is a concise reference, not a guarantee that every real-world wording is supported. Rule changes should be accompanied by tests for both positive and negative cases because broadening an “any” label can also introduce accidental matches.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Field</w:t>
            </w:r>
          </w:p>
        </w:tc>
        <w:tc>
          <w:tcPr>
            <w:tcW w:type="dxa" w:w="3264"/>
            <w:shd w:fill="17365D"/>
          </w:tcPr>
          <w:p>
            <w:r>
              <w:rPr>
                <w:b/>
                <w:color w:val="FFFFFF"/>
                <w:sz w:val="24"/>
              </w:rPr>
              <w:t>Representative label alternatives</w:t>
            </w:r>
          </w:p>
        </w:tc>
        <w:tc>
          <w:tcPr>
            <w:tcW w:type="dxa" w:w="3264"/>
            <w:shd w:fill="17365D"/>
          </w:tcPr>
          <w:p>
            <w:r>
              <w:rPr>
                <w:b/>
                <w:color w:val="FFFFFF"/>
                <w:sz w:val="24"/>
              </w:rPr>
              <w:t>Representative exclusions / type rule</w:t>
            </w:r>
          </w:p>
        </w:tc>
      </w:tr>
      <w:tr>
        <w:tc>
          <w:tcPr>
            <w:tcW w:type="dxa" w:w="3264"/>
            <w:vAlign w:val="center"/>
          </w:tcPr>
          <w:p>
            <w:pPr>
              <w:spacing w:line="276" w:lineRule="auto"/>
            </w:pPr>
            <w:r>
              <w:rPr>
                <w:sz w:val="24"/>
              </w:rPr>
              <w:t>invoice_number</w:t>
            </w:r>
          </w:p>
        </w:tc>
        <w:tc>
          <w:tcPr>
            <w:tcW w:type="dxa" w:w="3264"/>
            <w:vAlign w:val="center"/>
          </w:tcPr>
          <w:p>
            <w:pPr>
              <w:spacing w:line="276" w:lineRule="auto"/>
            </w:pPr>
            <w:r>
              <w:rPr>
                <w:sz w:val="24"/>
              </w:rPr>
              <w:t>invoice number, invoice no, invoice #, invoice id, document no, bill no, reference.</w:t>
            </w:r>
          </w:p>
        </w:tc>
        <w:tc>
          <w:tcPr>
            <w:tcW w:type="dxa" w:w="3264"/>
            <w:vAlign w:val="center"/>
          </w:tcPr>
          <w:p>
            <w:pPr>
              <w:spacing w:line="276" w:lineRule="auto"/>
            </w:pPr>
            <w:r>
              <w:rPr>
                <w:sz w:val="24"/>
              </w:rPr>
              <w:t>Reject customer, purchase, PO, and order labels; candidate must contain a digit.</w:t>
            </w:r>
          </w:p>
        </w:tc>
      </w:tr>
      <w:tr>
        <w:tc>
          <w:tcPr>
            <w:tcW w:type="dxa" w:w="3264"/>
            <w:vAlign w:val="center"/>
            <w:shd w:fill="EAF0F6"/>
          </w:tcPr>
          <w:p>
            <w:pPr>
              <w:spacing w:line="276" w:lineRule="auto"/>
            </w:pPr>
            <w:r>
              <w:rPr>
                <w:sz w:val="24"/>
              </w:rPr>
              <w:t>invoice_date</w:t>
            </w:r>
          </w:p>
        </w:tc>
        <w:tc>
          <w:tcPr>
            <w:tcW w:type="dxa" w:w="3264"/>
            <w:vAlign w:val="center"/>
            <w:shd w:fill="EAF0F6"/>
          </w:tcPr>
          <w:p>
            <w:pPr>
              <w:spacing w:line="276" w:lineRule="auto"/>
            </w:pPr>
            <w:r>
              <w:rPr>
                <w:sz w:val="24"/>
              </w:rPr>
              <w:t>invoice date, bill date, date of issue, issued, dated, date.</w:t>
            </w:r>
          </w:p>
        </w:tc>
        <w:tc>
          <w:tcPr>
            <w:tcW w:type="dxa" w:w="3264"/>
            <w:vAlign w:val="center"/>
            <w:shd w:fill="EAF0F6"/>
          </w:tcPr>
          <w:p>
            <w:pPr>
              <w:spacing w:line="276" w:lineRule="auto"/>
            </w:pPr>
            <w:r>
              <w:rPr>
                <w:sz w:val="24"/>
              </w:rPr>
              <w:t>Reject due, payment, shipping, order, delivery, and print contexts; candidate must match supported date formats.</w:t>
            </w:r>
          </w:p>
        </w:tc>
      </w:tr>
      <w:tr>
        <w:tc>
          <w:tcPr>
            <w:tcW w:type="dxa" w:w="3264"/>
            <w:vAlign w:val="center"/>
          </w:tcPr>
          <w:p>
            <w:pPr>
              <w:spacing w:line="276" w:lineRule="auto"/>
            </w:pPr>
            <w:r>
              <w:rPr>
                <w:sz w:val="24"/>
              </w:rPr>
              <w:t>vendor_name</w:t>
            </w:r>
          </w:p>
        </w:tc>
        <w:tc>
          <w:tcPr>
            <w:tcW w:type="dxa" w:w="3264"/>
            <w:vAlign w:val="center"/>
          </w:tcPr>
          <w:p>
            <w:pPr>
              <w:spacing w:line="276" w:lineRule="auto"/>
            </w:pPr>
            <w:r>
              <w:rPr>
                <w:sz w:val="24"/>
              </w:rPr>
              <w:t>vendor, seller, supplier, billed by/from, sold by, issued by, from.</w:t>
            </w:r>
          </w:p>
        </w:tc>
        <w:tc>
          <w:tcPr>
            <w:tcW w:type="dxa" w:w="3264"/>
            <w:vAlign w:val="center"/>
          </w:tcPr>
          <w:p>
            <w:pPr>
              <w:spacing w:line="276" w:lineRule="auto"/>
            </w:pPr>
            <w:r>
              <w:rPr>
                <w:sz w:val="24"/>
              </w:rPr>
              <w:t>Reject bill-to/sold-to/customer/client context; candidate cannot consist only of label words.</w:t>
            </w:r>
          </w:p>
        </w:tc>
      </w:tr>
      <w:tr>
        <w:tc>
          <w:tcPr>
            <w:tcW w:type="dxa" w:w="3264"/>
            <w:vAlign w:val="center"/>
            <w:shd w:fill="EAF0F6"/>
          </w:tcPr>
          <w:p>
            <w:pPr>
              <w:spacing w:line="276" w:lineRule="auto"/>
            </w:pPr>
            <w:r>
              <w:rPr>
                <w:sz w:val="24"/>
              </w:rPr>
              <w:t>due_date</w:t>
            </w:r>
          </w:p>
        </w:tc>
        <w:tc>
          <w:tcPr>
            <w:tcW w:type="dxa" w:w="3264"/>
            <w:vAlign w:val="center"/>
            <w:shd w:fill="EAF0F6"/>
          </w:tcPr>
          <w:p>
            <w:pPr>
              <w:spacing w:line="276" w:lineRule="auto"/>
            </w:pPr>
            <w:r>
              <w:rPr>
                <w:sz w:val="24"/>
              </w:rPr>
              <w:t>due, pay by, payable by, payment date.</w:t>
            </w:r>
          </w:p>
        </w:tc>
        <w:tc>
          <w:tcPr>
            <w:tcW w:type="dxa" w:w="3264"/>
            <w:vAlign w:val="center"/>
            <w:shd w:fill="EAF0F6"/>
          </w:tcPr>
          <w:p>
            <w:pPr>
              <w:spacing w:line="276" w:lineRule="auto"/>
            </w:pPr>
            <w:r>
              <w:rPr>
                <w:sz w:val="24"/>
              </w:rPr>
              <w:t>Candidate must match supported date formats.</w:t>
            </w:r>
          </w:p>
        </w:tc>
      </w:tr>
      <w:tr>
        <w:tc>
          <w:tcPr>
            <w:tcW w:type="dxa" w:w="3264"/>
            <w:vAlign w:val="center"/>
          </w:tcPr>
          <w:p>
            <w:pPr>
              <w:spacing w:line="276" w:lineRule="auto"/>
            </w:pPr>
            <w:r>
              <w:rPr>
                <w:sz w:val="24"/>
              </w:rPr>
              <w:t>subtotal</w:t>
            </w:r>
          </w:p>
        </w:tc>
        <w:tc>
          <w:tcPr>
            <w:tcW w:type="dxa" w:w="3264"/>
            <w:vAlign w:val="center"/>
          </w:tcPr>
          <w:p>
            <w:pPr>
              <w:spacing w:line="276" w:lineRule="auto"/>
            </w:pPr>
            <w:r>
              <w:rPr>
                <w:sz w:val="24"/>
              </w:rPr>
              <w:t>subtotal, net amount, taxable amount, before tax, excluding tax.</w:t>
            </w:r>
          </w:p>
        </w:tc>
        <w:tc>
          <w:tcPr>
            <w:tcW w:type="dxa" w:w="3264"/>
            <w:vAlign w:val="center"/>
          </w:tcPr>
          <w:p>
            <w:pPr>
              <w:spacing w:line="276" w:lineRule="auto"/>
            </w:pPr>
            <w:r>
              <w:rPr>
                <w:sz w:val="24"/>
              </w:rPr>
              <w:t>Candidate must parse as a supported numeric amount.</w:t>
            </w:r>
          </w:p>
        </w:tc>
      </w:tr>
      <w:tr>
        <w:tc>
          <w:tcPr>
            <w:tcW w:type="dxa" w:w="3264"/>
            <w:vAlign w:val="center"/>
            <w:shd w:fill="EAF0F6"/>
          </w:tcPr>
          <w:p>
            <w:pPr>
              <w:spacing w:line="276" w:lineRule="auto"/>
            </w:pPr>
            <w:r>
              <w:rPr>
                <w:sz w:val="24"/>
              </w:rPr>
              <w:t>tax</w:t>
            </w:r>
          </w:p>
        </w:tc>
        <w:tc>
          <w:tcPr>
            <w:tcW w:type="dxa" w:w="3264"/>
            <w:vAlign w:val="center"/>
            <w:shd w:fill="EAF0F6"/>
          </w:tcPr>
          <w:p>
            <w:pPr>
              <w:spacing w:line="276" w:lineRule="auto"/>
            </w:pPr>
            <w:r>
              <w:rPr>
                <w:sz w:val="24"/>
              </w:rPr>
              <w:t>tax, VAT, GST.</w:t>
            </w:r>
          </w:p>
        </w:tc>
        <w:tc>
          <w:tcPr>
            <w:tcW w:type="dxa" w:w="3264"/>
            <w:vAlign w:val="center"/>
            <w:shd w:fill="EAF0F6"/>
          </w:tcPr>
          <w:p>
            <w:pPr>
              <w:spacing w:line="276" w:lineRule="auto"/>
            </w:pPr>
            <w:r>
              <w:rPr>
                <w:sz w:val="24"/>
              </w:rPr>
              <w:t>Candidate must parse as a supported numeric amount.</w:t>
            </w:r>
          </w:p>
        </w:tc>
      </w:tr>
      <w:tr>
        <w:tc>
          <w:tcPr>
            <w:tcW w:type="dxa" w:w="3264"/>
            <w:vAlign w:val="center"/>
          </w:tcPr>
          <w:p>
            <w:pPr>
              <w:spacing w:line="276" w:lineRule="auto"/>
            </w:pPr>
            <w:r>
              <w:rPr>
                <w:sz w:val="24"/>
              </w:rPr>
              <w:t>total</w:t>
            </w:r>
          </w:p>
        </w:tc>
        <w:tc>
          <w:tcPr>
            <w:tcW w:type="dxa" w:w="3264"/>
            <w:vAlign w:val="center"/>
          </w:tcPr>
          <w:p>
            <w:pPr>
              <w:spacing w:line="276" w:lineRule="auto"/>
            </w:pPr>
            <w:r>
              <w:rPr>
                <w:sz w:val="24"/>
              </w:rPr>
              <w:t>total, amount due, amount payable, balance due.</w:t>
            </w:r>
          </w:p>
        </w:tc>
        <w:tc>
          <w:tcPr>
            <w:tcW w:type="dxa" w:w="3264"/>
            <w:vAlign w:val="center"/>
          </w:tcPr>
          <w:p>
            <w:pPr>
              <w:spacing w:line="276" w:lineRule="auto"/>
            </w:pPr>
            <w:r>
              <w:rPr>
                <w:sz w:val="24"/>
              </w:rPr>
              <w:t>Reject subtotal/net/taxable labels; candidate must parse as a supported numeric amount.</w:t>
            </w:r>
          </w:p>
        </w:tc>
      </w:tr>
    </w:tbl>
    <w:p>
      <w:pPr>
        <w:pStyle w:val="Caption"/>
        <w:keepLines/>
        <w:jc w:val="center"/>
      </w:pPr>
      <w:r>
        <w:t>Table 27. Invoice Field Rule Reference</w:t>
      </w:r>
    </w:p>
    <w:p/>
    <w:p>
      <w:pPr>
        <w:pStyle w:val="Heading2"/>
        <w:keepNext/>
      </w:pPr>
      <w:r>
        <w:t>F.1 Normalization and Evidence Behavior</w:t>
      </w:r>
    </w:p>
    <w:p>
      <w:r>
        <w:t>The audit searches for the candidate as a case-insensitive substring of non-empty source lines. When the candidate occupies a line by itself, the preceding non-empty line is joined to it so that stacked label/value layouts can be checked. The label compatibility rules then inspect the resulting evidence. This strategy is lightweight and explainable, but substring matching can be ambiguous for repeated values, and preceding-line attachment can be wrong if unrelated text intervenes.</w:t>
      </w:r>
    </w:p>
    <w:p>
      <w:r>
        <w:t>The money helper accepts digits with optional comma grouping and up to two decimal places, with several currency symbols and prefixes stripped for validation. The compliance arithmetic parser is narrower and converts the normalized amount to a float. Dates are matched against a defined set of patterns. These routines are not a comprehensive locale-aware parser: separators can have different meanings across countries, currency codes are not consistently retained, and numeric precision/rounding policy is simplified.</w:t>
      </w:r>
    </w:p>
    <w:p>
      <w:r>
        <w:br w:type="page"/>
      </w:r>
    </w:p>
    <w:p>
      <w:pPr>
        <w:pStyle w:val="Heading1"/>
        <w:keepNext/>
      </w:pPr>
      <w:r>
        <w:t>Appendix G. Test Case Catalogue</w:t>
      </w:r>
    </w:p>
    <w:p>
      <w:r>
        <w:t>The repository groups tests by behavior rather than by end-user story. The catalogue below explains what each existing test module contributes to the quality argument. It should not be read as an executed result for this report submission; execution status belongs in a dated CI record or test log.</w:t>
      </w:r>
    </w:p>
    <w:p>
      <w:pPr>
        <w:pStyle w:val="Heading2"/>
        <w:keepNext/>
      </w:pPr>
      <w:r>
        <w:t>G.1 Candidate and Check Tests</w:t>
      </w:r>
    </w:p>
    <w:p>
      <w:r>
        <w:t>Candidate tests verify that label-focused lines are examined before the whole document, that an already rejected answer can be excluded, and that a two-column layout can produce a candidate from the line following a field label. Check tests exercise supported date and amount patterns, type mismatches, conflicting labels, evidence recovery from a preceding line, and truncation cleanup. These tests target deterministic behavior and are suitable for fast feedback during changes to field rules.</w:t>
      </w:r>
    </w:p>
    <w:p>
      <w:pPr>
        <w:pStyle w:val="Heading2"/>
        <w:keepNext/>
      </w:pPr>
      <w:r>
        <w:t>G.2 Compliance and Duplicate Tests</w:t>
      </w:r>
    </w:p>
    <w:p>
      <w:r>
        <w:t>Compliance tests check the arithmetic mismatch behavior and duplicate-number flagging. Duplicate tests cover vendor normalization, exclusion of the current document from prior-result lookup, treatment of failed and review documents, and missing vendor cases. Database-backed duplicate behavior should also be tested in an integration environment, because unit-level query logic does not verify indexes, transaction isolation, or service recovery.</w:t>
      </w:r>
    </w:p>
    <w:p>
      <w:pPr>
        <w:pStyle w:val="Heading2"/>
        <w:keepNext/>
      </w:pPr>
      <w:r>
        <w:t>G.3 NLI, Repair, and Scoring Tests</w:t>
      </w:r>
    </w:p>
    <w:p>
      <w:r>
        <w:t>NLI tests cover strict entailment, rejection of neutral or contradiction in strict mode, contradiction veto behavior, rules-only operation without loading the classifier, the default veto policy, and recording of a model label. Repair-flow tests cover skipping repair when all fields pass, attempting repair for an unsupported value, limiting the workflow to one round, and routing an unfixable field to review. Scoring tests distinguish a caught error from a verified wrong value, treat an unsupported absent field as correct refusal, and detect unexpected compliance flags.</w:t>
      </w:r>
    </w:p>
    <w:p>
      <w:r>
        <w:t>For future maintenance, every production bug should be reduced to a minimal failing invoice or text fixture where data licensing permits. The test should state the failure class, expected audit reason, and expected document state. If a fixture contains sensitive information, replace it with a synthetic equivalent rather than committing a real invoice.</w:t>
      </w:r>
    </w:p>
    <w:p>
      <w:r>
        <w:br w:type="page"/>
      </w:r>
    </w:p>
    <w:p>
      <w:pPr>
        <w:pStyle w:val="Heading1"/>
        <w:keepNext/>
      </w:pPr>
      <w:r>
        <w:t>Appendix H. Worked Illustrative Review</w:t>
      </w:r>
    </w:p>
    <w:p>
      <w:r>
        <w:t>The following example is synthetic and created only to explain the audit sequence. It is not one of the 27 benchmark invoices and is not an additional evaluation result. Assume the extracted text contains “Invoice Number: INV-2042”, “Invoice Date: 14 March 2026”, “Subtotal: $100.00”, “Tax: $8.00”, and “Total Amount Due: $108.00”, but contains no due-date line.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7365D"/>
          </w:tcPr>
          <w:p>
            <w:r>
              <w:rPr>
                <w:b/>
                <w:color w:val="FFFFFF"/>
                <w:sz w:val="24"/>
              </w:rPr>
              <w:t>Candidate field</w:t>
            </w:r>
          </w:p>
        </w:tc>
        <w:tc>
          <w:tcPr>
            <w:tcW w:type="dxa" w:w="2448"/>
            <w:shd w:fill="17365D"/>
          </w:tcPr>
          <w:p>
            <w:r>
              <w:rPr>
                <w:b/>
                <w:color w:val="FFFFFF"/>
                <w:sz w:val="24"/>
              </w:rPr>
              <w:t>Candidate value</w:t>
            </w:r>
          </w:p>
        </w:tc>
        <w:tc>
          <w:tcPr>
            <w:tcW w:type="dxa" w:w="2448"/>
            <w:shd w:fill="17365D"/>
          </w:tcPr>
          <w:p>
            <w:r>
              <w:rPr>
                <w:b/>
                <w:color w:val="FFFFFF"/>
                <w:sz w:val="24"/>
              </w:rPr>
              <w:t>Evidence condition</w:t>
            </w:r>
          </w:p>
        </w:tc>
        <w:tc>
          <w:tcPr>
            <w:tcW w:type="dxa" w:w="2448"/>
            <w:shd w:fill="17365D"/>
          </w:tcPr>
          <w:p>
            <w:r>
              <w:rPr>
                <w:b/>
                <w:color w:val="FFFFFF"/>
                <w:sz w:val="24"/>
              </w:rPr>
              <w:t>Illustrative decision</w:t>
            </w:r>
          </w:p>
        </w:tc>
      </w:tr>
      <w:tr>
        <w:tc>
          <w:tcPr>
            <w:tcW w:type="dxa" w:w="2448"/>
            <w:vAlign w:val="center"/>
          </w:tcPr>
          <w:p>
            <w:pPr>
              <w:spacing w:line="276" w:lineRule="auto"/>
            </w:pPr>
            <w:r>
              <w:rPr>
                <w:sz w:val="24"/>
              </w:rPr>
              <w:t>invoice_number</w:t>
            </w:r>
          </w:p>
        </w:tc>
        <w:tc>
          <w:tcPr>
            <w:tcW w:type="dxa" w:w="2448"/>
            <w:vAlign w:val="center"/>
          </w:tcPr>
          <w:p>
            <w:pPr>
              <w:spacing w:line="276" w:lineRule="auto"/>
            </w:pPr>
            <w:r>
              <w:rPr>
                <w:sz w:val="24"/>
              </w:rPr>
              <w:t>INV-2042</w:t>
            </w:r>
          </w:p>
        </w:tc>
        <w:tc>
          <w:tcPr>
            <w:tcW w:type="dxa" w:w="2448"/>
            <w:vAlign w:val="center"/>
          </w:tcPr>
          <w:p>
            <w:pPr>
              <w:spacing w:line="276" w:lineRule="auto"/>
            </w:pPr>
            <w:r>
              <w:rPr>
                <w:sz w:val="24"/>
              </w:rPr>
              <w:t>Appears beside Invoice Number label; includes digits.</w:t>
            </w:r>
          </w:p>
        </w:tc>
        <w:tc>
          <w:tcPr>
            <w:tcW w:type="dxa" w:w="2448"/>
            <w:vAlign w:val="center"/>
          </w:tcPr>
          <w:p>
            <w:pPr>
              <w:spacing w:line="276" w:lineRule="auto"/>
            </w:pPr>
            <w:r>
              <w:rPr>
                <w:sz w:val="24"/>
              </w:rPr>
              <w:t>Supported if other configured checks pass.</w:t>
            </w:r>
          </w:p>
        </w:tc>
      </w:tr>
      <w:tr>
        <w:tc>
          <w:tcPr>
            <w:tcW w:type="dxa" w:w="2448"/>
            <w:vAlign w:val="center"/>
            <w:shd w:fill="EAF0F6"/>
          </w:tcPr>
          <w:p>
            <w:pPr>
              <w:spacing w:line="276" w:lineRule="auto"/>
            </w:pPr>
            <w:r>
              <w:rPr>
                <w:sz w:val="24"/>
              </w:rPr>
              <w:t>invoice_date</w:t>
            </w:r>
          </w:p>
        </w:tc>
        <w:tc>
          <w:tcPr>
            <w:tcW w:type="dxa" w:w="2448"/>
            <w:vAlign w:val="center"/>
            <w:shd w:fill="EAF0F6"/>
          </w:tcPr>
          <w:p>
            <w:pPr>
              <w:spacing w:line="276" w:lineRule="auto"/>
            </w:pPr>
            <w:r>
              <w:rPr>
                <w:sz w:val="24"/>
              </w:rPr>
              <w:t>14 March 2026</w:t>
            </w:r>
          </w:p>
        </w:tc>
        <w:tc>
          <w:tcPr>
            <w:tcW w:type="dxa" w:w="2448"/>
            <w:vAlign w:val="center"/>
            <w:shd w:fill="EAF0F6"/>
          </w:tcPr>
          <w:p>
            <w:pPr>
              <w:spacing w:line="276" w:lineRule="auto"/>
            </w:pPr>
            <w:r>
              <w:rPr>
                <w:sz w:val="24"/>
              </w:rPr>
              <w:t>Appears beside Invoice Date label and matches a date pattern.</w:t>
            </w:r>
          </w:p>
        </w:tc>
        <w:tc>
          <w:tcPr>
            <w:tcW w:type="dxa" w:w="2448"/>
            <w:vAlign w:val="center"/>
            <w:shd w:fill="EAF0F6"/>
          </w:tcPr>
          <w:p>
            <w:pPr>
              <w:spacing w:line="276" w:lineRule="auto"/>
            </w:pPr>
            <w:r>
              <w:rPr>
                <w:sz w:val="24"/>
              </w:rPr>
              <w:t>Supported if other configured checks pass.</w:t>
            </w:r>
          </w:p>
        </w:tc>
      </w:tr>
      <w:tr>
        <w:tc>
          <w:tcPr>
            <w:tcW w:type="dxa" w:w="2448"/>
            <w:vAlign w:val="center"/>
          </w:tcPr>
          <w:p>
            <w:pPr>
              <w:spacing w:line="276" w:lineRule="auto"/>
            </w:pPr>
            <w:r>
              <w:rPr>
                <w:sz w:val="24"/>
              </w:rPr>
              <w:t>subtotal</w:t>
            </w:r>
          </w:p>
        </w:tc>
        <w:tc>
          <w:tcPr>
            <w:tcW w:type="dxa" w:w="2448"/>
            <w:vAlign w:val="center"/>
          </w:tcPr>
          <w:p>
            <w:pPr>
              <w:spacing w:line="276" w:lineRule="auto"/>
            </w:pPr>
            <w:r>
              <w:rPr>
                <w:sz w:val="24"/>
              </w:rPr>
              <w:t>$100.00</w:t>
            </w:r>
          </w:p>
        </w:tc>
        <w:tc>
          <w:tcPr>
            <w:tcW w:type="dxa" w:w="2448"/>
            <w:vAlign w:val="center"/>
          </w:tcPr>
          <w:p>
            <w:pPr>
              <w:spacing w:line="276" w:lineRule="auto"/>
            </w:pPr>
            <w:r>
              <w:rPr>
                <w:sz w:val="24"/>
              </w:rPr>
              <w:t>Appears beside Subtotal label; numeric amount.</w:t>
            </w:r>
          </w:p>
        </w:tc>
        <w:tc>
          <w:tcPr>
            <w:tcW w:type="dxa" w:w="2448"/>
            <w:vAlign w:val="center"/>
          </w:tcPr>
          <w:p>
            <w:pPr>
              <w:spacing w:line="276" w:lineRule="auto"/>
            </w:pPr>
            <w:r>
              <w:rPr>
                <w:sz w:val="24"/>
              </w:rPr>
              <w:t>Supported if other configured checks pass.</w:t>
            </w:r>
          </w:p>
        </w:tc>
      </w:tr>
      <w:tr>
        <w:tc>
          <w:tcPr>
            <w:tcW w:type="dxa" w:w="2448"/>
            <w:vAlign w:val="center"/>
            <w:shd w:fill="EAF0F6"/>
          </w:tcPr>
          <w:p>
            <w:pPr>
              <w:spacing w:line="276" w:lineRule="auto"/>
            </w:pPr>
            <w:r>
              <w:rPr>
                <w:sz w:val="24"/>
              </w:rPr>
              <w:t>tax</w:t>
            </w:r>
          </w:p>
        </w:tc>
        <w:tc>
          <w:tcPr>
            <w:tcW w:type="dxa" w:w="2448"/>
            <w:vAlign w:val="center"/>
            <w:shd w:fill="EAF0F6"/>
          </w:tcPr>
          <w:p>
            <w:pPr>
              <w:spacing w:line="276" w:lineRule="auto"/>
            </w:pPr>
            <w:r>
              <w:rPr>
                <w:sz w:val="24"/>
              </w:rPr>
              <w:t>$8.00</w:t>
            </w:r>
          </w:p>
        </w:tc>
        <w:tc>
          <w:tcPr>
            <w:tcW w:type="dxa" w:w="2448"/>
            <w:vAlign w:val="center"/>
            <w:shd w:fill="EAF0F6"/>
          </w:tcPr>
          <w:p>
            <w:pPr>
              <w:spacing w:line="276" w:lineRule="auto"/>
            </w:pPr>
            <w:r>
              <w:rPr>
                <w:sz w:val="24"/>
              </w:rPr>
              <w:t>Appears beside Tax label; numeric amount.</w:t>
            </w:r>
          </w:p>
        </w:tc>
        <w:tc>
          <w:tcPr>
            <w:tcW w:type="dxa" w:w="2448"/>
            <w:vAlign w:val="center"/>
            <w:shd w:fill="EAF0F6"/>
          </w:tcPr>
          <w:p>
            <w:pPr>
              <w:spacing w:line="276" w:lineRule="auto"/>
            </w:pPr>
            <w:r>
              <w:rPr>
                <w:sz w:val="24"/>
              </w:rPr>
              <w:t>Supported if other configured checks pass.</w:t>
            </w:r>
          </w:p>
        </w:tc>
      </w:tr>
      <w:tr>
        <w:tc>
          <w:tcPr>
            <w:tcW w:type="dxa" w:w="2448"/>
            <w:vAlign w:val="center"/>
          </w:tcPr>
          <w:p>
            <w:pPr>
              <w:spacing w:line="276" w:lineRule="auto"/>
            </w:pPr>
            <w:r>
              <w:rPr>
                <w:sz w:val="24"/>
              </w:rPr>
              <w:t>total</w:t>
            </w:r>
          </w:p>
        </w:tc>
        <w:tc>
          <w:tcPr>
            <w:tcW w:type="dxa" w:w="2448"/>
            <w:vAlign w:val="center"/>
          </w:tcPr>
          <w:p>
            <w:pPr>
              <w:spacing w:line="276" w:lineRule="auto"/>
            </w:pPr>
            <w:r>
              <w:rPr>
                <w:sz w:val="24"/>
              </w:rPr>
              <w:t>$108.00</w:t>
            </w:r>
          </w:p>
        </w:tc>
        <w:tc>
          <w:tcPr>
            <w:tcW w:type="dxa" w:w="2448"/>
            <w:vAlign w:val="center"/>
          </w:tcPr>
          <w:p>
            <w:pPr>
              <w:spacing w:line="276" w:lineRule="auto"/>
            </w:pPr>
            <w:r>
              <w:rPr>
                <w:sz w:val="24"/>
              </w:rPr>
              <w:t>Appears beside Total Amount Due; 100 + 8 equals 108.</w:t>
            </w:r>
          </w:p>
        </w:tc>
        <w:tc>
          <w:tcPr>
            <w:tcW w:type="dxa" w:w="2448"/>
            <w:vAlign w:val="center"/>
          </w:tcPr>
          <w:p>
            <w:pPr>
              <w:spacing w:line="276" w:lineRule="auto"/>
            </w:pPr>
            <w:r>
              <w:rPr>
                <w:sz w:val="24"/>
              </w:rPr>
              <w:t>Supported; arithmetic check is consistent.</w:t>
            </w:r>
          </w:p>
        </w:tc>
      </w:tr>
      <w:tr>
        <w:tc>
          <w:tcPr>
            <w:tcW w:type="dxa" w:w="2448"/>
            <w:vAlign w:val="center"/>
            <w:shd w:fill="EAF0F6"/>
          </w:tcPr>
          <w:p>
            <w:pPr>
              <w:spacing w:line="276" w:lineRule="auto"/>
            </w:pPr>
            <w:r>
              <w:rPr>
                <w:sz w:val="24"/>
              </w:rPr>
              <w:t>due_date</w:t>
            </w:r>
          </w:p>
        </w:tc>
        <w:tc>
          <w:tcPr>
            <w:tcW w:type="dxa" w:w="2448"/>
            <w:vAlign w:val="center"/>
            <w:shd w:fill="EAF0F6"/>
          </w:tcPr>
          <w:p>
            <w:pPr>
              <w:spacing w:line="276" w:lineRule="auto"/>
            </w:pPr>
            <w:r>
              <w:rPr>
                <w:sz w:val="24"/>
              </w:rPr>
              <w:t>No source value</w:t>
            </w:r>
          </w:p>
        </w:tc>
        <w:tc>
          <w:tcPr>
            <w:tcW w:type="dxa" w:w="2448"/>
            <w:vAlign w:val="center"/>
            <w:shd w:fill="EAF0F6"/>
          </w:tcPr>
          <w:p>
            <w:pPr>
              <w:spacing w:line="276" w:lineRule="auto"/>
            </w:pPr>
            <w:r>
              <w:rPr>
                <w:sz w:val="24"/>
              </w:rPr>
              <w:t>No matching source line or compatible label.</w:t>
            </w:r>
          </w:p>
        </w:tc>
        <w:tc>
          <w:tcPr>
            <w:tcW w:type="dxa" w:w="2448"/>
            <w:vAlign w:val="center"/>
            <w:shd w:fill="EAF0F6"/>
          </w:tcPr>
          <w:p>
            <w:pPr>
              <w:spacing w:line="276" w:lineRule="auto"/>
            </w:pPr>
            <w:r>
              <w:rPr>
                <w:sz w:val="24"/>
              </w:rPr>
              <w:t>Remain unsupported; document requires review.</w:t>
            </w:r>
          </w:p>
        </w:tc>
      </w:tr>
    </w:tbl>
    <w:p>
      <w:pPr>
        <w:pStyle w:val="Caption"/>
        <w:keepLines/>
        <w:jc w:val="center"/>
      </w:pPr>
      <w:r>
        <w:t>Table 28. Worked Example Audit Record</w:t>
      </w:r>
    </w:p>
    <w:p/>
    <w:p>
      <w:r>
        <w:t>This example demonstrates why invoice-level status is driven by all required fields. Five well-supported fields do not compensate for a due date that is absent. The repair step may look for a value after a due-date label or try alternate questions, but a candidate that cannot be tied to compatible evidence must remain rejected. A reviewer should inspect the original document and record a decision in an external business process until a correction workflow is implemented.</w:t>
      </w:r>
    </w:p>
    <w:p>
      <w:r>
        <w:t>If the total candidate were instead $110.00, the arithmetic rule would detect that subtotal plus tax differs from total by more than the configured tolerance. The arithmetic flag and field-level support decision answer different questions: a total can be textually supported by the “Total Amount Due” label while the invoice as a whole still fails an arithmetic consistency check. This separation is useful for explaining why a document has a high-risk flag even when its individual values are present in the source.</w:t>
      </w:r>
    </w:p>
    <w:p>
      <w:r>
        <w:br w:type="page"/>
      </w:r>
    </w:p>
    <w:p>
      <w:pPr>
        <w:pStyle w:val="Heading1"/>
        <w:keepNext/>
      </w:pPr>
      <w:r>
        <w:t>Appendix I. Operations and Troubleshooting</w:t>
      </w:r>
    </w:p>
    <w:p>
      <w:r>
        <w:t>Troubleshooting should begin by distinguishing a request problem, a queued-job delay, a processing exception, a verification decision, and a dependency degradation. The document status and logs provide different evidence. Avoid blindly retrying a job if a previous attempt may have persisted partial results; verify database state and worker behavior first.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7365D"/>
          </w:tcPr>
          <w:p>
            <w:r>
              <w:rPr>
                <w:b/>
                <w:color w:val="FFFFFF"/>
                <w:sz w:val="24"/>
              </w:rPr>
              <w:t>Symptom</w:t>
            </w:r>
          </w:p>
        </w:tc>
        <w:tc>
          <w:tcPr>
            <w:tcW w:type="dxa" w:w="3264"/>
            <w:shd w:fill="17365D"/>
          </w:tcPr>
          <w:p>
            <w:r>
              <w:rPr>
                <w:b/>
                <w:color w:val="FFFFFF"/>
                <w:sz w:val="24"/>
              </w:rPr>
              <w:t>Likely area to inspect</w:t>
            </w:r>
          </w:p>
        </w:tc>
        <w:tc>
          <w:tcPr>
            <w:tcW w:type="dxa" w:w="3264"/>
            <w:shd w:fill="17365D"/>
          </w:tcPr>
          <w:p>
            <w:r>
              <w:rPr>
                <w:b/>
                <w:color w:val="FFFFFF"/>
                <w:sz w:val="24"/>
              </w:rPr>
              <w:t>Recommended diagnostic action</w:t>
            </w:r>
          </w:p>
        </w:tc>
      </w:tr>
      <w:tr>
        <w:tc>
          <w:tcPr>
            <w:tcW w:type="dxa" w:w="3264"/>
            <w:vAlign w:val="center"/>
          </w:tcPr>
          <w:p>
            <w:pPr>
              <w:spacing w:line="276" w:lineRule="auto"/>
            </w:pPr>
            <w:r>
              <w:rPr>
                <w:sz w:val="24"/>
              </w:rPr>
              <w:t>Upload returns no document ID</w:t>
            </w:r>
          </w:p>
        </w:tc>
        <w:tc>
          <w:tcPr>
            <w:tcW w:type="dxa" w:w="3264"/>
            <w:vAlign w:val="center"/>
          </w:tcPr>
          <w:p>
            <w:pPr>
              <w:spacing w:line="276" w:lineRule="auto"/>
            </w:pPr>
            <w:r>
              <w:rPr>
                <w:sz w:val="24"/>
              </w:rPr>
              <w:t>Frontend-to-API connection or API error.</w:t>
            </w:r>
          </w:p>
        </w:tc>
        <w:tc>
          <w:tcPr>
            <w:tcW w:type="dxa" w:w="3264"/>
            <w:vAlign w:val="center"/>
          </w:tcPr>
          <w:p>
            <w:pPr>
              <w:spacing w:line="276" w:lineRule="auto"/>
            </w:pPr>
            <w:r>
              <w:rPr>
                <w:sz w:val="24"/>
              </w:rPr>
              <w:t>Inspect HTTP response, API logs, and service readiness.</w:t>
            </w:r>
          </w:p>
        </w:tc>
      </w:tr>
      <w:tr>
        <w:tc>
          <w:tcPr>
            <w:tcW w:type="dxa" w:w="3264"/>
            <w:vAlign w:val="center"/>
            <w:shd w:fill="EAF0F6"/>
          </w:tcPr>
          <w:p>
            <w:pPr>
              <w:spacing w:line="276" w:lineRule="auto"/>
            </w:pPr>
            <w:r>
              <w:rPr>
                <w:sz w:val="24"/>
              </w:rPr>
              <w:t>Document remains pending</w:t>
            </w:r>
          </w:p>
        </w:tc>
        <w:tc>
          <w:tcPr>
            <w:tcW w:type="dxa" w:w="3264"/>
            <w:vAlign w:val="center"/>
            <w:shd w:fill="EAF0F6"/>
          </w:tcPr>
          <w:p>
            <w:pPr>
              <w:spacing w:line="276" w:lineRule="auto"/>
            </w:pPr>
            <w:r>
              <w:rPr>
                <w:sz w:val="24"/>
              </w:rPr>
              <w:t>Redis queue or worker registration.</w:t>
            </w:r>
          </w:p>
        </w:tc>
        <w:tc>
          <w:tcPr>
            <w:tcW w:type="dxa" w:w="3264"/>
            <w:vAlign w:val="center"/>
            <w:shd w:fill="EAF0F6"/>
          </w:tcPr>
          <w:p>
            <w:pPr>
              <w:spacing w:line="276" w:lineRule="auto"/>
            </w:pPr>
            <w:r>
              <w:rPr>
                <w:sz w:val="24"/>
              </w:rPr>
              <w:t>Check broker connectivity, queue depth, and active Celery worker.</w:t>
            </w:r>
          </w:p>
        </w:tc>
      </w:tr>
      <w:tr>
        <w:tc>
          <w:tcPr>
            <w:tcW w:type="dxa" w:w="3264"/>
            <w:vAlign w:val="center"/>
          </w:tcPr>
          <w:p>
            <w:pPr>
              <w:spacing w:line="276" w:lineRule="auto"/>
            </w:pPr>
            <w:r>
              <w:rPr>
                <w:sz w:val="24"/>
              </w:rPr>
              <w:t>Document remains processing</w:t>
            </w:r>
          </w:p>
        </w:tc>
        <w:tc>
          <w:tcPr>
            <w:tcW w:type="dxa" w:w="3264"/>
            <w:vAlign w:val="center"/>
          </w:tcPr>
          <w:p>
            <w:pPr>
              <w:spacing w:line="276" w:lineRule="auto"/>
            </w:pPr>
            <w:r>
              <w:rPr>
                <w:sz w:val="24"/>
              </w:rPr>
              <w:t>Model inference, worker exception, or blocked dependency.</w:t>
            </w:r>
          </w:p>
        </w:tc>
        <w:tc>
          <w:tcPr>
            <w:tcW w:type="dxa" w:w="3264"/>
            <w:vAlign w:val="center"/>
          </w:tcPr>
          <w:p>
            <w:pPr>
              <w:spacing w:line="276" w:lineRule="auto"/>
            </w:pPr>
            <w:r>
              <w:rPr>
                <w:sz w:val="24"/>
              </w:rPr>
              <w:t>Inspect worker logs, resource use, Qdrant and database connectivity.</w:t>
            </w:r>
          </w:p>
        </w:tc>
      </w:tr>
      <w:tr>
        <w:tc>
          <w:tcPr>
            <w:tcW w:type="dxa" w:w="3264"/>
            <w:vAlign w:val="center"/>
            <w:shd w:fill="EAF0F6"/>
          </w:tcPr>
          <w:p>
            <w:pPr>
              <w:spacing w:line="276" w:lineRule="auto"/>
            </w:pPr>
            <w:r>
              <w:rPr>
                <w:sz w:val="24"/>
              </w:rPr>
              <w:t>Status is failed</w:t>
            </w:r>
          </w:p>
        </w:tc>
        <w:tc>
          <w:tcPr>
            <w:tcW w:type="dxa" w:w="3264"/>
            <w:vAlign w:val="center"/>
            <w:shd w:fill="EAF0F6"/>
          </w:tcPr>
          <w:p>
            <w:pPr>
              <w:spacing w:line="276" w:lineRule="auto"/>
            </w:pPr>
            <w:r>
              <w:rPr>
                <w:sz w:val="24"/>
              </w:rPr>
              <w:t>Unhandled exception in processing task.</w:t>
            </w:r>
          </w:p>
        </w:tc>
        <w:tc>
          <w:tcPr>
            <w:tcW w:type="dxa" w:w="3264"/>
            <w:vAlign w:val="center"/>
            <w:shd w:fill="EAF0F6"/>
          </w:tcPr>
          <w:p>
            <w:pPr>
              <w:spacing w:line="276" w:lineRule="auto"/>
            </w:pPr>
            <w:r>
              <w:rPr>
                <w:sz w:val="24"/>
              </w:rPr>
              <w:t>Read correlated worker log; correct root cause before retry.</w:t>
            </w:r>
          </w:p>
        </w:tc>
      </w:tr>
      <w:tr>
        <w:tc>
          <w:tcPr>
            <w:tcW w:type="dxa" w:w="3264"/>
            <w:vAlign w:val="center"/>
          </w:tcPr>
          <w:p>
            <w:pPr>
              <w:spacing w:line="276" w:lineRule="auto"/>
            </w:pPr>
            <w:r>
              <w:rPr>
                <w:sz w:val="24"/>
              </w:rPr>
              <w:t>Unexpected needs_review</w:t>
            </w:r>
          </w:p>
        </w:tc>
        <w:tc>
          <w:tcPr>
            <w:tcW w:type="dxa" w:w="3264"/>
            <w:vAlign w:val="center"/>
          </w:tcPr>
          <w:p>
            <w:pPr>
              <w:spacing w:line="276" w:lineRule="auto"/>
            </w:pPr>
            <w:r>
              <w:rPr>
                <w:sz w:val="24"/>
              </w:rPr>
              <w:t>Field label, evidence, extraction, or NLI policy.</w:t>
            </w:r>
          </w:p>
        </w:tc>
        <w:tc>
          <w:tcPr>
            <w:tcW w:type="dxa" w:w="3264"/>
            <w:vAlign w:val="center"/>
          </w:tcPr>
          <w:p>
            <w:pPr>
              <w:spacing w:line="276" w:lineRule="auto"/>
            </w:pPr>
            <w:r>
              <w:rPr>
                <w:sz w:val="24"/>
              </w:rPr>
              <w:t>Inspect the specific per-field reason and original PDF.</w:t>
            </w:r>
          </w:p>
        </w:tc>
      </w:tr>
      <w:tr>
        <w:tc>
          <w:tcPr>
            <w:tcW w:type="dxa" w:w="3264"/>
            <w:vAlign w:val="center"/>
            <w:shd w:fill="EAF0F6"/>
          </w:tcPr>
          <w:p>
            <w:pPr>
              <w:spacing w:line="276" w:lineRule="auto"/>
            </w:pPr>
            <w:r>
              <w:rPr>
                <w:sz w:val="24"/>
              </w:rPr>
              <w:t>Duplicate flag missing</w:t>
            </w:r>
          </w:p>
        </w:tc>
        <w:tc>
          <w:tcPr>
            <w:tcW w:type="dxa" w:w="3264"/>
            <w:vAlign w:val="center"/>
            <w:shd w:fill="EAF0F6"/>
          </w:tcPr>
          <w:p>
            <w:pPr>
              <w:spacing w:line="276" w:lineRule="auto"/>
            </w:pPr>
            <w:r>
              <w:rPr>
                <w:sz w:val="24"/>
              </w:rPr>
              <w:t>Duplicate lookup or normalization behavior.</w:t>
            </w:r>
          </w:p>
        </w:tc>
        <w:tc>
          <w:tcPr>
            <w:tcW w:type="dxa" w:w="3264"/>
            <w:vAlign w:val="center"/>
            <w:shd w:fill="EAF0F6"/>
          </w:tcPr>
          <w:p>
            <w:pPr>
              <w:spacing w:line="276" w:lineRule="auto"/>
            </w:pPr>
            <w:r>
              <w:rPr>
                <w:sz w:val="24"/>
              </w:rPr>
              <w:t>Review warning logs and stored prior extraction records.</w:t>
            </w:r>
          </w:p>
        </w:tc>
      </w:tr>
      <w:tr>
        <w:tc>
          <w:tcPr>
            <w:tcW w:type="dxa" w:w="3264"/>
            <w:vAlign w:val="center"/>
          </w:tcPr>
          <w:p>
            <w:pPr>
              <w:spacing w:line="276" w:lineRule="auto"/>
            </w:pPr>
            <w:r>
              <w:rPr>
                <w:sz w:val="24"/>
              </w:rPr>
              <w:t>Slow first request</w:t>
            </w:r>
          </w:p>
        </w:tc>
        <w:tc>
          <w:tcPr>
            <w:tcW w:type="dxa" w:w="3264"/>
            <w:vAlign w:val="center"/>
          </w:tcPr>
          <w:p>
            <w:pPr>
              <w:spacing w:line="276" w:lineRule="auto"/>
            </w:pPr>
            <w:r>
              <w:rPr>
                <w:sz w:val="24"/>
              </w:rPr>
              <w:t>Model download or cold model initialization.</w:t>
            </w:r>
          </w:p>
        </w:tc>
        <w:tc>
          <w:tcPr>
            <w:tcW w:type="dxa" w:w="3264"/>
            <w:vAlign w:val="center"/>
          </w:tcPr>
          <w:p>
            <w:pPr>
              <w:spacing w:line="276" w:lineRule="auto"/>
            </w:pPr>
            <w:r>
              <w:rPr>
                <w:sz w:val="24"/>
              </w:rPr>
              <w:t>Check model cache and worker memory before increasing concurrency.</w:t>
            </w:r>
          </w:p>
        </w:tc>
      </w:tr>
      <w:tr>
        <w:tc>
          <w:tcPr>
            <w:tcW w:type="dxa" w:w="3264"/>
            <w:vAlign w:val="center"/>
            <w:shd w:fill="EAF0F6"/>
          </w:tcPr>
          <w:p>
            <w:pPr>
              <w:spacing w:line="276" w:lineRule="auto"/>
            </w:pPr>
            <w:r>
              <w:rPr>
                <w:sz w:val="24"/>
              </w:rPr>
              <w:t>Repeated download or disk pressure</w:t>
            </w:r>
          </w:p>
        </w:tc>
        <w:tc>
          <w:tcPr>
            <w:tcW w:type="dxa" w:w="3264"/>
            <w:vAlign w:val="center"/>
            <w:shd w:fill="EAF0F6"/>
          </w:tcPr>
          <w:p>
            <w:pPr>
              <w:spacing w:line="276" w:lineRule="auto"/>
            </w:pPr>
            <w:r>
              <w:rPr>
                <w:sz w:val="24"/>
              </w:rPr>
              <w:t>Model cache volume or volume mount.</w:t>
            </w:r>
          </w:p>
        </w:tc>
        <w:tc>
          <w:tcPr>
            <w:tcW w:type="dxa" w:w="3264"/>
            <w:vAlign w:val="center"/>
            <w:shd w:fill="EAF0F6"/>
          </w:tcPr>
          <w:p>
            <w:pPr>
              <w:spacing w:line="276" w:lineRule="auto"/>
            </w:pPr>
            <w:r>
              <w:rPr>
                <w:sz w:val="24"/>
              </w:rPr>
              <w:t>Confirm persistent cache mount and approved storage capacity.</w:t>
            </w:r>
          </w:p>
        </w:tc>
      </w:tr>
      <w:tr>
        <w:tc>
          <w:tcPr>
            <w:tcW w:type="dxa" w:w="3264"/>
            <w:vAlign w:val="center"/>
          </w:tcPr>
          <w:p>
            <w:pPr>
              <w:spacing w:line="276" w:lineRule="auto"/>
            </w:pPr>
            <w:r>
              <w:rPr>
                <w:sz w:val="24"/>
              </w:rPr>
              <w:t>UI polling stops but task is active</w:t>
            </w:r>
          </w:p>
        </w:tc>
        <w:tc>
          <w:tcPr>
            <w:tcW w:type="dxa" w:w="3264"/>
            <w:vAlign w:val="center"/>
          </w:tcPr>
          <w:p>
            <w:pPr>
              <w:spacing w:line="276" w:lineRule="auto"/>
            </w:pPr>
            <w:r>
              <w:rPr>
                <w:sz w:val="24"/>
              </w:rPr>
              <w:t>Frontend wait limit.</w:t>
            </w:r>
          </w:p>
        </w:tc>
        <w:tc>
          <w:tcPr>
            <w:tcW w:type="dxa" w:w="3264"/>
            <w:vAlign w:val="center"/>
          </w:tcPr>
          <w:p>
            <w:pPr>
              <w:spacing w:line="276" w:lineRule="auto"/>
            </w:pPr>
            <w:r>
              <w:rPr>
                <w:sz w:val="24"/>
              </w:rPr>
              <w:t>Retain doc_id and query the detail endpoint again later.</w:t>
            </w:r>
          </w:p>
        </w:tc>
      </w:tr>
      <w:tr>
        <w:tc>
          <w:tcPr>
            <w:tcW w:type="dxa" w:w="3264"/>
            <w:vAlign w:val="center"/>
            <w:shd w:fill="EAF0F6"/>
          </w:tcPr>
          <w:p>
            <w:pPr>
              <w:spacing w:line="276" w:lineRule="auto"/>
            </w:pPr>
            <w:r>
              <w:rPr>
                <w:sz w:val="24"/>
              </w:rPr>
              <w:t>Restored DB lacks source PDFs</w:t>
            </w:r>
          </w:p>
        </w:tc>
        <w:tc>
          <w:tcPr>
            <w:tcW w:type="dxa" w:w="3264"/>
            <w:vAlign w:val="center"/>
            <w:shd w:fill="EAF0F6"/>
          </w:tcPr>
          <w:p>
            <w:pPr>
              <w:spacing w:line="276" w:lineRule="auto"/>
            </w:pPr>
            <w:r>
              <w:rPr>
                <w:sz w:val="24"/>
              </w:rPr>
              <w:t>Backup consistency gap.</w:t>
            </w:r>
          </w:p>
        </w:tc>
        <w:tc>
          <w:tcPr>
            <w:tcW w:type="dxa" w:w="3264"/>
            <w:vAlign w:val="center"/>
            <w:shd w:fill="EAF0F6"/>
          </w:tcPr>
          <w:p>
            <w:pPr>
              <w:spacing w:line="276" w:lineRule="auto"/>
            </w:pPr>
            <w:r>
              <w:rPr>
                <w:sz w:val="24"/>
              </w:rPr>
              <w:t>Restore matching upload files or mark unavailable records for recovery.</w:t>
            </w:r>
          </w:p>
        </w:tc>
      </w:tr>
    </w:tbl>
    <w:p>
      <w:pPr>
        <w:pStyle w:val="Caption"/>
        <w:keepLines/>
        <w:jc w:val="center"/>
      </w:pPr>
      <w:r>
        <w:t>Table 29. Troubleshooting Guide</w:t>
      </w:r>
    </w:p>
    <w:p/>
    <w:p>
      <w:r>
        <w:t>A runbook should record the incident time, document ID, relevant service revisions, dependency health, observed status transitions, mitigation, and data-impact assessment. Invoice text should not be copied into ordinary logs or incident tickets unless the organization has an approved handling process. Recovery actions that modify or delete financial documents should be auditable and performed by an authorized operator.</w:t>
      </w:r>
    </w:p>
    <w:p>
      <w:r>
        <w:br w:type="page"/>
      </w:r>
    </w:p>
    <w:p>
      <w:pPr>
        <w:pStyle w:val="Heading1"/>
        <w:keepNext/>
      </w:pPr>
      <w:r>
        <w:t>Appendix J. Setup and Service Runbook</w:t>
      </w:r>
    </w:p>
    <w:p>
      <w:r>
        <w:t>This runbook gives an ordered setup procedure based on the repository README and Compose layout. It is intended for a local academic demonstration. It does not replace the security, networking, and operational review required for an institutional or production environment.</w:t>
      </w:r>
    </w:p>
    <w:p>
      <w:pPr>
        <w:pStyle w:val="Heading2"/>
        <w:keepNext/>
      </w:pPr>
      <w:r>
        <w:t>J.1 Preparation</w:t>
      </w:r>
    </w:p>
    <w:p>
      <w:r>
        <w:t>Before starting, obtain the project files, confirm Docker Desktop is available, and inspect the Compose file and environment example. Confirm adequate disk space for container images, model artifacts, database files, vector data, and uploads. The README estimates that first-use model downloads are about 2 GB. The exact total can vary with checkpoint revisions and caching behavior, so storage should be monitored rather than treated as a fixed requirement.</w:t>
      </w:r>
    </w:p>
    <w:p>
      <w:r>
        <w:t>Do not copy actual credentials into the report or commit local environment files. Use the example configuration only as a template and replace development placeholders with locally managed values. Verify that each required variable is set for the runtime environment. A local Python run needs service URLs reachable from the host; a containerized run generally uses Compose service names.</w:t>
      </w:r>
    </w:p>
    <w:p>
      <w:pPr>
        <w:pStyle w:val="Heading2"/>
        <w:keepNext/>
      </w:pPr>
      <w:r>
        <w:t>J.2 Start and Verify Services</w:t>
      </w:r>
    </w:p>
    <w:p>
      <w:pPr>
        <w:pStyle w:val="ListNumber"/>
      </w:pPr>
      <w:r>
        <w:t>From the repository root, run the documented Docker Compose build and detached startup command.</w:t>
      </w:r>
    </w:p>
    <w:p>
      <w:pPr>
        <w:pStyle w:val="ListNumber"/>
      </w:pPr>
      <w:r>
        <w:t>List running containers and confirm that database, Redis, Qdrant, API, and worker services have not exited.</w:t>
      </w:r>
    </w:p>
    <w:p>
      <w:pPr>
        <w:pStyle w:val="ListNumber"/>
      </w:pPr>
      <w:r>
        <w:t>Review service logs for database initialization, broker connection, API startup, worker registration, and model download messages.</w:t>
      </w:r>
    </w:p>
    <w:p>
      <w:pPr>
        <w:pStyle w:val="ListNumber"/>
      </w:pPr>
      <w:r>
        <w:t>Call the API health endpoint and open the interactive documentation only in a trusted local environment.</w:t>
      </w:r>
    </w:p>
    <w:p>
      <w:pPr>
        <w:pStyle w:val="ListNumber"/>
      </w:pPr>
      <w:r>
        <w:t>Open the Streamlit UI and verify that the frontend can reach the API base URL.</w:t>
      </w:r>
    </w:p>
    <w:p>
      <w:pPr>
        <w:pStyle w:val="ListNumber"/>
      </w:pPr>
      <w:r>
        <w:t>Use a non-sensitive sample invoice intended for development; record its returned document ID.</w:t>
      </w:r>
    </w:p>
    <w:p>
      <w:pPr>
        <w:pStyle w:val="ListNumber"/>
      </w:pPr>
      <w:r>
        <w:t>Poll the document until it reaches a terminal state and inspect extraction, compliance, and audit separately.</w:t>
      </w:r>
    </w:p>
    <w:p>
      <w:pPr>
        <w:pStyle w:val="ListNumber"/>
      </w:pPr>
      <w:r>
        <w:t>After the demonstration, stop services cleanly and preserve or remove volumes according to the data policy.</w:t>
      </w:r>
    </w:p>
    <w:p>
      <w:r>
        <w:t>A health endpoint returning successfully is a basic liveness signal. It may not prove the vector store is populated, the worker can access the upload volume, the model cache is complete, or every downstream dependency is ready. A first run can require time for model initialization. Operators should distinguish expected cold-start activity from a stalled task by checking worker logs, queue state, and resource use.</w:t>
      </w:r>
    </w:p>
    <w:p>
      <w:pPr>
        <w:pStyle w:val="Heading2"/>
        <w:keepNext/>
      </w:pPr>
      <w:r>
        <w:t>J.3 Local Development Mode</w:t>
      </w:r>
    </w:p>
    <w:p>
      <w:r>
        <w:t>The README’s local development instructions specify Python 3.11, a virtual environment, backend requirements, and Compose-managed PostgreSQL, Redis, and Qdrant services. Start the supporting services first, activate the environment, install the declared requirements, and configure the backend environment file. Run the API and worker as separate processes so that asynchronous tasks can be consumed. Run Streamlit separately when interface changes are being tested.</w:t>
      </w:r>
    </w:p>
    <w:p>
      <w:r>
        <w:t>Local development is useful for module-level debugging but can differ from the container deployment in hostname resolution, file paths, environment loading, and filesystem permissions. Record which mode was used for any result. If the API can create a row but the worker cannot open the upload, verify that both processes resolve the same upload path. If a vector request fails, check the configured host and port from the process that makes the call rather than from a different container.</w:t>
      </w:r>
    </w:p>
    <w:p>
      <w:pPr>
        <w:pStyle w:val="Heading2"/>
        <w:keepNext/>
      </w:pPr>
      <w:r>
        <w:t>J.4 Safe Shutdown and Cleanup</w:t>
      </w:r>
    </w:p>
    <w:p>
      <w:r>
        <w:t>A safe shutdown should stop new submissions, allow queued work to finish or deliberately mark it for recovery, stop the worker and API, and then stop supporting services. Persistent volumes should not be removed merely to fix a transient error. Before cleanup, identify whether they contain source PDFs or results needed for evaluation. If a complete reset is required for a benchmark, use a documented disposable environment and verify that the correct database and Qdrant collection are being cleared.</w:t>
      </w:r>
    </w:p>
    <w:p>
      <w:r>
        <w:br w:type="page"/>
      </w:r>
    </w:p>
    <w:p>
      <w:pPr>
        <w:pStyle w:val="Heading1"/>
        <w:keepNext/>
      </w:pPr>
      <w:r>
        <w:t>Appendix K. Model and Dataset Cards</w:t>
      </w:r>
    </w:p>
    <w:p>
      <w:r>
        <w:t>A model card and dataset card provide concise metadata that can accompany evaluation evidence. The repository already identifies model families and describes the generated invoice dataset in its README. The records below restate the known purpose and limitations and list metadata that should be captured during a formal release.</w:t>
      </w:r>
    </w:p>
    <w:p>
      <w:pPr>
        <w:pStyle w:val="Heading2"/>
        <w:keepNext/>
      </w:pPr>
      <w:r>
        <w:t>K.1 Extractive Question-Answering Model</w:t>
      </w:r>
    </w:p>
    <w:p>
      <w:r>
        <w:t>The extraction component uses deepset/roberta-base-squad2 as an extractive question-answering checkpoint. Its role is to select answer spans from invoice text in response to fixed field questions. The application limits the input sequence and answer-span search and then applies line cleanup. This is not a generative model that writes arbitrary invoice prose, but an extractive span can still be semantically wrong when the question matches the wrong label or the context is truncated.</w:t>
      </w:r>
    </w:p>
    <w:p>
      <w:r>
        <w:t>A release record should state the exact model revision, tokenizer revision, Transformers and PyTorch versions, maximum input length, candidate span policy, device type, precision mode, and whether the model was warmed before measurement. The model’s original training domain is not the same as the project’s invoice benchmark, so domain performance must be measured locally. The current repository references the model family but does not establish an external validation claim for real invoices.</w:t>
      </w:r>
    </w:p>
    <w:p>
      <w:pPr>
        <w:pStyle w:val="Heading2"/>
        <w:keepNext/>
      </w:pPr>
      <w:r>
        <w:t>K.2 Embedding, NER, and NLI Models</w:t>
      </w:r>
    </w:p>
    <w:p>
      <w:r>
        <w:t>The retrieval component uses BAAI bge-small-en-v1.5 to create 384-dimensional embeddings and Qdrant cosine search to retrieve invoice text filtered by document ID. The compliance module uses dslim/bert-base-NER with simple aggregation to return person and location entity groups. The audit module uses cross-encoder/nli-deberta-v3-base for premise/hypothesis classification when NLI mode is not off. These models serve separate tasks and have separate output semantics; an embedding similarity is not an extraction confidence, and an NLI score is not a probability of invoice authenticity.</w:t>
      </w:r>
    </w:p>
    <w:p>
      <w:r>
        <w:t>The NLI mode setting changes how classifier labels influence the decision. Veto rejects a sufficiently confident contradiction; strict requires an entailment at or above the configured threshold; off bypasses the classifier while retaining deterministic rules. A deployment record should preserve the selected mode, threshold, model revision, and output-label mapping. Changes to any of these can alter the review rate and should trigger a benchmark run.</w:t>
      </w:r>
    </w:p>
    <w:p>
      <w:pPr>
        <w:pStyle w:val="Heading2"/>
        <w:keepNext/>
      </w:pPr>
      <w:r>
        <w:t>K.3 Dataset Card</w:t>
      </w:r>
    </w:p>
    <w:p>
      <w:r>
        <w:t>The reported final dataset has 27 synthetic native-text invoice PDFs and 186 annotated field values. The initial 17-document development set was supplemented by ten documents that were initially described as held out. Those ten were evaluated on an earlier code snapshot, then inspected and incorporated into the final set after fixes. Therefore the final dataset is development data, and the earlier ten-case result should be identified as a historical measurement rather than a current independent test score.</w:t>
      </w:r>
    </w:p>
    <w:p>
      <w:r>
        <w:t>The dataset is designed to exercise invoice-label variants, two-column layouts, amount and date formats, absent due dates, arithmetic cases, and selected compliance flags. It does not establish coverage of real-world invoices, scanned documents, multiple languages, handwriting, complex line-item tables, or adversarial files. The dataset card should record how each PDF was generated, the annotation rules, field-level counts, missing-field counts, expected flags, known ambiguities, and the status of each example as development, validation, or test data.</w:t>
      </w:r>
    </w:p>
    <w:p>
      <w:r>
        <w:t>For a future release, include a dataset checksum manifest, clear license/permission information, a privacy assessment, and a process for removing sensitive records. Synthetic generation should vary document layout and wording independently of rule aliases so that the evaluation does not simply reproduce the patterns encoded by the validator. A hidden test set should remain inaccessible to the developer tuning loop until the release candidate is fixed.</w:t>
      </w:r>
    </w:p>
    <w:p>
      <w:r>
        <w:br w:type="page"/>
      </w:r>
    </w:p>
    <w:p>
      <w:pPr>
        <w:pStyle w:val="Heading1"/>
        <w:keepNext/>
      </w:pPr>
      <w:r>
        <w:t>Appendix L. Client Interaction Walkthrough</w:t>
      </w:r>
    </w:p>
    <w:p>
      <w:r>
        <w:t>This walkthrough describes a client-side sequence using the existing API at a conceptual level. The examples intentionally omit concrete personal or financial values. They illustrate request order and state interpretation rather than a guarantee of response timing or a complete OpenAPI schema.</w:t>
      </w:r>
    </w:p>
    <w:p>
      <w:pPr>
        <w:pStyle w:val="Heading2"/>
        <w:keepNext/>
      </w:pPr>
      <w:r>
        <w:t>L.1 Upload and Identifier Handling</w:t>
      </w:r>
    </w:p>
    <w:p>
      <w:r>
        <w:t>The client submits a multipart request to POST /documents with the selected file in the upload field. On success, the response contains a doc_id and the current status, normally pending. The client should store the identifier in its local session and display it as a support reference. If the network connection drops after the API commits the row but before the browser receives the response, the client may not know whether the upload succeeded; idempotency or a client request token would make this ambiguity easier to resolve in a future API.</w:t>
      </w:r>
    </w:p>
    <w:p>
      <w:r>
        <w:t>After receiving the identifier, the client can request GET /documents/{doc_id}. A pending or processing response means the durable task has not finalized. The UI should use a bounded polling interval with backoff and provide a manual refresh. The client should stop polling on complete, needs_review, or failed and should still allow later inspection through the document list.</w:t>
      </w:r>
    </w:p>
    <w:p>
      <w:pPr>
        <w:pStyle w:val="Heading2"/>
        <w:keepNext/>
      </w:pPr>
      <w:r>
        <w:t>L.2 Reading the Detail Object</w:t>
      </w:r>
    </w:p>
    <w:p>
      <w:r>
        <w:t>The detail object contains document metadata and related outputs. Before any result rows exist, extraction, compliance, or audit may be null. Once processing completes, extraction contains the schema mapping; compliance contains flags and entity detections; audit contains the faithfulness rate and per-field details. A client must tolerate missing relationships and avoid assuming that all values are present merely because a document ID exists.</w:t>
      </w:r>
    </w:p>
    <w:p>
      <w:r>
        <w:t>A user interface can summarize state at the top and show field details below it. Each field row should present the proposed value, support decision, evidence, and reason. Compliance flags should be shown in a separate section with a clear risk label. The original PDF should remain accessible for human checking. A “complete” badge should not suppress warnings from compliance or imply that other invoice authenticity checks were performed.</w:t>
      </w:r>
    </w:p>
    <w:p>
      <w:pPr>
        <w:pStyle w:val="Heading2"/>
        <w:keepNext/>
      </w:pPr>
      <w:r>
        <w:t>L.3 Error and Timeout Handling</w:t>
      </w:r>
    </w:p>
    <w:p>
      <w:r>
        <w:t>When the API returns an unknown-document error, the client should display a neutral not-found response and avoid exposing internal database details. When a request times out, it should retain the doc_id and retry reads with backoff rather than immediately resubmitting the file. When a task reaches failed, the current response may not include a detailed cause; the UI should direct the user to contact an operator with the document ID instead of showing a guessed explanation.</w:t>
      </w:r>
    </w:p>
    <w:p>
      <w:r>
        <w:t>In a production contract, error responses should include a stable error code, human-readable summary, request correlation ID, and retryability indication. Sensitive stack traces should remain in protected logs. Rate limits and upload limits should be surfaced in a predictable way. These API improvements are proposed; the repository’s present route definitions do not implement the full contract described here.</w:t>
      </w:r>
    </w:p>
    <w:p>
      <w:r>
        <w:br w:type="page"/>
      </w:r>
    </w:p>
    <w:p>
      <w:pPr>
        <w:pStyle w:val="Heading1"/>
        <w:keepNext/>
      </w:pPr>
      <w:r>
        <w:t>Appendix M. Annotation Handbook</w:t>
      </w:r>
    </w:p>
    <w:p>
      <w:r>
        <w:t>A stable annotation handbook is needed for repeatable scoring. It defines what the evaluator considers gold truth, how text is normalized, and how ambiguous or absent information is handled. This proposed handbook expands on the current seven-field benchmark and should be reviewed before the next dataset is created.</w:t>
      </w:r>
    </w:p>
    <w:p>
      <w:pPr>
        <w:pStyle w:val="Heading2"/>
        <w:keepNext/>
      </w:pPr>
      <w:r>
        <w:t>M.1 Field Selection Rules</w:t>
      </w:r>
    </w:p>
    <w:p>
      <w:r>
        <w:t>Invoice number should be the supplier’s invoice identifier, not a purchase-order number, customer number, or account reference. Invoice date should be the date the invoice was issued, not the payment due date, shipping date, order date, or print date. Vendor name should identify the seller or issuer rather than the customer or bill-to party. Due date should represent an explicit payment deadline; do not infer one from payment terms unless the benchmark definition explicitly permits calculation.</w:t>
      </w:r>
    </w:p>
    <w:p>
      <w:r>
        <w:t>Subtotal should reflect the pre-tax subtotal or a clearly defined equivalent in the invoice’s own labels. Tax should capture the tax amount associated with the invoice, not a tax rate unless the target schema is changed. Total should represent the final amount due/payable. When multiple totals appear, annotators should use a predefined policy for amount due, balance forward, credits, and paid amounts. Unresolvable conflicts should be marked ambiguous and excluded or scored under a declared ambiguity rule.</w:t>
      </w:r>
    </w:p>
    <w:p>
      <w:pPr>
        <w:pStyle w:val="Heading2"/>
        <w:keepNext/>
      </w:pPr>
      <w:r>
        <w:t>M.2 Normalization Rules</w:t>
      </w:r>
    </w:p>
    <w:p>
      <w:r>
        <w:t>The current scorer lowercases strings, removes dollar signs and commas, trims whitespace, strips trailing periods, and tokenizes on whitespace for token-overlap F1. To compare future runs fairly, preserve this legacy calculation and publish any improved normalization separately. A normalized exact-match policy should define dates as calendar values only when parsing is unambiguous, amounts as decimal values with an explicitly known currency, and identifiers as case-sensitive or case-insensitive according to the intended business rule.</w:t>
      </w:r>
    </w:p>
    <w:p>
      <w:r>
        <w:t>Do not normalize away information that can change meaning. A comma may be a decimal separator in some locales; a leading zero can matter in an invoice number; a currency symbol may distinguish two amounts; a date such as 03/04/2026 is ambiguous without locale context. Record raw gold text alongside normalized values and any parser decision. This makes it possible to inspect disagreements rather than masking them through aggressive normalization.</w:t>
      </w:r>
    </w:p>
    <w:p>
      <w:pPr>
        <w:pStyle w:val="Heading2"/>
        <w:keepNext/>
      </w:pPr>
      <w:r>
        <w:t>M.3 Missing, Ambiguous, and Flag Labels</w:t>
      </w:r>
    </w:p>
    <w:p>
      <w:r>
        <w:t>Use a distinct representation for a field that is absent, unreadable, ambiguous, or present with conflicting values. The current evaluator uses an empty string to mean absent. For new datasets, a richer annotation object can include status, raw value, normalized value, evidence snippet, page, and annotator note. Expected compliance flags should be defined as a set with exact names and conditions so an extra flag is distinguishable from a missing flag.</w:t>
      </w:r>
    </w:p>
    <w:p>
      <w:r>
        <w:t>A dataset should not silently remove difficult examples after model errors occur. If an item is invalid, document the reason and create a new dataset version. Maintain a split manifest that records whether a document has been seen during development. If annotators see model predictions, note that fact because it can introduce confirmation bias. Adjudication should be blind to model output when feasible.</w:t>
      </w:r>
    </w:p>
    <w:p>
      <w:r>
        <w:br w:type="page"/>
      </w:r>
    </w:p>
    <w:p>
      <w:pPr>
        <w:pStyle w:val="Heading1"/>
        <w:keepNext/>
      </w:pPr>
      <w:r>
        <w:t>Appendix N. Release and Evaluation Record</w:t>
      </w:r>
    </w:p>
    <w:p>
      <w:r>
        <w:t>A release record ties a reported result to the artifact that generated it. The following template is intended to be copied into a release note or laboratory record. It is not populated with guessed values for this report because code revision, package state, runtime hardware, and fresh test results were not collected during report generation.</w:t>
      </w:r>
    </w:p>
    <w:p>
      <w:pPr>
        <w:pStyle w:val="Heading2"/>
        <w:keepNext/>
      </w:pPr>
      <w:r>
        <w:t>N.1 Required Release Metadata</w:t>
      </w:r>
    </w:p>
    <w:p>
      <w:pPr>
        <w:pStyle w:val="ListBullet"/>
      </w:pPr>
      <w:r>
        <w:t>Release identifier and date; author or responsible reviewer.</w:t>
      </w:r>
    </w:p>
    <w:p>
      <w:pPr>
        <w:pStyle w:val="ListBullet"/>
      </w:pPr>
      <w:r>
        <w:t>Git commit, branch, and whether uncommitted changes were present.</w:t>
      </w:r>
    </w:p>
    <w:p>
      <w:pPr>
        <w:pStyle w:val="ListBullet"/>
      </w:pPr>
      <w:r>
        <w:t>Python, operating system, container runtime, and image versions.</w:t>
      </w:r>
    </w:p>
    <w:p>
      <w:pPr>
        <w:pStyle w:val="ListBullet"/>
      </w:pPr>
      <w:r>
        <w:t>Dependency lock or package inventory and model checkpoint revisions.</w:t>
      </w:r>
    </w:p>
    <w:p>
      <w:pPr>
        <w:pStyle w:val="ListBullet"/>
      </w:pPr>
      <w:r>
        <w:t>NLI mode, score threshold, upload limits, and relevant environment settings.</w:t>
      </w:r>
    </w:p>
    <w:p>
      <w:pPr>
        <w:pStyle w:val="ListBullet"/>
      </w:pPr>
      <w:r>
        <w:t>Dataset name/version, split counts, annotation-guide revision, and checksums.</w:t>
      </w:r>
    </w:p>
    <w:p>
      <w:pPr>
        <w:pStyle w:val="ListBullet"/>
      </w:pPr>
      <w:r>
        <w:t>Commands executed, start/end times, machine or accelerator class, and cold/warm cache condition.</w:t>
      </w:r>
    </w:p>
    <w:p>
      <w:pPr>
        <w:pStyle w:val="ListBullet"/>
      </w:pPr>
      <w:r>
        <w:t>Test command and complete result, including skipped or failed cases.</w:t>
      </w:r>
    </w:p>
    <w:p>
      <w:pPr>
        <w:pStyle w:val="ListBullet"/>
      </w:pPr>
      <w:r>
        <w:t>Evaluation metrics with denominators, per-field summary, verified mistakes, review counts, and compliance mismatches.</w:t>
      </w:r>
    </w:p>
    <w:p>
      <w:pPr>
        <w:pStyle w:val="ListBullet"/>
      </w:pPr>
      <w:r>
        <w:t>Known deviations, manual intervention, incident notes, and approval decision.</w:t>
      </w:r>
    </w:p>
    <w:p>
      <w:pPr>
        <w:pStyle w:val="Heading2"/>
        <w:keepNext/>
      </w:pPr>
      <w:r>
        <w:t>N.2 Result Interpretation Checklist</w:t>
      </w:r>
    </w:p>
    <w:p>
      <w:r>
        <w:t>Before a metric is copied into a thesis abstract or presentation, verify that it describes the intended dataset and software revision. State whether it came from development, validation, or a frozen test set. Report raw counts with ratios; for example, distinguish the number of correct verified values from the number of all verified values. Include review volume and absent-field handling so a high precision figure cannot conceal an unusably low automation rate.</w:t>
      </w:r>
    </w:p>
    <w:p>
      <w:r>
        <w:t>Do not combine scores from different policy modes unless the mode and threshold are stated. Do not imply that synthetic test performance predicts production performance. Do not describe a historical held-out result as independent if those documents were later used to guide rule changes. If a new experiment produces a different result, preserve both the old and new scorecards and explain the change rather than overwriting a previous report.</w:t>
      </w:r>
    </w:p>
    <w:p>
      <w:pPr>
        <w:pStyle w:val="Heading2"/>
        <w:keepNext/>
      </w:pPr>
      <w:r>
        <w:t>N.3 Data and Model Change Record</w:t>
      </w:r>
    </w:p>
    <w:p>
      <w:r>
        <w:t>A dataset change record should state which documents were added, removed, or relabelled and why. A model change record should state old and new checkpoint revisions, tokenizer changes, quantization or device settings, and expected behavioral effects. A rule change record should name the field, old and new label/type behavior, motivating failure, regression cases, and risk of overmatching. This discipline helps distinguish a genuine improvement from a benchmark-specific adjustment.</w:t>
      </w:r>
    </w:p>
    <w:p>
      <w:r>
        <w:br w:type="page"/>
      </w:r>
    </w:p>
    <w:p>
      <w:pPr>
        <w:pStyle w:val="Heading1"/>
        <w:keepNext/>
      </w:pPr>
      <w:r>
        <w:t>Appendix O. Extended Glossary</w:t>
      </w:r>
    </w:p>
    <w:p>
      <w:r>
        <w:t>The glossary expands terms used throughout the architecture and evaluation chapters. Definitions are tailored to this project’s implementation so that similar-sounding outputs are not confused.</w:t>
      </w:r>
    </w:p>
    <w:p>
      <w:pPr>
        <w:pStyle w:val="Heading2"/>
        <w:keepNext/>
      </w:pPr>
      <w:r>
        <w:t>O.1 Workflow and Data Terms</w:t>
      </w:r>
    </w:p>
    <w:p>
      <w:r>
        <w:t>Audit decision: the result of checking whether a candidate field has a plausible type, appears in source text, matches a compatible label, and satisfies the configured NLI policy. Candidate: a value proposed by the question-answering model or generated from text near a matching label. Evidence line: source text selected to justify or reject a candidate. Faithfulness rate: the proportion of audited fields marked supported in the project’s audit output; the evaluation’s coverage metric uses present gold fields as its denominator.</w:t>
      </w:r>
    </w:p>
    <w:p>
      <w:r>
        <w:t>Golden dataset: a set of source documents with human-prepared expected fields and, where applicable, expected compliance flags. Needs review: a terminal workflow state indicating at least one field remained unsupported after the configured repair path. Pending and processing: non-terminal states for queued and active work. Verified precision: the share of supported/accepted values that meet the evaluator’s correctness criterion, including the treatment of supported absent fields as errors.</w:t>
      </w:r>
    </w:p>
    <w:p>
      <w:pPr>
        <w:pStyle w:val="Heading2"/>
        <w:keepNext/>
      </w:pPr>
      <w:r>
        <w:t>O.2 Architecture and Model Terms</w:t>
      </w:r>
    </w:p>
    <w:p>
      <w:r>
        <w:t>Celery task: a background function executed by a worker from a broker queue. Redis broker: the message service that carries queued work between API and worker. LangGraph state: the dictionary of values passed between pipeline nodes. Qdrant point: a vector plus payload stored in the vector collection; this project payload includes document ID and text. Embedding: a numeric representation used for similarity search, not a field answer.</w:t>
      </w:r>
    </w:p>
    <w:p>
      <w:r>
        <w:t>Extractive question answering: a model task that selects a span from supplied text in response to a question. NLI: natural language inference that classifies a premise/hypothesis pair, commonly as entailment, contradiction, or neutral. Veto mode: the project policy that rejects only a sufficiently confident contradiction after deterministic checks. Strict mode: the policy requiring sufficiently confident entailment. Rules-only mode: the policy that bypasses NLI while retaining type, source, and label checks.</w:t>
      </w:r>
    </w:p>
    <w:p>
      <w:pPr>
        <w:pStyle w:val="Heading2"/>
        <w:keepNext/>
      </w:pPr>
      <w:r>
        <w:t>O.3 Evaluation and Governance Terms</w:t>
      </w:r>
    </w:p>
    <w:p>
      <w:r>
        <w:t>Development set: data used to build or tune the system. Held-out set: data reserved from development for a measurement; once inspected and used to guide fixes, it is no longer an independent holdout for later revisions. Regression gate: an automated threshold check intended to catch deterioration on a declared benchmark. Provenance: metadata connecting a result to its original source, location, software revision, model, and decision history.</w:t>
      </w:r>
    </w:p>
    <w:p>
      <w:r>
        <w:t>Idempotency: a property under which repeating an operation does not create unintended duplicate effects. Readiness: evidence that a service can perform required work, which is stronger than process liveness. Retention: the defined period and procedure for keeping or deleting source files and derived records. Shadow mode: a deployment pattern in which the system produces recommendations while the existing human-controlled process remains authoritative.</w:t>
      </w:r>
    </w:p>
    <w:sectPr w:rsidR="00FC693F" w:rsidRPr="0006063C" w:rsidSect="00034616">
      <w:footerReference w:type="default" r:id="rId11"/>
      <w:pgSz w:w="12240" w:h="15840"/>
      <w:pgMar w:top="1008" w:right="1224" w:bottom="1008" w:left="122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t xml:space="preserve">DocuAudit  •  Page </w:t>
    </w:r>
    <w:r>
      <w:fldChar w:fldCharType="begin" w:dirty="true"/>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24"/>
      </w:rPr>
      <w:t>DOCUAUDIT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DocuAudit Evidence Based Invoice Extraction and Verification System</dc:title>
  <dc:subject>University final year project report</dc:subject>
  <dc:creator/>
  <cp:keywords>invoice processing, information extraction, verification</cp:keywords>
  <dc:description>generated by python-docx</dc:description>
  <cp:lastModifiedBy/>
  <cp:revision>1</cp:revision>
  <dcterms:created xsi:type="dcterms:W3CDTF">2013-12-23T23:15:00Z</dcterms:created>
  <dcterms:modified xsi:type="dcterms:W3CDTF">2013-12-23T23:15:00Z</dcterms:modified>
  <cp:category/>
</cp:coreProperties>
</file>