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i w:val="0"/>
          <w:color w:val="C9962B"/>
          <w:sz w:val="18"/>
        </w:rPr>
        <w:t>BUSINESS REQUIREMENTS DOCUMENT · 1 OF 4</w:t>
      </w:r>
    </w:p>
    <w:p>
      <w:pPr>
        <w:spacing w:after="100"/>
      </w:pPr>
      <w:r>
        <w:rPr>
          <w:rFonts w:ascii="Calibri" w:hAnsi="Calibri"/>
          <w:b/>
          <w:i w:val="0"/>
          <w:color w:val="17324D"/>
          <w:sz w:val="46"/>
        </w:rPr>
        <w:t>Open Money Stories</w:t>
      </w:r>
    </w:p>
    <w:p>
      <w:pPr>
        <w:spacing w:after="180"/>
      </w:pPr>
      <w:r>
        <w:rPr>
          <w:rFonts w:ascii="Calibri" w:hAnsi="Calibri"/>
          <w:b w:val="0"/>
          <w:i/>
          <w:color w:val="667481"/>
          <w:sz w:val="22"/>
        </w:rPr>
        <w:t>WhatsApp-first personal finance that converts transaction history into trustworthy, evolving narratives.</w:t>
      </w:r>
    </w:p>
    <w:p>
      <w:pPr>
        <w:spacing w:after="160"/>
        <w:pBdr>
          <w:bottom w:val="single" w:sz="10" w:color="2E74B5"/>
        </w:pBdr>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EF4F8"/>
          </w:tcPr>
          <w:p>
            <w:pPr>
              <w:spacing w:after="0"/>
            </w:pPr>
            <w:r>
              <w:rPr>
                <w:rFonts w:ascii="Calibri" w:hAnsi="Calibri"/>
                <w:b/>
                <w:i w:val="0"/>
                <w:color w:val="2E74B5"/>
                <w:sz w:val="19"/>
              </w:rPr>
              <w:t xml:space="preserve">EXECUTIVE INTENT  </w:t>
            </w:r>
            <w:r>
              <w:rPr>
                <w:rFonts w:ascii="Calibri" w:hAnsi="Calibri"/>
                <w:b w:val="0"/>
                <w:i w:val="0"/>
                <w:color w:val="263442"/>
                <w:sz w:val="19"/>
              </w:rPr>
              <w:t>Help people understand their financial behaviour without forcing them to maintain a dashboard or learn finance terminology.</w:t>
            </w:r>
          </w:p>
        </w:tc>
      </w:tr>
    </w:tbl>
    <w:p>
      <w:pPr>
        <w:spacing w:after="0"/>
      </w:pPr>
    </w:p>
    <w:p>
      <w:pPr>
        <w:pStyle w:val="Heading2"/>
      </w:pPr>
      <w:r>
        <w:t>1. Business context and opportunity</w:t>
      </w:r>
    </w:p>
    <w:p>
      <w:r>
        <w:rPr>
          <w:rFonts w:ascii="Calibri" w:hAnsi="Calibri"/>
          <w:b w:val="0"/>
          <w:i w:val="0"/>
          <w:color w:val="263442"/>
          <w:sz w:val="20"/>
        </w:rPr>
        <w:t>Current expense tools capture numbers but rarely help users understand what changed, why it matters, or what to correct. Manual entry is high-friction; conventional charts feel generic; and inaccurate categorisation weakens trust. The opportunity is to combine WhatsApp’s natural conversation with a focused portal that turns verified transactions into meaningful “Money Stories.”</w:t>
      </w:r>
    </w:p>
    <w:p>
      <w:pPr>
        <w:pStyle w:val="Heading2"/>
      </w:pPr>
      <w:r>
        <w:t>2. Product proposition</w:t>
      </w:r>
    </w:p>
    <w:p>
      <w:r>
        <w:rPr>
          <w:rFonts w:ascii="Calibri" w:hAnsi="Calibri"/>
          <w:b w:val="0"/>
          <w:i w:val="0"/>
          <w:color w:val="263442"/>
          <w:sz w:val="20"/>
        </w:rPr>
        <w:t>The product has two complementary surfaces: WhatsApp is the conversational capture and correction channel; the portal is the visual memory and discovery layer. Users can speak naturally, confirm the system’s interpretation, then see how their behaviour evolves through stories, calendars and supporting evidence.</w:t>
      </w:r>
    </w:p>
    <w:p>
      <w:pPr>
        <w:pStyle w:val="Heading2"/>
      </w:pPr>
      <w:r>
        <w:t>3. Business objectives</w:t>
      </w:r>
    </w:p>
    <w:p>
      <w:pPr>
        <w:pStyle w:val="ListBullet"/>
      </w:pPr>
      <w:r>
        <w:rPr>
          <w:rFonts w:ascii="Calibri" w:hAnsi="Calibri"/>
          <w:b w:val="0"/>
          <w:i w:val="0"/>
          <w:color w:val="263442"/>
          <w:sz w:val="20"/>
        </w:rPr>
        <w:t>Reduce friction in recording personal expenses through text and voice.</w:t>
      </w:r>
    </w:p>
    <w:p>
      <w:pPr>
        <w:pStyle w:val="ListBullet"/>
      </w:pPr>
      <w:r>
        <w:rPr>
          <w:rFonts w:ascii="Calibri" w:hAnsi="Calibri"/>
          <w:b w:val="0"/>
          <w:i w:val="0"/>
          <w:color w:val="263442"/>
          <w:sz w:val="20"/>
        </w:rPr>
        <w:t>Increase confidence in extracted amount, merchant, date, payment source and category.</w:t>
      </w:r>
    </w:p>
    <w:p>
      <w:pPr>
        <w:pStyle w:val="ListBullet"/>
      </w:pPr>
      <w:r>
        <w:rPr>
          <w:rFonts w:ascii="Calibri" w:hAnsi="Calibri"/>
          <w:b w:val="0"/>
          <w:i w:val="0"/>
          <w:color w:val="263442"/>
          <w:sz w:val="20"/>
        </w:rPr>
        <w:t>Create repeat engagement by surfacing timely, evidence-backed financial stories.</w:t>
      </w:r>
    </w:p>
    <w:p>
      <w:pPr>
        <w:pStyle w:val="ListBullet"/>
      </w:pPr>
      <w:r>
        <w:rPr>
          <w:rFonts w:ascii="Calibri" w:hAnsi="Calibri"/>
          <w:b w:val="0"/>
          <w:i w:val="0"/>
          <w:color w:val="263442"/>
          <w:sz w:val="20"/>
        </w:rPr>
        <w:t>Allow users to inspect, add and correct historical transactions without losing context.</w:t>
      </w:r>
    </w:p>
    <w:p>
      <w:pPr>
        <w:pStyle w:val="ListBullet"/>
      </w:pPr>
      <w:r>
        <w:rPr>
          <w:rFonts w:ascii="Calibri" w:hAnsi="Calibri"/>
          <w:b w:val="0"/>
          <w:i w:val="0"/>
          <w:color w:val="263442"/>
          <w:sz w:val="20"/>
        </w:rPr>
        <w:t>Build a differentiated product experience that avoids dashboard clutter and generic pie charts.</w:t>
      </w:r>
    </w:p>
    <w:p>
      <w:pPr>
        <w:pStyle w:val="Heading2"/>
      </w:pPr>
      <w:r>
        <w:t>4. Success outcomes</w:t>
      </w:r>
    </w:p>
    <w:tbl>
      <w:tblPr>
        <w:tblStyle w:val="TableGrid"/>
        <w:tblW w:type="dxa" w:w="9360"/>
        <w:jc w:val="left"/>
        <w:tblLayout w:type="fixed"/>
        <w:tblLook w:firstColumn="1" w:firstRow="1" w:lastColumn="0" w:lastRow="0" w:noHBand="0" w:noVBand="1" w:val="04A0"/>
        <w:tblInd w:w="120" w:type="dxa"/>
      </w:tblPr>
      <w:tblGrid>
        <w:gridCol w:w="2700"/>
        <w:gridCol w:w="3600"/>
        <w:gridCol w:w="3060"/>
      </w:tblGrid>
      <w:tr>
        <w:trPr>
          <w:tblHeader w:val="true"/>
        </w:trPr>
        <w:tc>
          <w:tcPr>
            <w:tcW w:type="dxa" w:w="2700"/>
            <w:shd w:fill="17324D"/>
            <w:tcMar>
              <w:top w:w="80" w:type="dxa"/>
              <w:start w:w="120" w:type="dxa"/>
              <w:bottom w:w="80" w:type="dxa"/>
              <w:end w:w="120" w:type="dxa"/>
            </w:tcMar>
            <w:vAlign w:val="center"/>
          </w:tcPr>
          <w:p>
            <w:pPr>
              <w:spacing w:after="0"/>
            </w:pPr>
            <w:r>
              <w:rPr>
                <w:rFonts w:ascii="Calibri" w:hAnsi="Calibri"/>
                <w:b/>
                <w:i w:val="0"/>
                <w:color w:val="FFFFFF"/>
                <w:sz w:val="18"/>
              </w:rPr>
              <w:t>Outcome</w:t>
            </w:r>
          </w:p>
        </w:tc>
        <w:tc>
          <w:tcPr>
            <w:tcW w:type="dxa" w:w="3600"/>
            <w:shd w:fill="17324D"/>
            <w:tcMar>
              <w:top w:w="80" w:type="dxa"/>
              <w:start w:w="120" w:type="dxa"/>
              <w:bottom w:w="80" w:type="dxa"/>
              <w:end w:w="120" w:type="dxa"/>
            </w:tcMar>
            <w:vAlign w:val="center"/>
          </w:tcPr>
          <w:p>
            <w:pPr>
              <w:spacing w:after="0"/>
            </w:pPr>
            <w:r>
              <w:rPr>
                <w:rFonts w:ascii="Calibri" w:hAnsi="Calibri"/>
                <w:b/>
                <w:i w:val="0"/>
                <w:color w:val="FFFFFF"/>
                <w:sz w:val="18"/>
              </w:rPr>
              <w:t>MVP measure</w:t>
            </w:r>
          </w:p>
        </w:tc>
        <w:tc>
          <w:tcPr>
            <w:tcW w:type="dxa" w:w="3060"/>
            <w:shd w:fill="17324D"/>
            <w:tcMar>
              <w:top w:w="80" w:type="dxa"/>
              <w:start w:w="120" w:type="dxa"/>
              <w:bottom w:w="80" w:type="dxa"/>
              <w:end w:w="120" w:type="dxa"/>
            </w:tcMar>
            <w:vAlign w:val="center"/>
          </w:tcPr>
          <w:p>
            <w:pPr>
              <w:spacing w:after="0"/>
            </w:pPr>
            <w:r>
              <w:rPr>
                <w:rFonts w:ascii="Calibri" w:hAnsi="Calibri"/>
                <w:b/>
                <w:i w:val="0"/>
                <w:color w:val="FFFFFF"/>
                <w:sz w:val="18"/>
              </w:rPr>
              <w:t>Target direction</w:t>
            </w:r>
          </w:p>
        </w:tc>
      </w:tr>
      <w:tr>
        <w:tc>
          <w:tcPr>
            <w:tcW w:type="dxa" w:w="2700"/>
            <w:tcMar>
              <w:top w:w="80" w:type="dxa"/>
              <w:start w:w="120" w:type="dxa"/>
              <w:bottom w:w="80" w:type="dxa"/>
              <w:end w:w="120" w:type="dxa"/>
            </w:tcMar>
            <w:vAlign w:val="center"/>
          </w:tcPr>
          <w:p>
            <w:pPr>
              <w:spacing w:after="0"/>
            </w:pPr>
            <w:r>
              <w:rPr>
                <w:rFonts w:ascii="Calibri" w:hAnsi="Calibri"/>
                <w:b w:val="0"/>
                <w:i w:val="0"/>
                <w:color w:val="263442"/>
                <w:sz w:val="17"/>
              </w:rPr>
              <w:t>Reliable capture</w:t>
            </w:r>
          </w:p>
        </w:tc>
        <w:tc>
          <w:tcPr>
            <w:tcW w:type="dxa" w:w="3600"/>
            <w:tcMar>
              <w:top w:w="80" w:type="dxa"/>
              <w:start w:w="120" w:type="dxa"/>
              <w:bottom w:w="80" w:type="dxa"/>
              <w:end w:w="120" w:type="dxa"/>
            </w:tcMar>
            <w:vAlign w:val="center"/>
          </w:tcPr>
          <w:p>
            <w:pPr>
              <w:spacing w:after="0"/>
            </w:pPr>
            <w:r>
              <w:rPr>
                <w:rFonts w:ascii="Calibri" w:hAnsi="Calibri"/>
                <w:b w:val="0"/>
                <w:i w:val="0"/>
                <w:color w:val="263442"/>
                <w:sz w:val="17"/>
              </w:rPr>
              <w:t>Confirmed transactions completed without manual field-by-field entry</w:t>
            </w:r>
          </w:p>
        </w:tc>
        <w:tc>
          <w:tcPr>
            <w:tcW w:type="dxa" w:w="3060"/>
            <w:tcMar>
              <w:top w:w="80" w:type="dxa"/>
              <w:start w:w="120" w:type="dxa"/>
              <w:bottom w:w="80" w:type="dxa"/>
              <w:end w:w="120" w:type="dxa"/>
            </w:tcMar>
            <w:vAlign w:val="center"/>
          </w:tcPr>
          <w:p>
            <w:pPr>
              <w:spacing w:after="0"/>
            </w:pPr>
            <w:r>
              <w:rPr>
                <w:rFonts w:ascii="Calibri" w:hAnsi="Calibri"/>
                <w:b w:val="0"/>
                <w:i w:val="0"/>
                <w:color w:val="263442"/>
                <w:sz w:val="17"/>
              </w:rPr>
              <w:t>Increase</w:t>
            </w:r>
          </w:p>
        </w:tc>
      </w:tr>
      <w:tr>
        <w:tc>
          <w:tcPr>
            <w:tcW w:type="dxa" w:w="2700"/>
            <w:tcMar>
              <w:top w:w="80" w:type="dxa"/>
              <w:start w:w="120" w:type="dxa"/>
              <w:bottom w:w="80" w:type="dxa"/>
              <w:end w:w="120" w:type="dxa"/>
            </w:tcMar>
            <w:vAlign w:val="center"/>
          </w:tcPr>
          <w:p>
            <w:pPr>
              <w:spacing w:after="0"/>
            </w:pPr>
            <w:r>
              <w:rPr>
                <w:rFonts w:ascii="Calibri" w:hAnsi="Calibri"/>
                <w:b w:val="0"/>
                <w:i w:val="0"/>
                <w:color w:val="263442"/>
                <w:sz w:val="17"/>
              </w:rPr>
              <w:t>User trust</w:t>
            </w:r>
          </w:p>
        </w:tc>
        <w:tc>
          <w:tcPr>
            <w:tcW w:type="dxa" w:w="3600"/>
            <w:tcMar>
              <w:top w:w="80" w:type="dxa"/>
              <w:start w:w="120" w:type="dxa"/>
              <w:bottom w:w="80" w:type="dxa"/>
              <w:end w:w="120" w:type="dxa"/>
            </w:tcMar>
            <w:vAlign w:val="center"/>
          </w:tcPr>
          <w:p>
            <w:pPr>
              <w:spacing w:after="0"/>
            </w:pPr>
            <w:r>
              <w:rPr>
                <w:rFonts w:ascii="Calibri" w:hAnsi="Calibri"/>
                <w:b w:val="0"/>
                <w:i w:val="0"/>
                <w:color w:val="263442"/>
                <w:sz w:val="17"/>
              </w:rPr>
              <w:t>Correction rate after confirmation; disputed story rate</w:t>
            </w:r>
          </w:p>
        </w:tc>
        <w:tc>
          <w:tcPr>
            <w:tcW w:type="dxa" w:w="3060"/>
            <w:tcMar>
              <w:top w:w="80" w:type="dxa"/>
              <w:start w:w="120" w:type="dxa"/>
              <w:bottom w:w="80" w:type="dxa"/>
              <w:end w:w="120" w:type="dxa"/>
            </w:tcMar>
            <w:vAlign w:val="center"/>
          </w:tcPr>
          <w:p>
            <w:pPr>
              <w:spacing w:after="0"/>
            </w:pPr>
            <w:r>
              <w:rPr>
                <w:rFonts w:ascii="Calibri" w:hAnsi="Calibri"/>
                <w:b w:val="0"/>
                <w:i w:val="0"/>
                <w:color w:val="263442"/>
                <w:sz w:val="17"/>
              </w:rPr>
              <w:t>Decrease</w:t>
            </w:r>
          </w:p>
        </w:tc>
      </w:tr>
      <w:tr>
        <w:tc>
          <w:tcPr>
            <w:tcW w:type="dxa" w:w="2700"/>
            <w:tcMar>
              <w:top w:w="80" w:type="dxa"/>
              <w:start w:w="120" w:type="dxa"/>
              <w:bottom w:w="80" w:type="dxa"/>
              <w:end w:w="120" w:type="dxa"/>
            </w:tcMar>
            <w:vAlign w:val="center"/>
          </w:tcPr>
          <w:p>
            <w:pPr>
              <w:spacing w:after="0"/>
            </w:pPr>
            <w:r>
              <w:rPr>
                <w:rFonts w:ascii="Calibri" w:hAnsi="Calibri"/>
                <w:b w:val="0"/>
                <w:i w:val="0"/>
                <w:color w:val="263442"/>
                <w:sz w:val="17"/>
              </w:rPr>
              <w:t>Engagement</w:t>
            </w:r>
          </w:p>
        </w:tc>
        <w:tc>
          <w:tcPr>
            <w:tcW w:type="dxa" w:w="3600"/>
            <w:tcMar>
              <w:top w:w="80" w:type="dxa"/>
              <w:start w:w="120" w:type="dxa"/>
              <w:bottom w:w="80" w:type="dxa"/>
              <w:end w:w="120" w:type="dxa"/>
            </w:tcMar>
            <w:vAlign w:val="center"/>
          </w:tcPr>
          <w:p>
            <w:pPr>
              <w:spacing w:after="0"/>
            </w:pPr>
            <w:r>
              <w:rPr>
                <w:rFonts w:ascii="Calibri" w:hAnsi="Calibri"/>
                <w:b w:val="0"/>
                <w:i w:val="0"/>
                <w:color w:val="263442"/>
                <w:sz w:val="17"/>
              </w:rPr>
              <w:t>Weekly return to stories/calendar</w:t>
            </w:r>
          </w:p>
        </w:tc>
        <w:tc>
          <w:tcPr>
            <w:tcW w:type="dxa" w:w="3060"/>
            <w:tcMar>
              <w:top w:w="80" w:type="dxa"/>
              <w:start w:w="120" w:type="dxa"/>
              <w:bottom w:w="80" w:type="dxa"/>
              <w:end w:w="120" w:type="dxa"/>
            </w:tcMar>
            <w:vAlign w:val="center"/>
          </w:tcPr>
          <w:p>
            <w:pPr>
              <w:spacing w:after="0"/>
            </w:pPr>
            <w:r>
              <w:rPr>
                <w:rFonts w:ascii="Calibri" w:hAnsi="Calibri"/>
                <w:b w:val="0"/>
                <w:i w:val="0"/>
                <w:color w:val="263442"/>
                <w:sz w:val="17"/>
              </w:rPr>
              <w:t>Increase</w:t>
            </w:r>
          </w:p>
        </w:tc>
      </w:tr>
      <w:tr>
        <w:tc>
          <w:tcPr>
            <w:tcW w:type="dxa" w:w="2700"/>
            <w:tcMar>
              <w:top w:w="80" w:type="dxa"/>
              <w:start w:w="120" w:type="dxa"/>
              <w:bottom w:w="80" w:type="dxa"/>
              <w:end w:w="120" w:type="dxa"/>
            </w:tcMar>
            <w:vAlign w:val="center"/>
          </w:tcPr>
          <w:p>
            <w:pPr>
              <w:spacing w:after="0"/>
            </w:pPr>
            <w:r>
              <w:rPr>
                <w:rFonts w:ascii="Calibri" w:hAnsi="Calibri"/>
                <w:b w:val="0"/>
                <w:i w:val="0"/>
                <w:color w:val="263442"/>
                <w:sz w:val="17"/>
              </w:rPr>
              <w:t>Data quality</w:t>
            </w:r>
          </w:p>
        </w:tc>
        <w:tc>
          <w:tcPr>
            <w:tcW w:type="dxa" w:w="3600"/>
            <w:tcMar>
              <w:top w:w="80" w:type="dxa"/>
              <w:start w:w="120" w:type="dxa"/>
              <w:bottom w:w="80" w:type="dxa"/>
              <w:end w:w="120" w:type="dxa"/>
            </w:tcMar>
            <w:vAlign w:val="center"/>
          </w:tcPr>
          <w:p>
            <w:pPr>
              <w:spacing w:after="0"/>
            </w:pPr>
            <w:r>
              <w:rPr>
                <w:rFonts w:ascii="Calibri" w:hAnsi="Calibri"/>
                <w:b w:val="0"/>
                <w:i w:val="0"/>
                <w:color w:val="263442"/>
                <w:sz w:val="17"/>
              </w:rPr>
              <w:t>Transactions with complete core fields</w:t>
            </w:r>
          </w:p>
        </w:tc>
        <w:tc>
          <w:tcPr>
            <w:tcW w:type="dxa" w:w="3060"/>
            <w:tcMar>
              <w:top w:w="80" w:type="dxa"/>
              <w:start w:w="120" w:type="dxa"/>
              <w:bottom w:w="80" w:type="dxa"/>
              <w:end w:w="120" w:type="dxa"/>
            </w:tcMar>
            <w:vAlign w:val="center"/>
          </w:tcPr>
          <w:p>
            <w:pPr>
              <w:spacing w:after="0"/>
            </w:pPr>
            <w:r>
              <w:rPr>
                <w:rFonts w:ascii="Calibri" w:hAnsi="Calibri"/>
                <w:b w:val="0"/>
                <w:i w:val="0"/>
                <w:color w:val="263442"/>
                <w:sz w:val="17"/>
              </w:rPr>
              <w:t>Increase</w:t>
            </w:r>
          </w:p>
        </w:tc>
      </w:tr>
      <w:tr>
        <w:tc>
          <w:tcPr>
            <w:tcW w:type="dxa" w:w="2700"/>
            <w:tcMar>
              <w:top w:w="80" w:type="dxa"/>
              <w:start w:w="120" w:type="dxa"/>
              <w:bottom w:w="80" w:type="dxa"/>
              <w:end w:w="120" w:type="dxa"/>
            </w:tcMar>
            <w:vAlign w:val="center"/>
          </w:tcPr>
          <w:p>
            <w:pPr>
              <w:spacing w:after="0"/>
            </w:pPr>
            <w:r>
              <w:rPr>
                <w:rFonts w:ascii="Calibri" w:hAnsi="Calibri"/>
                <w:b w:val="0"/>
                <w:i w:val="0"/>
                <w:color w:val="263442"/>
                <w:sz w:val="17"/>
              </w:rPr>
              <w:t>Story value</w:t>
            </w:r>
          </w:p>
        </w:tc>
        <w:tc>
          <w:tcPr>
            <w:tcW w:type="dxa" w:w="3600"/>
            <w:tcMar>
              <w:top w:w="80" w:type="dxa"/>
              <w:start w:w="120" w:type="dxa"/>
              <w:bottom w:w="80" w:type="dxa"/>
              <w:end w:w="120" w:type="dxa"/>
            </w:tcMar>
            <w:vAlign w:val="center"/>
          </w:tcPr>
          <w:p>
            <w:pPr>
              <w:spacing w:after="0"/>
            </w:pPr>
            <w:r>
              <w:rPr>
                <w:rFonts w:ascii="Calibri" w:hAnsi="Calibri"/>
                <w:b w:val="0"/>
                <w:i w:val="0"/>
                <w:color w:val="263442"/>
                <w:sz w:val="17"/>
              </w:rPr>
              <w:t>Story opens and supporting-evidence views</w:t>
            </w:r>
          </w:p>
        </w:tc>
        <w:tc>
          <w:tcPr>
            <w:tcW w:type="dxa" w:w="3060"/>
            <w:tcMar>
              <w:top w:w="80" w:type="dxa"/>
              <w:start w:w="120" w:type="dxa"/>
              <w:bottom w:w="80" w:type="dxa"/>
              <w:end w:w="120" w:type="dxa"/>
            </w:tcMar>
            <w:vAlign w:val="center"/>
          </w:tcPr>
          <w:p>
            <w:pPr>
              <w:spacing w:after="0"/>
            </w:pPr>
            <w:r>
              <w:rPr>
                <w:rFonts w:ascii="Calibri" w:hAnsi="Calibri"/>
                <w:b w:val="0"/>
                <w:i w:val="0"/>
                <w:color w:val="263442"/>
                <w:sz w:val="17"/>
              </w:rPr>
              <w:t>Increase</w:t>
            </w:r>
          </w:p>
        </w:tc>
      </w:tr>
    </w:tbl>
    <w:p>
      <w:pPr>
        <w:spacing w:after="0"/>
      </w:pPr>
    </w:p>
    <w:p>
      <w:r>
        <w:rPr>
          <w:rFonts w:ascii="Calibri" w:hAnsi="Calibri"/>
          <w:b/>
          <w:i w:val="0"/>
          <w:color w:val="263442"/>
          <w:sz w:val="20"/>
        </w:rPr>
        <w:t>Numeric targets</w:t>
      </w:r>
      <w:r>
        <w:rPr>
          <w:rFonts w:ascii="Calibri" w:hAnsi="Calibri"/>
          <w:b w:val="0"/>
          <w:i w:val="0"/>
          <w:color w:val="263442"/>
          <w:sz w:val="20"/>
        </w:rPr>
        <w:t xml:space="preserve"> should be baselined during pilot testing before external launch.</w:t>
      </w:r>
    </w:p>
    <w:p>
      <w:r>
        <w:br w:type="page"/>
      </w:r>
    </w:p>
    <w:p>
      <w:pPr>
        <w:spacing w:after="60"/>
      </w:pPr>
      <w:r>
        <w:rPr>
          <w:rFonts w:ascii="Calibri" w:hAnsi="Calibri"/>
          <w:b/>
          <w:i w:val="0"/>
          <w:color w:val="C9962B"/>
          <w:sz w:val="18"/>
        </w:rPr>
        <w:t>BUSINESS REQUIREMENTS DOCUMENT · 2 OF 4</w:t>
      </w:r>
    </w:p>
    <w:p>
      <w:pPr>
        <w:spacing w:after="100"/>
      </w:pPr>
      <w:r>
        <w:rPr>
          <w:rFonts w:ascii="Calibri" w:hAnsi="Calibri"/>
          <w:b/>
          <w:i w:val="0"/>
          <w:color w:val="17324D"/>
          <w:sz w:val="46"/>
        </w:rPr>
        <w:t>Users, journeys and MVP scope</w:t>
      </w:r>
    </w:p>
    <w:p>
      <w:pPr>
        <w:spacing w:after="160"/>
        <w:pBdr>
          <w:bottom w:val="single" w:sz="10" w:color="2E74B5"/>
        </w:pBdr>
      </w:pPr>
    </w:p>
    <w:p>
      <w:pPr>
        <w:pStyle w:val="Heading2"/>
      </w:pPr>
      <w:r>
        <w:t>5. Primary user and jobs to be done</w:t>
      </w:r>
    </w:p>
    <w:p>
      <w:r>
        <w:rPr>
          <w:rFonts w:ascii="Calibri" w:hAnsi="Calibri"/>
          <w:b w:val="0"/>
          <w:i w:val="0"/>
          <w:color w:val="263442"/>
          <w:sz w:val="20"/>
        </w:rPr>
        <w:t>The primary user is a mobile-first individual who wants financial awareness but does not consistently maintain a budgeting app. They need to record an expense quickly, understand patterns without analysis work, verify why an insight exists, and repair missing or incorrect history in a familiar channel.</w:t>
      </w:r>
    </w:p>
    <w:p>
      <w:pPr>
        <w:pStyle w:val="Heading2"/>
      </w:pPr>
      <w:r>
        <w:t>6. Core end-to-end journey</w:t>
      </w:r>
    </w:p>
    <w:tbl>
      <w:tblPr>
        <w:tblStyle w:val="TableGrid"/>
        <w:tblW w:type="dxa" w:w="9360"/>
        <w:jc w:val="left"/>
        <w:tblLayout w:type="fixed"/>
        <w:tblLook w:firstColumn="1" w:firstRow="1" w:lastColumn="0" w:lastRow="0" w:noHBand="0" w:noVBand="1" w:val="04A0"/>
        <w:tblInd w:w="120" w:type="dxa"/>
      </w:tblPr>
      <w:tblGrid>
        <w:gridCol w:w="1500"/>
        <w:gridCol w:w="3300"/>
        <w:gridCol w:w="4560"/>
      </w:tblGrid>
      <w:tr>
        <w:trPr>
          <w:tblHeader w:val="true"/>
        </w:trPr>
        <w:tc>
          <w:tcPr>
            <w:tcW w:type="dxa" w:w="1500"/>
            <w:shd w:fill="17324D"/>
            <w:tcMar>
              <w:top w:w="80" w:type="dxa"/>
              <w:start w:w="120" w:type="dxa"/>
              <w:bottom w:w="80" w:type="dxa"/>
              <w:end w:w="120" w:type="dxa"/>
            </w:tcMar>
            <w:vAlign w:val="center"/>
          </w:tcPr>
          <w:p>
            <w:pPr>
              <w:spacing w:after="0"/>
            </w:pPr>
            <w:r>
              <w:rPr>
                <w:rFonts w:ascii="Calibri" w:hAnsi="Calibri"/>
                <w:b/>
                <w:i w:val="0"/>
                <w:color w:val="FFFFFF"/>
                <w:sz w:val="18"/>
              </w:rPr>
              <w:t>Stage</w:t>
            </w:r>
          </w:p>
        </w:tc>
        <w:tc>
          <w:tcPr>
            <w:tcW w:type="dxa" w:w="3300"/>
            <w:shd w:fill="17324D"/>
            <w:tcMar>
              <w:top w:w="80" w:type="dxa"/>
              <w:start w:w="120" w:type="dxa"/>
              <w:bottom w:w="80" w:type="dxa"/>
              <w:end w:w="120" w:type="dxa"/>
            </w:tcMar>
            <w:vAlign w:val="center"/>
          </w:tcPr>
          <w:p>
            <w:pPr>
              <w:spacing w:after="0"/>
            </w:pPr>
            <w:r>
              <w:rPr>
                <w:rFonts w:ascii="Calibri" w:hAnsi="Calibri"/>
                <w:b/>
                <w:i w:val="0"/>
                <w:color w:val="FFFFFF"/>
                <w:sz w:val="18"/>
              </w:rPr>
              <w:t>User experience</w:t>
            </w:r>
          </w:p>
        </w:tc>
        <w:tc>
          <w:tcPr>
            <w:tcW w:type="dxa" w:w="4560"/>
            <w:shd w:fill="17324D"/>
            <w:tcMar>
              <w:top w:w="80" w:type="dxa"/>
              <w:start w:w="120" w:type="dxa"/>
              <w:bottom w:w="80" w:type="dxa"/>
              <w:end w:w="120" w:type="dxa"/>
            </w:tcMar>
            <w:vAlign w:val="center"/>
          </w:tcPr>
          <w:p>
            <w:pPr>
              <w:spacing w:after="0"/>
            </w:pPr>
            <w:r>
              <w:rPr>
                <w:rFonts w:ascii="Calibri" w:hAnsi="Calibri"/>
                <w:b/>
                <w:i w:val="0"/>
                <w:color w:val="FFFFFF"/>
                <w:sz w:val="18"/>
              </w:rPr>
              <w:t>System responsibility</w:t>
            </w:r>
          </w:p>
        </w:tc>
      </w:tr>
      <w:tr>
        <w:tc>
          <w:tcPr>
            <w:tcW w:type="dxa" w:w="1500"/>
            <w:tcMar>
              <w:top w:w="80" w:type="dxa"/>
              <w:start w:w="120" w:type="dxa"/>
              <w:bottom w:w="80" w:type="dxa"/>
              <w:end w:w="120" w:type="dxa"/>
            </w:tcMar>
            <w:vAlign w:val="center"/>
          </w:tcPr>
          <w:p>
            <w:pPr>
              <w:spacing w:after="0"/>
            </w:pPr>
            <w:r>
              <w:rPr>
                <w:rFonts w:ascii="Calibri" w:hAnsi="Calibri"/>
                <w:b w:val="0"/>
                <w:i w:val="0"/>
                <w:color w:val="263442"/>
                <w:sz w:val="17"/>
              </w:rPr>
              <w:t>Capture</w:t>
            </w:r>
          </w:p>
        </w:tc>
        <w:tc>
          <w:tcPr>
            <w:tcW w:type="dxa" w:w="3300"/>
            <w:tcMar>
              <w:top w:w="80" w:type="dxa"/>
              <w:start w:w="120" w:type="dxa"/>
              <w:bottom w:w="80" w:type="dxa"/>
              <w:end w:w="120" w:type="dxa"/>
            </w:tcMar>
            <w:vAlign w:val="center"/>
          </w:tcPr>
          <w:p>
            <w:pPr>
              <w:spacing w:after="0"/>
            </w:pPr>
            <w:r>
              <w:rPr>
                <w:rFonts w:ascii="Calibri" w:hAnsi="Calibri"/>
                <w:b w:val="0"/>
                <w:i w:val="0"/>
                <w:color w:val="263442"/>
                <w:sz w:val="17"/>
              </w:rPr>
              <w:t>Send text or voice in WhatsApp</w:t>
            </w:r>
          </w:p>
        </w:tc>
        <w:tc>
          <w:tcPr>
            <w:tcW w:type="dxa" w:w="4560"/>
            <w:tcMar>
              <w:top w:w="80" w:type="dxa"/>
              <w:start w:w="120" w:type="dxa"/>
              <w:bottom w:w="80" w:type="dxa"/>
              <w:end w:w="120" w:type="dxa"/>
            </w:tcMar>
            <w:vAlign w:val="center"/>
          </w:tcPr>
          <w:p>
            <w:pPr>
              <w:spacing w:after="0"/>
            </w:pPr>
            <w:r>
              <w:rPr>
                <w:rFonts w:ascii="Calibri" w:hAnsi="Calibri"/>
                <w:b w:val="0"/>
                <w:i w:val="0"/>
                <w:color w:val="263442"/>
                <w:sz w:val="17"/>
              </w:rPr>
              <w:t>Extract structured fields and preserve source context</w:t>
            </w:r>
          </w:p>
        </w:tc>
      </w:tr>
      <w:tr>
        <w:tc>
          <w:tcPr>
            <w:tcW w:type="dxa" w:w="1500"/>
            <w:tcMar>
              <w:top w:w="80" w:type="dxa"/>
              <w:start w:w="120" w:type="dxa"/>
              <w:bottom w:w="80" w:type="dxa"/>
              <w:end w:w="120" w:type="dxa"/>
            </w:tcMar>
            <w:vAlign w:val="center"/>
          </w:tcPr>
          <w:p>
            <w:pPr>
              <w:spacing w:after="0"/>
            </w:pPr>
            <w:r>
              <w:rPr>
                <w:rFonts w:ascii="Calibri" w:hAnsi="Calibri"/>
                <w:b w:val="0"/>
                <w:i w:val="0"/>
                <w:color w:val="263442"/>
                <w:sz w:val="17"/>
              </w:rPr>
              <w:t>Confirm</w:t>
            </w:r>
          </w:p>
        </w:tc>
        <w:tc>
          <w:tcPr>
            <w:tcW w:type="dxa" w:w="3300"/>
            <w:tcMar>
              <w:top w:w="80" w:type="dxa"/>
              <w:start w:w="120" w:type="dxa"/>
              <w:bottom w:w="80" w:type="dxa"/>
              <w:end w:w="120" w:type="dxa"/>
            </w:tcMar>
            <w:vAlign w:val="center"/>
          </w:tcPr>
          <w:p>
            <w:pPr>
              <w:spacing w:after="0"/>
            </w:pPr>
            <w:r>
              <w:rPr>
                <w:rFonts w:ascii="Calibri" w:hAnsi="Calibri"/>
                <w:b w:val="0"/>
                <w:i w:val="0"/>
                <w:color w:val="263442"/>
                <w:sz w:val="17"/>
              </w:rPr>
              <w:t>Review interpreted transaction</w:t>
            </w:r>
          </w:p>
        </w:tc>
        <w:tc>
          <w:tcPr>
            <w:tcW w:type="dxa" w:w="4560"/>
            <w:tcMar>
              <w:top w:w="80" w:type="dxa"/>
              <w:start w:w="120" w:type="dxa"/>
              <w:bottom w:w="80" w:type="dxa"/>
              <w:end w:w="120" w:type="dxa"/>
            </w:tcMar>
            <w:vAlign w:val="center"/>
          </w:tcPr>
          <w:p>
            <w:pPr>
              <w:spacing w:after="0"/>
            </w:pPr>
            <w:r>
              <w:rPr>
                <w:rFonts w:ascii="Calibri" w:hAnsi="Calibri"/>
                <w:b w:val="0"/>
                <w:i w:val="0"/>
                <w:color w:val="263442"/>
                <w:sz w:val="17"/>
              </w:rPr>
              <w:t>Show ambiguity; save only after explicit confirmation</w:t>
            </w:r>
          </w:p>
        </w:tc>
      </w:tr>
      <w:tr>
        <w:tc>
          <w:tcPr>
            <w:tcW w:type="dxa" w:w="1500"/>
            <w:tcMar>
              <w:top w:w="80" w:type="dxa"/>
              <w:start w:w="120" w:type="dxa"/>
              <w:bottom w:w="80" w:type="dxa"/>
              <w:end w:w="120" w:type="dxa"/>
            </w:tcMar>
            <w:vAlign w:val="center"/>
          </w:tcPr>
          <w:p>
            <w:pPr>
              <w:spacing w:after="0"/>
            </w:pPr>
            <w:r>
              <w:rPr>
                <w:rFonts w:ascii="Calibri" w:hAnsi="Calibri"/>
                <w:b w:val="0"/>
                <w:i w:val="0"/>
                <w:color w:val="263442"/>
                <w:sz w:val="17"/>
              </w:rPr>
              <w:t>Discover</w:t>
            </w:r>
          </w:p>
        </w:tc>
        <w:tc>
          <w:tcPr>
            <w:tcW w:type="dxa" w:w="3300"/>
            <w:tcMar>
              <w:top w:w="80" w:type="dxa"/>
              <w:start w:w="120" w:type="dxa"/>
              <w:bottom w:w="80" w:type="dxa"/>
              <w:end w:w="120" w:type="dxa"/>
            </w:tcMar>
            <w:vAlign w:val="center"/>
          </w:tcPr>
          <w:p>
            <w:pPr>
              <w:spacing w:after="0"/>
            </w:pPr>
            <w:r>
              <w:rPr>
                <w:rFonts w:ascii="Calibri" w:hAnsi="Calibri"/>
                <w:b w:val="0"/>
                <w:i w:val="0"/>
                <w:color w:val="263442"/>
                <w:sz w:val="17"/>
              </w:rPr>
              <w:t>Open portal and view recent activity/story cards</w:t>
            </w:r>
          </w:p>
        </w:tc>
        <w:tc>
          <w:tcPr>
            <w:tcW w:type="dxa" w:w="4560"/>
            <w:tcMar>
              <w:top w:w="80" w:type="dxa"/>
              <w:start w:w="120" w:type="dxa"/>
              <w:bottom w:w="80" w:type="dxa"/>
              <w:end w:w="120" w:type="dxa"/>
            </w:tcMar>
            <w:vAlign w:val="center"/>
          </w:tcPr>
          <w:p>
            <w:pPr>
              <w:spacing w:after="0"/>
            </w:pPr>
            <w:r>
              <w:rPr>
                <w:rFonts w:ascii="Calibri" w:hAnsi="Calibri"/>
                <w:b w:val="0"/>
                <w:i w:val="0"/>
                <w:color w:val="263442"/>
                <w:sz w:val="17"/>
              </w:rPr>
              <w:t>Generate only evidence-supported insights</w:t>
            </w:r>
          </w:p>
        </w:tc>
      </w:tr>
      <w:tr>
        <w:tc>
          <w:tcPr>
            <w:tcW w:type="dxa" w:w="1500"/>
            <w:tcMar>
              <w:top w:w="80" w:type="dxa"/>
              <w:start w:w="120" w:type="dxa"/>
              <w:bottom w:w="80" w:type="dxa"/>
              <w:end w:w="120" w:type="dxa"/>
            </w:tcMar>
            <w:vAlign w:val="center"/>
          </w:tcPr>
          <w:p>
            <w:pPr>
              <w:spacing w:after="0"/>
            </w:pPr>
            <w:r>
              <w:rPr>
                <w:rFonts w:ascii="Calibri" w:hAnsi="Calibri"/>
                <w:b w:val="0"/>
                <w:i w:val="0"/>
                <w:color w:val="263442"/>
                <w:sz w:val="17"/>
              </w:rPr>
              <w:t>Inspect</w:t>
            </w:r>
          </w:p>
        </w:tc>
        <w:tc>
          <w:tcPr>
            <w:tcW w:type="dxa" w:w="3300"/>
            <w:tcMar>
              <w:top w:w="80" w:type="dxa"/>
              <w:start w:w="120" w:type="dxa"/>
              <w:bottom w:w="80" w:type="dxa"/>
              <w:end w:w="120" w:type="dxa"/>
            </w:tcMar>
            <w:vAlign w:val="center"/>
          </w:tcPr>
          <w:p>
            <w:pPr>
              <w:spacing w:after="0"/>
            </w:pPr>
            <w:r>
              <w:rPr>
                <w:rFonts w:ascii="Calibri" w:hAnsi="Calibri"/>
                <w:b w:val="0"/>
                <w:i w:val="0"/>
                <w:color w:val="263442"/>
                <w:sz w:val="17"/>
              </w:rPr>
              <w:t>Open story or calendar day</w:t>
            </w:r>
          </w:p>
        </w:tc>
        <w:tc>
          <w:tcPr>
            <w:tcW w:type="dxa" w:w="4560"/>
            <w:tcMar>
              <w:top w:w="80" w:type="dxa"/>
              <w:start w:w="120" w:type="dxa"/>
              <w:bottom w:w="80" w:type="dxa"/>
              <w:end w:w="120" w:type="dxa"/>
            </w:tcMar>
            <w:vAlign w:val="center"/>
          </w:tcPr>
          <w:p>
            <w:pPr>
              <w:spacing w:after="0"/>
            </w:pPr>
            <w:r>
              <w:rPr>
                <w:rFonts w:ascii="Calibri" w:hAnsi="Calibri"/>
                <w:b w:val="0"/>
                <w:i w:val="0"/>
                <w:color w:val="263442"/>
                <w:sz w:val="17"/>
              </w:rPr>
              <w:t>Show comparison and supporting transactions</w:t>
            </w:r>
          </w:p>
        </w:tc>
      </w:tr>
      <w:tr>
        <w:tc>
          <w:tcPr>
            <w:tcW w:type="dxa" w:w="1500"/>
            <w:tcMar>
              <w:top w:w="80" w:type="dxa"/>
              <w:start w:w="120" w:type="dxa"/>
              <w:bottom w:w="80" w:type="dxa"/>
              <w:end w:w="120" w:type="dxa"/>
            </w:tcMar>
            <w:vAlign w:val="center"/>
          </w:tcPr>
          <w:p>
            <w:pPr>
              <w:spacing w:after="0"/>
            </w:pPr>
            <w:r>
              <w:rPr>
                <w:rFonts w:ascii="Calibri" w:hAnsi="Calibri"/>
                <w:b w:val="0"/>
                <w:i w:val="0"/>
                <w:color w:val="263442"/>
                <w:sz w:val="17"/>
              </w:rPr>
              <w:t>Correct</w:t>
            </w:r>
          </w:p>
        </w:tc>
        <w:tc>
          <w:tcPr>
            <w:tcW w:type="dxa" w:w="3300"/>
            <w:tcMar>
              <w:top w:w="80" w:type="dxa"/>
              <w:start w:w="120" w:type="dxa"/>
              <w:bottom w:w="80" w:type="dxa"/>
              <w:end w:w="120" w:type="dxa"/>
            </w:tcMar>
            <w:vAlign w:val="center"/>
          </w:tcPr>
          <w:p>
            <w:pPr>
              <w:spacing w:after="0"/>
            </w:pPr>
            <w:r>
              <w:rPr>
                <w:rFonts w:ascii="Calibri" w:hAnsi="Calibri"/>
                <w:b w:val="0"/>
                <w:i w:val="0"/>
                <w:color w:val="263442"/>
                <w:sz w:val="17"/>
              </w:rPr>
              <w:t>Choose add/edit and return to WhatsApp</w:t>
            </w:r>
          </w:p>
        </w:tc>
        <w:tc>
          <w:tcPr>
            <w:tcW w:type="dxa" w:w="4560"/>
            <w:tcMar>
              <w:top w:w="80" w:type="dxa"/>
              <w:start w:w="120" w:type="dxa"/>
              <w:bottom w:w="80" w:type="dxa"/>
              <w:end w:w="120" w:type="dxa"/>
            </w:tcMar>
            <w:vAlign w:val="center"/>
          </w:tcPr>
          <w:p>
            <w:pPr>
              <w:spacing w:after="0"/>
            </w:pPr>
            <w:r>
              <w:rPr>
                <w:rFonts w:ascii="Calibri" w:hAnsi="Calibri"/>
                <w:b w:val="0"/>
                <w:i w:val="0"/>
                <w:color w:val="263442"/>
                <w:sz w:val="17"/>
              </w:rPr>
              <w:t>Attach trusted, expiring backend context</w:t>
            </w:r>
          </w:p>
        </w:tc>
      </w:tr>
      <w:tr>
        <w:tc>
          <w:tcPr>
            <w:tcW w:type="dxa" w:w="1500"/>
            <w:tcMar>
              <w:top w:w="80" w:type="dxa"/>
              <w:start w:w="120" w:type="dxa"/>
              <w:bottom w:w="80" w:type="dxa"/>
              <w:end w:w="120" w:type="dxa"/>
            </w:tcMar>
            <w:vAlign w:val="center"/>
          </w:tcPr>
          <w:p>
            <w:pPr>
              <w:spacing w:after="0"/>
            </w:pPr>
            <w:r>
              <w:rPr>
                <w:rFonts w:ascii="Calibri" w:hAnsi="Calibri"/>
                <w:b w:val="0"/>
                <w:i w:val="0"/>
                <w:color w:val="263442"/>
                <w:sz w:val="17"/>
              </w:rPr>
              <w:t>Refresh</w:t>
            </w:r>
          </w:p>
        </w:tc>
        <w:tc>
          <w:tcPr>
            <w:tcW w:type="dxa" w:w="3300"/>
            <w:tcMar>
              <w:top w:w="80" w:type="dxa"/>
              <w:start w:w="120" w:type="dxa"/>
              <w:bottom w:w="80" w:type="dxa"/>
              <w:end w:w="120" w:type="dxa"/>
            </w:tcMar>
            <w:vAlign w:val="center"/>
          </w:tcPr>
          <w:p>
            <w:pPr>
              <w:spacing w:after="0"/>
            </w:pPr>
            <w:r>
              <w:rPr>
                <w:rFonts w:ascii="Calibri" w:hAnsi="Calibri"/>
                <w:b w:val="0"/>
                <w:i w:val="0"/>
                <w:color w:val="263442"/>
                <w:sz w:val="17"/>
              </w:rPr>
              <w:t>Return to updated portal</w:t>
            </w:r>
          </w:p>
        </w:tc>
        <w:tc>
          <w:tcPr>
            <w:tcW w:type="dxa" w:w="4560"/>
            <w:tcMar>
              <w:top w:w="80" w:type="dxa"/>
              <w:start w:w="120" w:type="dxa"/>
              <w:bottom w:w="80" w:type="dxa"/>
              <w:end w:w="120" w:type="dxa"/>
            </w:tcMar>
            <w:vAlign w:val="center"/>
          </w:tcPr>
          <w:p>
            <w:pPr>
              <w:spacing w:after="0"/>
            </w:pPr>
            <w:r>
              <w:rPr>
                <w:rFonts w:ascii="Calibri" w:hAnsi="Calibri"/>
                <w:b w:val="0"/>
                <w:i w:val="0"/>
                <w:color w:val="263442"/>
                <w:sz w:val="17"/>
              </w:rPr>
              <w:t>Recompute affected facts and manage story validity</w:t>
            </w:r>
          </w:p>
        </w:tc>
      </w:tr>
    </w:tbl>
    <w:p>
      <w:pPr>
        <w:spacing w:after="0"/>
      </w:pPr>
    </w:p>
    <w:p>
      <w:pPr>
        <w:pStyle w:val="Heading2"/>
      </w:pPr>
      <w:r>
        <w:t>7. MVP scope</w:t>
      </w:r>
    </w:p>
    <w:p>
      <w:pPr>
        <w:pStyle w:val="ListBullet"/>
      </w:pPr>
      <w:r>
        <w:rPr>
          <w:rFonts w:ascii="Calibri" w:hAnsi="Calibri"/>
          <w:b w:val="0"/>
          <w:i w:val="0"/>
          <w:color w:val="263442"/>
          <w:sz w:val="20"/>
        </w:rPr>
        <w:t>Latest confirmed transaction and chronological activity context.</w:t>
      </w:r>
    </w:p>
    <w:p>
      <w:pPr>
        <w:pStyle w:val="ListBullet"/>
      </w:pPr>
      <w:r>
        <w:rPr>
          <w:rFonts w:ascii="Calibri" w:hAnsi="Calibri"/>
          <w:b w:val="0"/>
          <w:i w:val="0"/>
          <w:color w:val="263442"/>
          <w:sz w:val="20"/>
        </w:rPr>
        <w:t>Progressively appearing Money Story cards, including an honest insufficient-history state.</w:t>
      </w:r>
    </w:p>
    <w:p>
      <w:pPr>
        <w:pStyle w:val="ListBullet"/>
      </w:pPr>
      <w:r>
        <w:rPr>
          <w:rFonts w:ascii="Calibri" w:hAnsi="Calibri"/>
          <w:b w:val="0"/>
          <w:i w:val="0"/>
          <w:color w:val="263442"/>
          <w:sz w:val="20"/>
        </w:rPr>
        <w:t>Expanded story detail with headline, explanation, comparison and supporting transactions.</w:t>
      </w:r>
    </w:p>
    <w:p>
      <w:pPr>
        <w:pStyle w:val="ListBullet"/>
      </w:pPr>
      <w:r>
        <w:rPr>
          <w:rFonts w:ascii="Calibri" w:hAnsi="Calibri"/>
          <w:b w:val="0"/>
          <w:i w:val="0"/>
          <w:color w:val="263442"/>
          <w:sz w:val="20"/>
        </w:rPr>
        <w:t>Monthly spending calendar with previous/next navigation and month–year picker.</w:t>
      </w:r>
    </w:p>
    <w:p>
      <w:pPr>
        <w:pStyle w:val="ListBullet"/>
      </w:pPr>
      <w:r>
        <w:rPr>
          <w:rFonts w:ascii="Calibri" w:hAnsi="Calibri"/>
          <w:b w:val="0"/>
          <w:i w:val="0"/>
          <w:color w:val="263442"/>
          <w:sz w:val="20"/>
        </w:rPr>
        <w:t>Day-level transaction list and portal-based viewing.</w:t>
      </w:r>
    </w:p>
    <w:p>
      <w:pPr>
        <w:pStyle w:val="ListBullet"/>
      </w:pPr>
      <w:r>
        <w:rPr>
          <w:rFonts w:ascii="Calibri" w:hAnsi="Calibri"/>
          <w:b w:val="0"/>
          <w:i w:val="0"/>
          <w:color w:val="263442"/>
          <w:sz w:val="20"/>
        </w:rPr>
        <w:t>WhatsApp handoff for adding a missing transaction or correcting an existing one.</w:t>
      </w:r>
    </w:p>
    <w:p>
      <w:pPr>
        <w:pStyle w:val="ListBullet"/>
      </w:pPr>
      <w:r>
        <w:rPr>
          <w:rFonts w:ascii="Calibri" w:hAnsi="Calibri"/>
          <w:b w:val="0"/>
          <w:i w:val="0"/>
          <w:color w:val="263442"/>
          <w:sz w:val="20"/>
        </w:rPr>
        <w:t>Persistent story archive grouped by relevant period, with validity status handling.</w:t>
      </w:r>
    </w:p>
    <w:p>
      <w:pPr>
        <w:pStyle w:val="Heading2"/>
      </w:pPr>
      <w:r>
        <w:t>8. Explicitly deferred</w:t>
      </w:r>
    </w:p>
    <w:p>
      <w:pPr>
        <w:pStyle w:val="ListBullet"/>
      </w:pPr>
      <w:r>
        <w:rPr>
          <w:rFonts w:ascii="Calibri" w:hAnsi="Calibri"/>
          <w:b w:val="0"/>
          <w:i w:val="0"/>
          <w:color w:val="263442"/>
          <w:sz w:val="20"/>
        </w:rPr>
        <w:t>Full twelve-month heatmap and multi-year navigation.</w:t>
      </w:r>
    </w:p>
    <w:p>
      <w:pPr>
        <w:pStyle w:val="ListBullet"/>
      </w:pPr>
      <w:r>
        <w:rPr>
          <w:rFonts w:ascii="Calibri" w:hAnsi="Calibri"/>
          <w:b w:val="0"/>
          <w:i w:val="0"/>
          <w:color w:val="263442"/>
          <w:sz w:val="20"/>
        </w:rPr>
        <w:t>Year-over-year and seasonal-pattern analysis.</w:t>
      </w:r>
    </w:p>
    <w:p>
      <w:pPr>
        <w:pStyle w:val="ListBullet"/>
      </w:pPr>
      <w:r>
        <w:rPr>
          <w:rFonts w:ascii="Calibri" w:hAnsi="Calibri"/>
          <w:b w:val="0"/>
          <w:i w:val="0"/>
          <w:color w:val="263442"/>
          <w:sz w:val="20"/>
        </w:rPr>
        <w:t>Annual Money Story and advanced forecasting.</w:t>
      </w:r>
    </w:p>
    <w:p>
      <w:pPr>
        <w:pStyle w:val="ListBullet"/>
      </w:pPr>
      <w:r>
        <w:rPr>
          <w:rFonts w:ascii="Calibri" w:hAnsi="Calibri"/>
          <w:b w:val="0"/>
          <w:i w:val="0"/>
          <w:color w:val="263442"/>
          <w:sz w:val="20"/>
        </w:rPr>
        <w:t>Social comparison, public sharing and investment advice.</w:t>
      </w:r>
    </w:p>
    <w:p>
      <w:pPr>
        <w:pStyle w:val="ListBullet"/>
      </w:pPr>
      <w:r>
        <w:rPr>
          <w:rFonts w:ascii="Calibri" w:hAnsi="Calibri"/>
          <w:b w:val="0"/>
          <w:i w:val="0"/>
          <w:color w:val="263442"/>
          <w:sz w:val="20"/>
        </w:rPr>
        <w:t>Complex budgeting, account aggregation or automated bank reconciliation unless separately approved.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EF4F8"/>
          </w:tcPr>
          <w:p>
            <w:pPr>
              <w:spacing w:after="0"/>
            </w:pPr>
            <w:r>
              <w:rPr>
                <w:rFonts w:ascii="Calibri" w:hAnsi="Calibri"/>
                <w:b/>
                <w:i w:val="0"/>
                <w:color w:val="2E74B5"/>
                <w:sz w:val="19"/>
              </w:rPr>
              <w:t xml:space="preserve">SCOPE PRINCIPLE  </w:t>
            </w:r>
            <w:r>
              <w:rPr>
                <w:rFonts w:ascii="Calibri" w:hAnsi="Calibri"/>
                <w:b w:val="0"/>
                <w:i w:val="0"/>
                <w:color w:val="263442"/>
                <w:sz w:val="19"/>
              </w:rPr>
              <w:t>Design the data model and APIs for future yearly views, but do not let annual analytics delay the core capture → understand → correct loop.</w:t>
            </w:r>
          </w:p>
        </w:tc>
      </w:tr>
    </w:tbl>
    <w:p>
      <w:pPr>
        <w:spacing w:after="0"/>
      </w:pPr>
    </w:p>
    <w:p>
      <w:r>
        <w:br w:type="page"/>
      </w:r>
    </w:p>
    <w:p>
      <w:pPr>
        <w:spacing w:after="60"/>
      </w:pPr>
      <w:r>
        <w:rPr>
          <w:rFonts w:ascii="Calibri" w:hAnsi="Calibri"/>
          <w:b/>
          <w:i w:val="0"/>
          <w:color w:val="C9962B"/>
          <w:sz w:val="18"/>
        </w:rPr>
        <w:t>BUSINESS REQUIREMENTS DOCUMENT · 3 OF 4</w:t>
      </w:r>
    </w:p>
    <w:p>
      <w:pPr>
        <w:spacing w:after="100"/>
      </w:pPr>
      <w:r>
        <w:rPr>
          <w:rFonts w:ascii="Calibri" w:hAnsi="Calibri"/>
          <w:b/>
          <w:i w:val="0"/>
          <w:color w:val="17324D"/>
          <w:sz w:val="46"/>
        </w:rPr>
        <w:t>Functional and data requirements</w:t>
      </w:r>
    </w:p>
    <w:p>
      <w:pPr>
        <w:spacing w:after="160"/>
        <w:pBdr>
          <w:bottom w:val="single" w:sz="10" w:color="2E74B5"/>
        </w:pBdr>
      </w:pPr>
    </w:p>
    <w:p>
      <w:pPr>
        <w:pStyle w:val="Heading2"/>
      </w:pPr>
      <w:r>
        <w:t>9. Functional requirements</w:t>
      </w:r>
    </w:p>
    <w:tbl>
      <w:tblPr>
        <w:tblStyle w:val="TableGrid"/>
        <w:tblW w:type="dxa" w:w="9360"/>
        <w:jc w:val="left"/>
        <w:tblLayout w:type="fixed"/>
        <w:tblLook w:firstColumn="1" w:firstRow="1" w:lastColumn="0" w:lastRow="0" w:noHBand="0" w:noVBand="1" w:val="04A0"/>
        <w:tblInd w:w="120" w:type="dxa"/>
      </w:tblPr>
      <w:tblGrid>
        <w:gridCol w:w="850"/>
        <w:gridCol w:w="7260"/>
        <w:gridCol w:w="1250"/>
      </w:tblGrid>
      <w:tr>
        <w:trPr>
          <w:tblHeader w:val="true"/>
        </w:trPr>
        <w:tc>
          <w:tcPr>
            <w:tcW w:type="dxa" w:w="850"/>
            <w:shd w:fill="17324D"/>
            <w:tcMar>
              <w:top w:w="80" w:type="dxa"/>
              <w:start w:w="120" w:type="dxa"/>
              <w:bottom w:w="80" w:type="dxa"/>
              <w:end w:w="120" w:type="dxa"/>
            </w:tcMar>
            <w:vAlign w:val="center"/>
          </w:tcPr>
          <w:p>
            <w:pPr>
              <w:spacing w:after="0"/>
            </w:pPr>
            <w:r>
              <w:rPr>
                <w:rFonts w:ascii="Calibri" w:hAnsi="Calibri"/>
                <w:b/>
                <w:i w:val="0"/>
                <w:color w:val="FFFFFF"/>
                <w:sz w:val="18"/>
              </w:rPr>
              <w:t>ID</w:t>
            </w:r>
          </w:p>
        </w:tc>
        <w:tc>
          <w:tcPr>
            <w:tcW w:type="dxa" w:w="7260"/>
            <w:shd w:fill="17324D"/>
            <w:tcMar>
              <w:top w:w="80" w:type="dxa"/>
              <w:start w:w="120" w:type="dxa"/>
              <w:bottom w:w="80" w:type="dxa"/>
              <w:end w:w="120" w:type="dxa"/>
            </w:tcMar>
            <w:vAlign w:val="center"/>
          </w:tcPr>
          <w:p>
            <w:pPr>
              <w:spacing w:after="0"/>
            </w:pPr>
            <w:r>
              <w:rPr>
                <w:rFonts w:ascii="Calibri" w:hAnsi="Calibri"/>
                <w:b/>
                <w:i w:val="0"/>
                <w:color w:val="FFFFFF"/>
                <w:sz w:val="18"/>
              </w:rPr>
              <w:t>Requirement</w:t>
            </w:r>
          </w:p>
        </w:tc>
        <w:tc>
          <w:tcPr>
            <w:tcW w:type="dxa" w:w="1250"/>
            <w:shd w:fill="17324D"/>
            <w:tcMar>
              <w:top w:w="80" w:type="dxa"/>
              <w:start w:w="120" w:type="dxa"/>
              <w:bottom w:w="80" w:type="dxa"/>
              <w:end w:w="120" w:type="dxa"/>
            </w:tcMar>
            <w:vAlign w:val="center"/>
          </w:tcPr>
          <w:p>
            <w:pPr>
              <w:spacing w:after="0"/>
            </w:pPr>
            <w:r>
              <w:rPr>
                <w:rFonts w:ascii="Calibri" w:hAnsi="Calibri"/>
                <w:b/>
                <w:i w:val="0"/>
                <w:color w:val="FFFFFF"/>
                <w:sz w:val="18"/>
              </w:rPr>
              <w:t>Priority</w:t>
            </w:r>
          </w:p>
        </w:tc>
      </w:tr>
      <w:tr>
        <w:tc>
          <w:tcPr>
            <w:tcW w:type="dxa" w:w="850"/>
            <w:tcMar>
              <w:top w:w="80" w:type="dxa"/>
              <w:start w:w="120" w:type="dxa"/>
              <w:bottom w:w="80" w:type="dxa"/>
              <w:end w:w="120" w:type="dxa"/>
            </w:tcMar>
            <w:vAlign w:val="center"/>
          </w:tcPr>
          <w:p>
            <w:pPr>
              <w:spacing w:after="0"/>
            </w:pPr>
            <w:r>
              <w:rPr>
                <w:rFonts w:ascii="Calibri" w:hAnsi="Calibri"/>
                <w:b w:val="0"/>
                <w:i w:val="0"/>
                <w:color w:val="263442"/>
                <w:sz w:val="17"/>
              </w:rPr>
              <w:t>FR-01</w:t>
            </w:r>
          </w:p>
        </w:tc>
        <w:tc>
          <w:tcPr>
            <w:tcW w:type="dxa" w:w="7260"/>
            <w:tcMar>
              <w:top w:w="80" w:type="dxa"/>
              <w:start w:w="120" w:type="dxa"/>
              <w:bottom w:w="80" w:type="dxa"/>
              <w:end w:w="120" w:type="dxa"/>
            </w:tcMar>
            <w:vAlign w:val="center"/>
          </w:tcPr>
          <w:p>
            <w:pPr>
              <w:spacing w:after="0"/>
            </w:pPr>
            <w:r>
              <w:rPr>
                <w:rFonts w:ascii="Calibri" w:hAnsi="Calibri"/>
                <w:b w:val="0"/>
                <w:i w:val="0"/>
                <w:color w:val="263442"/>
                <w:sz w:val="17"/>
              </w:rPr>
              <w:t>Accept WhatsApp text and voice inputs and extract amount, merchant, date, category and payment source.</w:t>
            </w:r>
          </w:p>
        </w:tc>
        <w:tc>
          <w:tcPr>
            <w:tcW w:type="dxa" w:w="1250"/>
            <w:tcMar>
              <w:top w:w="80" w:type="dxa"/>
              <w:start w:w="120" w:type="dxa"/>
              <w:bottom w:w="80" w:type="dxa"/>
              <w:end w:w="120" w:type="dxa"/>
            </w:tcMar>
            <w:vAlign w:val="center"/>
          </w:tcPr>
          <w:p>
            <w:pPr>
              <w:spacing w:after="0"/>
            </w:pPr>
            <w:r>
              <w:rPr>
                <w:rFonts w:ascii="Calibri" w:hAnsi="Calibri"/>
                <w:b w:val="0"/>
                <w:i w:val="0"/>
                <w:color w:val="263442"/>
                <w:sz w:val="17"/>
              </w:rPr>
              <w:t>Must</w:t>
            </w:r>
          </w:p>
        </w:tc>
      </w:tr>
      <w:tr>
        <w:tc>
          <w:tcPr>
            <w:tcW w:type="dxa" w:w="850"/>
            <w:tcMar>
              <w:top w:w="80" w:type="dxa"/>
              <w:start w:w="120" w:type="dxa"/>
              <w:bottom w:w="80" w:type="dxa"/>
              <w:end w:w="120" w:type="dxa"/>
            </w:tcMar>
            <w:vAlign w:val="center"/>
          </w:tcPr>
          <w:p>
            <w:pPr>
              <w:spacing w:after="0"/>
            </w:pPr>
            <w:r>
              <w:rPr>
                <w:rFonts w:ascii="Calibri" w:hAnsi="Calibri"/>
                <w:b w:val="0"/>
                <w:i w:val="0"/>
                <w:color w:val="263442"/>
                <w:sz w:val="17"/>
              </w:rPr>
              <w:t>FR-02</w:t>
            </w:r>
          </w:p>
        </w:tc>
        <w:tc>
          <w:tcPr>
            <w:tcW w:type="dxa" w:w="7260"/>
            <w:tcMar>
              <w:top w:w="80" w:type="dxa"/>
              <w:start w:w="120" w:type="dxa"/>
              <w:bottom w:w="80" w:type="dxa"/>
              <w:end w:w="120" w:type="dxa"/>
            </w:tcMar>
            <w:vAlign w:val="center"/>
          </w:tcPr>
          <w:p>
            <w:pPr>
              <w:spacing w:after="0"/>
            </w:pPr>
            <w:r>
              <w:rPr>
                <w:rFonts w:ascii="Calibri" w:hAnsi="Calibri"/>
                <w:b w:val="0"/>
                <w:i w:val="0"/>
                <w:color w:val="263442"/>
                <w:sz w:val="17"/>
              </w:rPr>
              <w:t>Present the interpreted transaction for explicit confirmation before saving.</w:t>
            </w:r>
          </w:p>
        </w:tc>
        <w:tc>
          <w:tcPr>
            <w:tcW w:type="dxa" w:w="1250"/>
            <w:tcMar>
              <w:top w:w="80" w:type="dxa"/>
              <w:start w:w="120" w:type="dxa"/>
              <w:bottom w:w="80" w:type="dxa"/>
              <w:end w:w="120" w:type="dxa"/>
            </w:tcMar>
            <w:vAlign w:val="center"/>
          </w:tcPr>
          <w:p>
            <w:pPr>
              <w:spacing w:after="0"/>
            </w:pPr>
            <w:r>
              <w:rPr>
                <w:rFonts w:ascii="Calibri" w:hAnsi="Calibri"/>
                <w:b w:val="0"/>
                <w:i w:val="0"/>
                <w:color w:val="263442"/>
                <w:sz w:val="17"/>
              </w:rPr>
              <w:t>Must</w:t>
            </w:r>
          </w:p>
        </w:tc>
      </w:tr>
      <w:tr>
        <w:tc>
          <w:tcPr>
            <w:tcW w:type="dxa" w:w="850"/>
            <w:tcMar>
              <w:top w:w="80" w:type="dxa"/>
              <w:start w:w="120" w:type="dxa"/>
              <w:bottom w:w="80" w:type="dxa"/>
              <w:end w:w="120" w:type="dxa"/>
            </w:tcMar>
            <w:vAlign w:val="center"/>
          </w:tcPr>
          <w:p>
            <w:pPr>
              <w:spacing w:after="0"/>
            </w:pPr>
            <w:r>
              <w:rPr>
                <w:rFonts w:ascii="Calibri" w:hAnsi="Calibri"/>
                <w:b w:val="0"/>
                <w:i w:val="0"/>
                <w:color w:val="263442"/>
                <w:sz w:val="17"/>
              </w:rPr>
              <w:t>FR-03</w:t>
            </w:r>
          </w:p>
        </w:tc>
        <w:tc>
          <w:tcPr>
            <w:tcW w:type="dxa" w:w="7260"/>
            <w:tcMar>
              <w:top w:w="80" w:type="dxa"/>
              <w:start w:w="120" w:type="dxa"/>
              <w:bottom w:w="80" w:type="dxa"/>
              <w:end w:w="120" w:type="dxa"/>
            </w:tcMar>
            <w:vAlign w:val="center"/>
          </w:tcPr>
          <w:p>
            <w:pPr>
              <w:spacing w:after="0"/>
            </w:pPr>
            <w:r>
              <w:rPr>
                <w:rFonts w:ascii="Calibri" w:hAnsi="Calibri"/>
                <w:b w:val="0"/>
                <w:i w:val="0"/>
                <w:color w:val="263442"/>
                <w:sz w:val="17"/>
              </w:rPr>
              <w:t>Display recent confirmed transactions and emerging Money Stories in the portal.</w:t>
            </w:r>
          </w:p>
        </w:tc>
        <w:tc>
          <w:tcPr>
            <w:tcW w:type="dxa" w:w="1250"/>
            <w:tcMar>
              <w:top w:w="80" w:type="dxa"/>
              <w:start w:w="120" w:type="dxa"/>
              <w:bottom w:w="80" w:type="dxa"/>
              <w:end w:w="120" w:type="dxa"/>
            </w:tcMar>
            <w:vAlign w:val="center"/>
          </w:tcPr>
          <w:p>
            <w:pPr>
              <w:spacing w:after="0"/>
            </w:pPr>
            <w:r>
              <w:rPr>
                <w:rFonts w:ascii="Calibri" w:hAnsi="Calibri"/>
                <w:b w:val="0"/>
                <w:i w:val="0"/>
                <w:color w:val="263442"/>
                <w:sz w:val="17"/>
              </w:rPr>
              <w:t>Must</w:t>
            </w:r>
          </w:p>
        </w:tc>
      </w:tr>
      <w:tr>
        <w:tc>
          <w:tcPr>
            <w:tcW w:type="dxa" w:w="850"/>
            <w:tcMar>
              <w:top w:w="80" w:type="dxa"/>
              <w:start w:w="120" w:type="dxa"/>
              <w:bottom w:w="80" w:type="dxa"/>
              <w:end w:w="120" w:type="dxa"/>
            </w:tcMar>
            <w:vAlign w:val="center"/>
          </w:tcPr>
          <w:p>
            <w:pPr>
              <w:spacing w:after="0"/>
            </w:pPr>
            <w:r>
              <w:rPr>
                <w:rFonts w:ascii="Calibri" w:hAnsi="Calibri"/>
                <w:b w:val="0"/>
                <w:i w:val="0"/>
                <w:color w:val="263442"/>
                <w:sz w:val="17"/>
              </w:rPr>
              <w:t>FR-04</w:t>
            </w:r>
          </w:p>
        </w:tc>
        <w:tc>
          <w:tcPr>
            <w:tcW w:type="dxa" w:w="7260"/>
            <w:tcMar>
              <w:top w:w="80" w:type="dxa"/>
              <w:start w:w="120" w:type="dxa"/>
              <w:bottom w:w="80" w:type="dxa"/>
              <w:end w:w="120" w:type="dxa"/>
            </w:tcMar>
            <w:vAlign w:val="center"/>
          </w:tcPr>
          <w:p>
            <w:pPr>
              <w:spacing w:after="0"/>
            </w:pPr>
            <w:r>
              <w:rPr>
                <w:rFonts w:ascii="Calibri" w:hAnsi="Calibri"/>
                <w:b w:val="0"/>
                <w:i w:val="0"/>
                <w:color w:val="263442"/>
                <w:sz w:val="17"/>
              </w:rPr>
              <w:t>Open a story into explanation, comparison and supporting-transaction evidence.</w:t>
            </w:r>
          </w:p>
        </w:tc>
        <w:tc>
          <w:tcPr>
            <w:tcW w:type="dxa" w:w="1250"/>
            <w:tcMar>
              <w:top w:w="80" w:type="dxa"/>
              <w:start w:w="120" w:type="dxa"/>
              <w:bottom w:w="80" w:type="dxa"/>
              <w:end w:w="120" w:type="dxa"/>
            </w:tcMar>
            <w:vAlign w:val="center"/>
          </w:tcPr>
          <w:p>
            <w:pPr>
              <w:spacing w:after="0"/>
            </w:pPr>
            <w:r>
              <w:rPr>
                <w:rFonts w:ascii="Calibri" w:hAnsi="Calibri"/>
                <w:b w:val="0"/>
                <w:i w:val="0"/>
                <w:color w:val="263442"/>
                <w:sz w:val="17"/>
              </w:rPr>
              <w:t>Must</w:t>
            </w:r>
          </w:p>
        </w:tc>
      </w:tr>
      <w:tr>
        <w:tc>
          <w:tcPr>
            <w:tcW w:type="dxa" w:w="850"/>
            <w:tcMar>
              <w:top w:w="80" w:type="dxa"/>
              <w:start w:w="120" w:type="dxa"/>
              <w:bottom w:w="80" w:type="dxa"/>
              <w:end w:w="120" w:type="dxa"/>
            </w:tcMar>
            <w:vAlign w:val="center"/>
          </w:tcPr>
          <w:p>
            <w:pPr>
              <w:spacing w:after="0"/>
            </w:pPr>
            <w:r>
              <w:rPr>
                <w:rFonts w:ascii="Calibri" w:hAnsi="Calibri"/>
                <w:b w:val="0"/>
                <w:i w:val="0"/>
                <w:color w:val="263442"/>
                <w:sz w:val="17"/>
              </w:rPr>
              <w:t>FR-05</w:t>
            </w:r>
          </w:p>
        </w:tc>
        <w:tc>
          <w:tcPr>
            <w:tcW w:type="dxa" w:w="7260"/>
            <w:tcMar>
              <w:top w:w="80" w:type="dxa"/>
              <w:start w:w="120" w:type="dxa"/>
              <w:bottom w:w="80" w:type="dxa"/>
              <w:end w:w="120" w:type="dxa"/>
            </w:tcMar>
            <w:vAlign w:val="center"/>
          </w:tcPr>
          <w:p>
            <w:pPr>
              <w:spacing w:after="0"/>
            </w:pPr>
            <w:r>
              <w:rPr>
                <w:rFonts w:ascii="Calibri" w:hAnsi="Calibri"/>
                <w:b w:val="0"/>
                <w:i w:val="0"/>
                <w:color w:val="263442"/>
                <w:sz w:val="17"/>
              </w:rPr>
              <w:t>Navigate historical months; disable future periods; select a day to inspect transactions.</w:t>
            </w:r>
          </w:p>
        </w:tc>
        <w:tc>
          <w:tcPr>
            <w:tcW w:type="dxa" w:w="1250"/>
            <w:tcMar>
              <w:top w:w="80" w:type="dxa"/>
              <w:start w:w="120" w:type="dxa"/>
              <w:bottom w:w="80" w:type="dxa"/>
              <w:end w:w="120" w:type="dxa"/>
            </w:tcMar>
            <w:vAlign w:val="center"/>
          </w:tcPr>
          <w:p>
            <w:pPr>
              <w:spacing w:after="0"/>
            </w:pPr>
            <w:r>
              <w:rPr>
                <w:rFonts w:ascii="Calibri" w:hAnsi="Calibri"/>
                <w:b w:val="0"/>
                <w:i w:val="0"/>
                <w:color w:val="263442"/>
                <w:sz w:val="17"/>
              </w:rPr>
              <w:t>Must</w:t>
            </w:r>
          </w:p>
        </w:tc>
      </w:tr>
      <w:tr>
        <w:tc>
          <w:tcPr>
            <w:tcW w:type="dxa" w:w="850"/>
            <w:tcMar>
              <w:top w:w="80" w:type="dxa"/>
              <w:start w:w="120" w:type="dxa"/>
              <w:bottom w:w="80" w:type="dxa"/>
              <w:end w:w="120" w:type="dxa"/>
            </w:tcMar>
            <w:vAlign w:val="center"/>
          </w:tcPr>
          <w:p>
            <w:pPr>
              <w:spacing w:after="0"/>
            </w:pPr>
            <w:r>
              <w:rPr>
                <w:rFonts w:ascii="Calibri" w:hAnsi="Calibri"/>
                <w:b w:val="0"/>
                <w:i w:val="0"/>
                <w:color w:val="263442"/>
                <w:sz w:val="17"/>
              </w:rPr>
              <w:t>FR-06</w:t>
            </w:r>
          </w:p>
        </w:tc>
        <w:tc>
          <w:tcPr>
            <w:tcW w:type="dxa" w:w="7260"/>
            <w:tcMar>
              <w:top w:w="80" w:type="dxa"/>
              <w:start w:w="120" w:type="dxa"/>
              <w:bottom w:w="80" w:type="dxa"/>
              <w:end w:w="120" w:type="dxa"/>
            </w:tcMar>
            <w:vAlign w:val="center"/>
          </w:tcPr>
          <w:p>
            <w:pPr>
              <w:spacing w:after="0"/>
            </w:pPr>
            <w:r>
              <w:rPr>
                <w:rFonts w:ascii="Calibri" w:hAnsi="Calibri"/>
                <w:b w:val="0"/>
                <w:i w:val="0"/>
                <w:color w:val="263442"/>
                <w:sz w:val="17"/>
              </w:rPr>
              <w:t>Create a backend pending context before WhatsApp handoff for add/edit actions.</w:t>
            </w:r>
          </w:p>
        </w:tc>
        <w:tc>
          <w:tcPr>
            <w:tcW w:type="dxa" w:w="1250"/>
            <w:tcMar>
              <w:top w:w="80" w:type="dxa"/>
              <w:start w:w="120" w:type="dxa"/>
              <w:bottom w:w="80" w:type="dxa"/>
              <w:end w:w="120" w:type="dxa"/>
            </w:tcMar>
            <w:vAlign w:val="center"/>
          </w:tcPr>
          <w:p>
            <w:pPr>
              <w:spacing w:after="0"/>
            </w:pPr>
            <w:r>
              <w:rPr>
                <w:rFonts w:ascii="Calibri" w:hAnsi="Calibri"/>
                <w:b w:val="0"/>
                <w:i w:val="0"/>
                <w:color w:val="263442"/>
                <w:sz w:val="17"/>
              </w:rPr>
              <w:t>Must</w:t>
            </w:r>
          </w:p>
        </w:tc>
      </w:tr>
      <w:tr>
        <w:tc>
          <w:tcPr>
            <w:tcW w:type="dxa" w:w="850"/>
            <w:tcMar>
              <w:top w:w="80" w:type="dxa"/>
              <w:start w:w="120" w:type="dxa"/>
              <w:bottom w:w="80" w:type="dxa"/>
              <w:end w:w="120" w:type="dxa"/>
            </w:tcMar>
            <w:vAlign w:val="center"/>
          </w:tcPr>
          <w:p>
            <w:pPr>
              <w:spacing w:after="0"/>
            </w:pPr>
            <w:r>
              <w:rPr>
                <w:rFonts w:ascii="Calibri" w:hAnsi="Calibri"/>
                <w:b w:val="0"/>
                <w:i w:val="0"/>
                <w:color w:val="263442"/>
                <w:sz w:val="17"/>
              </w:rPr>
              <w:t>FR-07</w:t>
            </w:r>
          </w:p>
        </w:tc>
        <w:tc>
          <w:tcPr>
            <w:tcW w:type="dxa" w:w="7260"/>
            <w:tcMar>
              <w:top w:w="80" w:type="dxa"/>
              <w:start w:w="120" w:type="dxa"/>
              <w:bottom w:w="80" w:type="dxa"/>
              <w:end w:w="120" w:type="dxa"/>
            </w:tcMar>
            <w:vAlign w:val="center"/>
          </w:tcPr>
          <w:p>
            <w:pPr>
              <w:spacing w:after="0"/>
            </w:pPr>
            <w:r>
              <w:rPr>
                <w:rFonts w:ascii="Calibri" w:hAnsi="Calibri"/>
                <w:b w:val="0"/>
                <w:i w:val="0"/>
                <w:color w:val="263442"/>
                <w:sz w:val="17"/>
              </w:rPr>
              <w:t>Persist stories and manage active, stale, superseded, archived and withdrawn states.</w:t>
            </w:r>
          </w:p>
        </w:tc>
        <w:tc>
          <w:tcPr>
            <w:tcW w:type="dxa" w:w="1250"/>
            <w:tcMar>
              <w:top w:w="80" w:type="dxa"/>
              <w:start w:w="120" w:type="dxa"/>
              <w:bottom w:w="80" w:type="dxa"/>
              <w:end w:w="120" w:type="dxa"/>
            </w:tcMar>
            <w:vAlign w:val="center"/>
          </w:tcPr>
          <w:p>
            <w:pPr>
              <w:spacing w:after="0"/>
            </w:pPr>
            <w:r>
              <w:rPr>
                <w:rFonts w:ascii="Calibri" w:hAnsi="Calibri"/>
                <w:b w:val="0"/>
                <w:i w:val="0"/>
                <w:color w:val="263442"/>
                <w:sz w:val="17"/>
              </w:rPr>
              <w:t>Must</w:t>
            </w:r>
          </w:p>
        </w:tc>
      </w:tr>
      <w:tr>
        <w:tc>
          <w:tcPr>
            <w:tcW w:type="dxa" w:w="850"/>
            <w:tcMar>
              <w:top w:w="80" w:type="dxa"/>
              <w:start w:w="120" w:type="dxa"/>
              <w:bottom w:w="80" w:type="dxa"/>
              <w:end w:w="120" w:type="dxa"/>
            </w:tcMar>
            <w:vAlign w:val="center"/>
          </w:tcPr>
          <w:p>
            <w:pPr>
              <w:spacing w:after="0"/>
            </w:pPr>
            <w:r>
              <w:rPr>
                <w:rFonts w:ascii="Calibri" w:hAnsi="Calibri"/>
                <w:b w:val="0"/>
                <w:i w:val="0"/>
                <w:color w:val="263442"/>
                <w:sz w:val="17"/>
              </w:rPr>
              <w:t>FR-08</w:t>
            </w:r>
          </w:p>
        </w:tc>
        <w:tc>
          <w:tcPr>
            <w:tcW w:type="dxa" w:w="7260"/>
            <w:tcMar>
              <w:top w:w="80" w:type="dxa"/>
              <w:start w:w="120" w:type="dxa"/>
              <w:bottom w:w="80" w:type="dxa"/>
              <w:end w:w="120" w:type="dxa"/>
            </w:tcMar>
            <w:vAlign w:val="center"/>
          </w:tcPr>
          <w:p>
            <w:pPr>
              <w:spacing w:after="0"/>
            </w:pPr>
            <w:r>
              <w:rPr>
                <w:rFonts w:ascii="Calibri" w:hAnsi="Calibri"/>
                <w:b w:val="0"/>
                <w:i w:val="0"/>
                <w:color w:val="263442"/>
                <w:sz w:val="17"/>
              </w:rPr>
              <w:t>Offer a compact year summary after sufficient data exists.</w:t>
            </w:r>
          </w:p>
        </w:tc>
        <w:tc>
          <w:tcPr>
            <w:tcW w:type="dxa" w:w="1250"/>
            <w:tcMar>
              <w:top w:w="80" w:type="dxa"/>
              <w:start w:w="120" w:type="dxa"/>
              <w:bottom w:w="80" w:type="dxa"/>
              <w:end w:w="120" w:type="dxa"/>
            </w:tcMar>
            <w:vAlign w:val="center"/>
          </w:tcPr>
          <w:p>
            <w:pPr>
              <w:spacing w:after="0"/>
            </w:pPr>
            <w:r>
              <w:rPr>
                <w:rFonts w:ascii="Calibri" w:hAnsi="Calibri"/>
                <w:b w:val="0"/>
                <w:i w:val="0"/>
                <w:color w:val="263442"/>
                <w:sz w:val="17"/>
              </w:rPr>
              <w:t>Later</w:t>
            </w:r>
          </w:p>
        </w:tc>
      </w:tr>
    </w:tbl>
    <w:p>
      <w:pPr>
        <w:spacing w:after="0"/>
      </w:pPr>
    </w:p>
    <w:p>
      <w:pPr>
        <w:pStyle w:val="Heading2"/>
      </w:pPr>
      <w:r>
        <w:t>10. Trusted handoff rules</w:t>
      </w:r>
    </w:p>
    <w:p>
      <w:pPr>
        <w:pStyle w:val="ListBullet"/>
      </w:pPr>
      <w:r>
        <w:rPr>
          <w:rFonts w:ascii="Calibri" w:hAnsi="Calibri"/>
          <w:b w:val="0"/>
          <w:i w:val="0"/>
          <w:color w:val="263442"/>
          <w:sz w:val="20"/>
        </w:rPr>
        <w:t>Maintain no more than one active pending context per user.</w:t>
      </w:r>
    </w:p>
    <w:p>
      <w:pPr>
        <w:pStyle w:val="ListBullet"/>
      </w:pPr>
      <w:r>
        <w:rPr>
          <w:rFonts w:ascii="Calibri" w:hAnsi="Calibri"/>
          <w:b w:val="0"/>
          <w:i w:val="0"/>
          <w:color w:val="263442"/>
          <w:sz w:val="20"/>
        </w:rPr>
        <w:t>Use a signed, random context reference with a 10–15 minute expiry.</w:t>
      </w:r>
    </w:p>
    <w:p>
      <w:pPr>
        <w:pStyle w:val="ListBullet"/>
      </w:pPr>
      <w:r>
        <w:rPr>
          <w:rFonts w:ascii="Calibri" w:hAnsi="Calibri"/>
          <w:b w:val="0"/>
          <w:i w:val="0"/>
          <w:color w:val="263442"/>
          <w:sz w:val="20"/>
        </w:rPr>
        <w:t>Consume each context once; validate transaction ownership on edits.</w:t>
      </w:r>
    </w:p>
    <w:p>
      <w:pPr>
        <w:pStyle w:val="ListBullet"/>
      </w:pPr>
      <w:r>
        <w:rPr>
          <w:rFonts w:ascii="Calibri" w:hAnsi="Calibri"/>
          <w:b w:val="0"/>
          <w:i w:val="0"/>
          <w:color w:val="263442"/>
          <w:sz w:val="20"/>
        </w:rPr>
        <w:t>Do not rely on prefilled WhatsApp text because users may delete it or send voice.</w:t>
      </w:r>
    </w:p>
    <w:p>
      <w:pPr>
        <w:pStyle w:val="ListBullet"/>
      </w:pPr>
      <w:r>
        <w:rPr>
          <w:rFonts w:ascii="Calibri" w:hAnsi="Calibri"/>
          <w:b w:val="0"/>
          <w:i w:val="0"/>
          <w:color w:val="263442"/>
          <w:sz w:val="20"/>
        </w:rPr>
        <w:t>Merge trusted portal context with user input, then reconfirm the final change.</w:t>
      </w:r>
    </w:p>
    <w:p>
      <w:pPr>
        <w:pStyle w:val="Heading2"/>
      </w:pPr>
      <w:r>
        <w:t>11. Story persistence and validity</w:t>
      </w:r>
    </w:p>
    <w:p>
      <w:r>
        <w:rPr>
          <w:rFonts w:ascii="Calibri" w:hAnsi="Calibri"/>
          <w:b w:val="0"/>
          <w:i w:val="0"/>
          <w:color w:val="263442"/>
          <w:sz w:val="20"/>
        </w:rPr>
        <w:t>Each story should retain user, insight fact, story type, period, headline, card payload, generation/view timestamps, calculation version and narration version. Corrections must trigger impact analysis. Unviewed invalid stories may be withdrawn; viewed stories remain auditable and may display “Updated after a transaction correction.” Replacement stories link to their predecessor.</w:t>
      </w:r>
    </w:p>
    <w:p>
      <w:pPr>
        <w:pStyle w:val="Heading2"/>
      </w:pPr>
      <w:r>
        <w:t>12. Calendar consistency</w:t>
      </w:r>
    </w:p>
    <w:p>
      <w:r>
        <w:rPr>
          <w:rFonts w:ascii="Calibri" w:hAnsi="Calibri"/>
          <w:b w:val="0"/>
          <w:i w:val="0"/>
          <w:color w:val="263442"/>
          <w:sz w:val="20"/>
        </w:rPr>
        <w:t>Spending intensity must remain comparable between months. Colour thresholds should use a rolling historical baseline rather than independently scaling each month, which could make ₹2,000 and ₹20,000 days appear equally intense.</w:t>
      </w:r>
    </w:p>
    <w:p>
      <w:r>
        <w:br w:type="page"/>
      </w:r>
    </w:p>
    <w:p>
      <w:pPr>
        <w:spacing w:after="60"/>
      </w:pPr>
      <w:r>
        <w:rPr>
          <w:rFonts w:ascii="Calibri" w:hAnsi="Calibri"/>
          <w:b/>
          <w:i w:val="0"/>
          <w:color w:val="C9962B"/>
          <w:sz w:val="18"/>
        </w:rPr>
        <w:t>BUSINESS REQUIREMENTS DOCUMENT · 4 OF 4</w:t>
      </w:r>
    </w:p>
    <w:p>
      <w:pPr>
        <w:spacing w:after="100"/>
      </w:pPr>
      <w:r>
        <w:rPr>
          <w:rFonts w:ascii="Calibri" w:hAnsi="Calibri"/>
          <w:b/>
          <w:i w:val="0"/>
          <w:color w:val="17324D"/>
          <w:sz w:val="46"/>
        </w:rPr>
        <w:t>Quality, governance and delivery</w:t>
      </w:r>
    </w:p>
    <w:p>
      <w:pPr>
        <w:spacing w:after="160"/>
        <w:pBdr>
          <w:bottom w:val="single" w:sz="10" w:color="2E74B5"/>
        </w:pBdr>
      </w:pPr>
    </w:p>
    <w:p>
      <w:pPr>
        <w:pStyle w:val="Heading2"/>
      </w:pPr>
      <w:r>
        <w:t>13. Non-functional requirements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324D"/>
            <w:tcMar>
              <w:top w:w="80" w:type="dxa"/>
              <w:start w:w="120" w:type="dxa"/>
              <w:bottom w:w="80" w:type="dxa"/>
              <w:end w:w="120" w:type="dxa"/>
            </w:tcMar>
            <w:vAlign w:val="center"/>
          </w:tcPr>
          <w:p>
            <w:pPr>
              <w:spacing w:after="0"/>
            </w:pPr>
            <w:r>
              <w:rPr>
                <w:rFonts w:ascii="Calibri" w:hAnsi="Calibri"/>
                <w:b/>
                <w:i w:val="0"/>
                <w:color w:val="FFFFFF"/>
                <w:sz w:val="18"/>
              </w:rPr>
              <w:t>Area</w:t>
            </w:r>
          </w:p>
        </w:tc>
        <w:tc>
          <w:tcPr>
            <w:tcW w:type="dxa" w:w="7460"/>
            <w:shd w:fill="17324D"/>
            <w:tcMar>
              <w:top w:w="80" w:type="dxa"/>
              <w:start w:w="120" w:type="dxa"/>
              <w:bottom w:w="80" w:type="dxa"/>
              <w:end w:w="120" w:type="dxa"/>
            </w:tcMar>
            <w:vAlign w:val="center"/>
          </w:tcPr>
          <w:p>
            <w:pPr>
              <w:spacing w:after="0"/>
            </w:pPr>
            <w:r>
              <w:rPr>
                <w:rFonts w:ascii="Calibri" w:hAnsi="Calibri"/>
                <w:b/>
                <w:i w:val="0"/>
                <w:color w:val="FFFFFF"/>
                <w:sz w:val="18"/>
              </w:rPr>
              <w:t>Business requirement</w:t>
            </w:r>
          </w:p>
        </w:tc>
      </w:tr>
      <w:tr>
        <w:tc>
          <w:tcPr>
            <w:tcW w:type="dxa" w:w="1900"/>
            <w:tcMar>
              <w:top w:w="80" w:type="dxa"/>
              <w:start w:w="120" w:type="dxa"/>
              <w:bottom w:w="80" w:type="dxa"/>
              <w:end w:w="120" w:type="dxa"/>
            </w:tcMar>
            <w:vAlign w:val="center"/>
          </w:tcPr>
          <w:p>
            <w:pPr>
              <w:spacing w:after="0"/>
            </w:pPr>
            <w:r>
              <w:rPr>
                <w:rFonts w:ascii="Calibri" w:hAnsi="Calibri"/>
                <w:b w:val="0"/>
                <w:i w:val="0"/>
                <w:color w:val="263442"/>
                <w:sz w:val="17"/>
              </w:rPr>
              <w:t>Privacy &amp; security</w:t>
            </w:r>
          </w:p>
        </w:tc>
        <w:tc>
          <w:tcPr>
            <w:tcW w:type="dxa" w:w="7460"/>
            <w:tcMar>
              <w:top w:w="80" w:type="dxa"/>
              <w:start w:w="120" w:type="dxa"/>
              <w:bottom w:w="80" w:type="dxa"/>
              <w:end w:w="120" w:type="dxa"/>
            </w:tcMar>
            <w:vAlign w:val="center"/>
          </w:tcPr>
          <w:p>
            <w:pPr>
              <w:spacing w:after="0"/>
            </w:pPr>
            <w:r>
              <w:rPr>
                <w:rFonts w:ascii="Calibri" w:hAnsi="Calibri"/>
                <w:b w:val="0"/>
                <w:i w:val="0"/>
                <w:color w:val="263442"/>
                <w:sz w:val="17"/>
              </w:rPr>
              <w:t>Encrypt data in transit/at rest; minimise stored WhatsApp payload; enforce ownership and least privilege.</w:t>
            </w:r>
          </w:p>
        </w:tc>
      </w:tr>
      <w:tr>
        <w:tc>
          <w:tcPr>
            <w:tcW w:type="dxa" w:w="1900"/>
            <w:tcMar>
              <w:top w:w="80" w:type="dxa"/>
              <w:start w:w="120" w:type="dxa"/>
              <w:bottom w:w="80" w:type="dxa"/>
              <w:end w:w="120" w:type="dxa"/>
            </w:tcMar>
            <w:vAlign w:val="center"/>
          </w:tcPr>
          <w:p>
            <w:pPr>
              <w:spacing w:after="0"/>
            </w:pPr>
            <w:r>
              <w:rPr>
                <w:rFonts w:ascii="Calibri" w:hAnsi="Calibri"/>
                <w:b w:val="0"/>
                <w:i w:val="0"/>
                <w:color w:val="263442"/>
                <w:sz w:val="17"/>
              </w:rPr>
              <w:t>Reliability</w:t>
            </w:r>
          </w:p>
        </w:tc>
        <w:tc>
          <w:tcPr>
            <w:tcW w:type="dxa" w:w="7460"/>
            <w:tcMar>
              <w:top w:w="80" w:type="dxa"/>
              <w:start w:w="120" w:type="dxa"/>
              <w:bottom w:w="80" w:type="dxa"/>
              <w:end w:w="120" w:type="dxa"/>
            </w:tcMar>
            <w:vAlign w:val="center"/>
          </w:tcPr>
          <w:p>
            <w:pPr>
              <w:spacing w:after="0"/>
            </w:pPr>
            <w:r>
              <w:rPr>
                <w:rFonts w:ascii="Calibri" w:hAnsi="Calibri"/>
                <w:b w:val="0"/>
                <w:i w:val="0"/>
                <w:color w:val="263442"/>
                <w:sz w:val="17"/>
              </w:rPr>
              <w:t>Idempotent message handling, duplicate protection, recoverable processing and traceable confirmation state.</w:t>
            </w:r>
          </w:p>
        </w:tc>
      </w:tr>
      <w:tr>
        <w:tc>
          <w:tcPr>
            <w:tcW w:type="dxa" w:w="1900"/>
            <w:tcMar>
              <w:top w:w="80" w:type="dxa"/>
              <w:start w:w="120" w:type="dxa"/>
              <w:bottom w:w="80" w:type="dxa"/>
              <w:end w:w="120" w:type="dxa"/>
            </w:tcMar>
            <w:vAlign w:val="center"/>
          </w:tcPr>
          <w:p>
            <w:pPr>
              <w:spacing w:after="0"/>
            </w:pPr>
            <w:r>
              <w:rPr>
                <w:rFonts w:ascii="Calibri" w:hAnsi="Calibri"/>
                <w:b w:val="0"/>
                <w:i w:val="0"/>
                <w:color w:val="263442"/>
                <w:sz w:val="17"/>
              </w:rPr>
              <w:t>Performance</w:t>
            </w:r>
          </w:p>
        </w:tc>
        <w:tc>
          <w:tcPr>
            <w:tcW w:type="dxa" w:w="7460"/>
            <w:tcMar>
              <w:top w:w="80" w:type="dxa"/>
              <w:start w:w="120" w:type="dxa"/>
              <w:bottom w:w="80" w:type="dxa"/>
              <w:end w:w="120" w:type="dxa"/>
            </w:tcMar>
            <w:vAlign w:val="center"/>
          </w:tcPr>
          <w:p>
            <w:pPr>
              <w:spacing w:after="0"/>
            </w:pPr>
            <w:r>
              <w:rPr>
                <w:rFonts w:ascii="Calibri" w:hAnsi="Calibri"/>
                <w:b w:val="0"/>
                <w:i w:val="0"/>
                <w:color w:val="263442"/>
                <w:sz w:val="17"/>
              </w:rPr>
              <w:t>Responsive mobile portal; prompt confirmation and month navigation under expected pilot load.</w:t>
            </w:r>
          </w:p>
        </w:tc>
      </w:tr>
      <w:tr>
        <w:tc>
          <w:tcPr>
            <w:tcW w:type="dxa" w:w="1900"/>
            <w:tcMar>
              <w:top w:w="80" w:type="dxa"/>
              <w:start w:w="120" w:type="dxa"/>
              <w:bottom w:w="80" w:type="dxa"/>
              <w:end w:w="120" w:type="dxa"/>
            </w:tcMar>
            <w:vAlign w:val="center"/>
          </w:tcPr>
          <w:p>
            <w:pPr>
              <w:spacing w:after="0"/>
            </w:pPr>
            <w:r>
              <w:rPr>
                <w:rFonts w:ascii="Calibri" w:hAnsi="Calibri"/>
                <w:b w:val="0"/>
                <w:i w:val="0"/>
                <w:color w:val="263442"/>
                <w:sz w:val="17"/>
              </w:rPr>
              <w:t>Explainability</w:t>
            </w:r>
          </w:p>
        </w:tc>
        <w:tc>
          <w:tcPr>
            <w:tcW w:type="dxa" w:w="7460"/>
            <w:tcMar>
              <w:top w:w="80" w:type="dxa"/>
              <w:start w:w="120" w:type="dxa"/>
              <w:bottom w:w="80" w:type="dxa"/>
              <w:end w:w="120" w:type="dxa"/>
            </w:tcMar>
            <w:vAlign w:val="center"/>
          </w:tcPr>
          <w:p>
            <w:pPr>
              <w:spacing w:after="0"/>
            </w:pPr>
            <w:r>
              <w:rPr>
                <w:rFonts w:ascii="Calibri" w:hAnsi="Calibri"/>
                <w:b w:val="0"/>
                <w:i w:val="0"/>
                <w:color w:val="263442"/>
                <w:sz w:val="17"/>
              </w:rPr>
              <w:t>Every story must cite its period, comparison basis and supporting transactions.</w:t>
            </w:r>
          </w:p>
        </w:tc>
      </w:tr>
      <w:tr>
        <w:tc>
          <w:tcPr>
            <w:tcW w:type="dxa" w:w="1900"/>
            <w:tcMar>
              <w:top w:w="80" w:type="dxa"/>
              <w:start w:w="120" w:type="dxa"/>
              <w:bottom w:w="80" w:type="dxa"/>
              <w:end w:w="120" w:type="dxa"/>
            </w:tcMar>
            <w:vAlign w:val="center"/>
          </w:tcPr>
          <w:p>
            <w:pPr>
              <w:spacing w:after="0"/>
            </w:pPr>
            <w:r>
              <w:rPr>
                <w:rFonts w:ascii="Calibri" w:hAnsi="Calibri"/>
                <w:b w:val="0"/>
                <w:i w:val="0"/>
                <w:color w:val="263442"/>
                <w:sz w:val="17"/>
              </w:rPr>
              <w:t>Accessibility</w:t>
            </w:r>
          </w:p>
        </w:tc>
        <w:tc>
          <w:tcPr>
            <w:tcW w:type="dxa" w:w="7460"/>
            <w:tcMar>
              <w:top w:w="80" w:type="dxa"/>
              <w:start w:w="120" w:type="dxa"/>
              <w:bottom w:w="80" w:type="dxa"/>
              <w:end w:w="120" w:type="dxa"/>
            </w:tcMar>
            <w:vAlign w:val="center"/>
          </w:tcPr>
          <w:p>
            <w:pPr>
              <w:spacing w:after="0"/>
            </w:pPr>
            <w:r>
              <w:rPr>
                <w:rFonts w:ascii="Calibri" w:hAnsi="Calibri"/>
                <w:b w:val="0"/>
                <w:i w:val="0"/>
                <w:color w:val="263442"/>
                <w:sz w:val="17"/>
              </w:rPr>
              <w:t>Readable contrast, scalable type, keyboard semantics and non-colour calendar cues.</w:t>
            </w:r>
          </w:p>
        </w:tc>
      </w:tr>
      <w:tr>
        <w:tc>
          <w:tcPr>
            <w:tcW w:type="dxa" w:w="1900"/>
            <w:tcMar>
              <w:top w:w="80" w:type="dxa"/>
              <w:start w:w="120" w:type="dxa"/>
              <w:bottom w:w="80" w:type="dxa"/>
              <w:end w:w="120" w:type="dxa"/>
            </w:tcMar>
            <w:vAlign w:val="center"/>
          </w:tcPr>
          <w:p>
            <w:pPr>
              <w:spacing w:after="0"/>
            </w:pPr>
            <w:r>
              <w:rPr>
                <w:rFonts w:ascii="Calibri" w:hAnsi="Calibri"/>
                <w:b w:val="0"/>
                <w:i w:val="0"/>
                <w:color w:val="263442"/>
                <w:sz w:val="17"/>
              </w:rPr>
              <w:t>Auditability</w:t>
            </w:r>
          </w:p>
        </w:tc>
        <w:tc>
          <w:tcPr>
            <w:tcW w:type="dxa" w:w="7460"/>
            <w:tcMar>
              <w:top w:w="80" w:type="dxa"/>
              <w:start w:w="120" w:type="dxa"/>
              <w:bottom w:w="80" w:type="dxa"/>
              <w:end w:w="120" w:type="dxa"/>
            </w:tcMar>
            <w:vAlign w:val="center"/>
          </w:tcPr>
          <w:p>
            <w:pPr>
              <w:spacing w:after="0"/>
            </w:pPr>
            <w:r>
              <w:rPr>
                <w:rFonts w:ascii="Calibri" w:hAnsi="Calibri"/>
                <w:b w:val="0"/>
                <w:i w:val="0"/>
                <w:color w:val="263442"/>
                <w:sz w:val="17"/>
              </w:rPr>
              <w:t>Version calculations/narration and retain a non-destructive correction trail.</w:t>
            </w:r>
          </w:p>
        </w:tc>
      </w:tr>
    </w:tbl>
    <w:p>
      <w:pPr>
        <w:spacing w:after="0"/>
      </w:pPr>
    </w:p>
    <w:p>
      <w:pPr>
        <w:pStyle w:val="Heading2"/>
      </w:pPr>
      <w:r>
        <w:t>14. Business rules and guardrails</w:t>
      </w:r>
    </w:p>
    <w:p>
      <w:pPr>
        <w:pStyle w:val="ListBullet"/>
      </w:pPr>
      <w:r>
        <w:rPr>
          <w:rFonts w:ascii="Calibri" w:hAnsi="Calibri"/>
          <w:b w:val="0"/>
          <w:i w:val="0"/>
          <w:color w:val="263442"/>
          <w:sz w:val="20"/>
        </w:rPr>
        <w:t>Never present uncertain extraction as confirmed fact.</w:t>
      </w:r>
    </w:p>
    <w:p>
      <w:pPr>
        <w:pStyle w:val="ListBullet"/>
      </w:pPr>
      <w:r>
        <w:rPr>
          <w:rFonts w:ascii="Calibri" w:hAnsi="Calibri"/>
          <w:b w:val="0"/>
          <w:i w:val="0"/>
          <w:color w:val="263442"/>
          <w:sz w:val="20"/>
        </w:rPr>
        <w:t>Never create a Money Story from insufficient or statistically weak evidence.</w:t>
      </w:r>
    </w:p>
    <w:p>
      <w:pPr>
        <w:pStyle w:val="ListBullet"/>
      </w:pPr>
      <w:r>
        <w:rPr>
          <w:rFonts w:ascii="Calibri" w:hAnsi="Calibri"/>
          <w:b w:val="0"/>
          <w:i w:val="0"/>
          <w:color w:val="263442"/>
          <w:sz w:val="20"/>
        </w:rPr>
        <w:t>Separate deterministic calculations from narrative generation.</w:t>
      </w:r>
    </w:p>
    <w:p>
      <w:pPr>
        <w:pStyle w:val="ListBullet"/>
      </w:pPr>
      <w:r>
        <w:rPr>
          <w:rFonts w:ascii="Calibri" w:hAnsi="Calibri"/>
          <w:b w:val="0"/>
          <w:i w:val="0"/>
          <w:color w:val="263442"/>
          <w:sz w:val="20"/>
        </w:rPr>
        <w:t>Do not provide regulated financial advice; frame outputs as observations.</w:t>
      </w:r>
    </w:p>
    <w:p>
      <w:pPr>
        <w:pStyle w:val="ListBullet"/>
      </w:pPr>
      <w:r>
        <w:rPr>
          <w:rFonts w:ascii="Calibri" w:hAnsi="Calibri"/>
          <w:b w:val="0"/>
          <w:i w:val="0"/>
          <w:color w:val="263442"/>
          <w:sz w:val="20"/>
        </w:rPr>
        <w:t>Portal viewing remains self-contained; mutation returns to the established WhatsApp confirmation pipeline.</w:t>
      </w:r>
    </w:p>
    <w:p>
      <w:pPr>
        <w:pStyle w:val="Heading2"/>
      </w:pPr>
      <w:r>
        <w:t>15. Delivery approach and acceptance</w:t>
      </w:r>
    </w:p>
    <w:p>
      <w:r>
        <w:rPr>
          <w:rFonts w:ascii="Calibri" w:hAnsi="Calibri"/>
          <w:b w:val="0"/>
          <w:i w:val="0"/>
          <w:color w:val="263442"/>
          <w:sz w:val="20"/>
        </w:rPr>
        <w:t>Deliver in three increments: (1) trusted transaction capture and confirmation; (2) portal timeline, story evidence and insufficient-history states; (3) calendar, historical archive and secure add/edit handoff. Pilot with representative mobile users before widening access.</w:t>
      </w:r>
    </w:p>
    <w:p>
      <w:pPr>
        <w:pStyle w:val="ListBullet"/>
      </w:pPr>
      <w:r>
        <w:rPr>
          <w:rFonts w:ascii="Calibri" w:hAnsi="Calibri"/>
          <w:b w:val="0"/>
          <w:i w:val="0"/>
          <w:color w:val="263442"/>
          <w:sz w:val="20"/>
        </w:rPr>
        <w:t>A user can record and confirm a complete transaction using natural language.</w:t>
      </w:r>
    </w:p>
    <w:p>
      <w:pPr>
        <w:pStyle w:val="ListBullet"/>
      </w:pPr>
      <w:r>
        <w:rPr>
          <w:rFonts w:ascii="Calibri" w:hAnsi="Calibri"/>
          <w:b w:val="0"/>
          <w:i w:val="0"/>
          <w:color w:val="263442"/>
          <w:sz w:val="20"/>
        </w:rPr>
        <w:t>Every saved mutation has explicit confirmation and an auditable source.</w:t>
      </w:r>
    </w:p>
    <w:p>
      <w:pPr>
        <w:pStyle w:val="ListBullet"/>
      </w:pPr>
      <w:r>
        <w:rPr>
          <w:rFonts w:ascii="Calibri" w:hAnsi="Calibri"/>
          <w:b w:val="0"/>
          <w:i w:val="0"/>
          <w:color w:val="263442"/>
          <w:sz w:val="20"/>
        </w:rPr>
        <w:t>A story can be traced to supporting transactions and survives reopening.</w:t>
      </w:r>
    </w:p>
    <w:p>
      <w:pPr>
        <w:pStyle w:val="ListBullet"/>
      </w:pPr>
      <w:r>
        <w:rPr>
          <w:rFonts w:ascii="Calibri" w:hAnsi="Calibri"/>
          <w:b w:val="0"/>
          <w:i w:val="0"/>
          <w:color w:val="263442"/>
          <w:sz w:val="20"/>
        </w:rPr>
        <w:t>A user can navigate past months and inspect any available day.</w:t>
      </w:r>
    </w:p>
    <w:p>
      <w:pPr>
        <w:pStyle w:val="ListBullet"/>
      </w:pPr>
      <w:r>
        <w:rPr>
          <w:rFonts w:ascii="Calibri" w:hAnsi="Calibri"/>
          <w:b w:val="0"/>
          <w:i w:val="0"/>
          <w:color w:val="263442"/>
          <w:sz w:val="20"/>
        </w:rPr>
        <w:t>A correction updates affected facts and transitions story validity correctly.</w:t>
      </w:r>
    </w:p>
    <w:p>
      <w:pPr>
        <w:pStyle w:val="Heading2"/>
      </w:pPr>
      <w:r>
        <w:t>16. Key risks and mitigations</w:t>
      </w:r>
    </w:p>
    <w:p>
      <w:r>
        <w:rPr>
          <w:rFonts w:ascii="Calibri" w:hAnsi="Calibri"/>
          <w:b w:val="0"/>
          <w:i w:val="0"/>
          <w:color w:val="263442"/>
          <w:sz w:val="20"/>
        </w:rPr>
        <w:t>Extraction error is mitigated through confirmation and ambiguity prompts; misleading narratives through deterministic facts and evidence; low initial value through transparent empty states; privacy concerns through minimisation and clear consent; scope expansion through the stated MVP boundary.</w:t>
      </w:r>
    </w:p>
    <w:p>
      <w:r>
        <w:br w:type="page"/>
      </w:r>
    </w:p>
    <w:p>
      <w:pPr>
        <w:spacing w:after="60"/>
      </w:pPr>
      <w:r>
        <w:rPr>
          <w:rFonts w:ascii="Calibri" w:hAnsi="Calibri"/>
          <w:b/>
          <w:i w:val="0"/>
          <w:color w:val="C9962B"/>
          <w:sz w:val="18"/>
        </w:rPr>
        <w:t>PRODUCT VISION &amp; MISSION · 1 OF 2</w:t>
      </w:r>
    </w:p>
    <w:p>
      <w:pPr>
        <w:spacing w:after="100"/>
      </w:pPr>
      <w:r>
        <w:rPr>
          <w:rFonts w:ascii="Calibri" w:hAnsi="Calibri"/>
          <w:b/>
          <w:i w:val="0"/>
          <w:color w:val="17324D"/>
          <w:sz w:val="46"/>
        </w:rPr>
        <w:t>Vision</w:t>
      </w:r>
    </w:p>
    <w:p>
      <w:pPr>
        <w:spacing w:after="180"/>
      </w:pPr>
      <w:r>
        <w:rPr>
          <w:rFonts w:ascii="Calibri" w:hAnsi="Calibri"/>
          <w:b w:val="0"/>
          <w:i/>
          <w:color w:val="667481"/>
          <w:sz w:val="22"/>
        </w:rPr>
        <w:t>A financial companion that helps people see the story behind everyday spending—and improve it through natural conversation.</w:t>
      </w:r>
    </w:p>
    <w:p>
      <w:pPr>
        <w:spacing w:after="160"/>
        <w:pBdr>
          <w:bottom w:val="single" w:sz="10" w:color="2E74B5"/>
        </w:pBdr>
      </w:pPr>
    </w:p>
    <w:p>
      <w:pPr>
        <w:pStyle w:val="Heading2"/>
      </w:pPr>
      <w:r>
        <w:t>Vision statement</w:t>
      </w:r>
    </w:p>
    <w:p>
      <w:r>
        <w:rPr>
          <w:rFonts w:ascii="Calibri" w:hAnsi="Calibri"/>
          <w:b w:val="0"/>
          <w:i w:val="0"/>
          <w:color w:val="263442"/>
          <w:sz w:val="20"/>
        </w:rPr>
        <w:t>Open Money Stories will make personal financial understanding feel less like accounting and more like recognition. Every confirmed expense becomes part of a coherent memory: what happened, what is changing, and why it deserves attention. The product meets users where they already communicate, while giving them a calm, trustworthy place to reflect.</w:t>
      </w:r>
    </w:p>
    <w:p>
      <w:pPr>
        <w:pStyle w:val="Heading2"/>
      </w:pPr>
      <w:r>
        <w:t>The future we are creating</w:t>
      </w:r>
    </w:p>
    <w:p>
      <w:pPr>
        <w:pStyle w:val="ListBullet"/>
      </w:pPr>
      <w:r>
        <w:rPr>
          <w:rFonts w:ascii="Calibri" w:hAnsi="Calibri"/>
          <w:b w:val="0"/>
          <w:i w:val="0"/>
          <w:color w:val="263442"/>
          <w:sz w:val="20"/>
        </w:rPr>
        <w:t>People capture financial life in seconds through ordinary language or voice.</w:t>
      </w:r>
    </w:p>
    <w:p>
      <w:pPr>
        <w:pStyle w:val="ListBullet"/>
      </w:pPr>
      <w:r>
        <w:rPr>
          <w:rFonts w:ascii="Calibri" w:hAnsi="Calibri"/>
          <w:b w:val="0"/>
          <w:i w:val="0"/>
          <w:color w:val="263442"/>
          <w:sz w:val="20"/>
        </w:rPr>
        <w:t>Insights arrive as clear stories, not unexplained scores or decorative charts.</w:t>
      </w:r>
    </w:p>
    <w:p>
      <w:pPr>
        <w:pStyle w:val="ListBullet"/>
      </w:pPr>
      <w:r>
        <w:rPr>
          <w:rFonts w:ascii="Calibri" w:hAnsi="Calibri"/>
          <w:b w:val="0"/>
          <w:i w:val="0"/>
          <w:color w:val="263442"/>
          <w:sz w:val="20"/>
        </w:rPr>
        <w:t>Every conclusion is inspectable, correctable and tied to real transactions.</w:t>
      </w:r>
    </w:p>
    <w:p>
      <w:pPr>
        <w:pStyle w:val="ListBullet"/>
      </w:pPr>
      <w:r>
        <w:rPr>
          <w:rFonts w:ascii="Calibri" w:hAnsi="Calibri"/>
          <w:b w:val="0"/>
          <w:i w:val="0"/>
          <w:color w:val="263442"/>
          <w:sz w:val="20"/>
        </w:rPr>
        <w:t>History remains continuous even when underlying transactions change.</w:t>
      </w:r>
    </w:p>
    <w:p>
      <w:pPr>
        <w:pStyle w:val="ListBullet"/>
      </w:pPr>
      <w:r>
        <w:rPr>
          <w:rFonts w:ascii="Calibri" w:hAnsi="Calibri"/>
          <w:b w:val="0"/>
          <w:i w:val="0"/>
          <w:color w:val="263442"/>
          <w:sz w:val="20"/>
        </w:rPr>
        <w:t>Financial awareness becomes a lightweight habit rather than a monthly chore.</w:t>
      </w:r>
    </w:p>
    <w:p>
      <w:pPr>
        <w:pStyle w:val="Heading2"/>
      </w:pPr>
      <w:r>
        <w:t>Experience principles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17324D"/>
            <w:tcMar>
              <w:top w:w="80" w:type="dxa"/>
              <w:start w:w="120" w:type="dxa"/>
              <w:bottom w:w="80" w:type="dxa"/>
              <w:end w:w="120" w:type="dxa"/>
            </w:tcMar>
            <w:vAlign w:val="center"/>
          </w:tcPr>
          <w:p>
            <w:pPr>
              <w:spacing w:after="0"/>
            </w:pPr>
            <w:r>
              <w:rPr>
                <w:rFonts w:ascii="Calibri" w:hAnsi="Calibri"/>
                <w:b/>
                <w:i w:val="0"/>
                <w:color w:val="FFFFFF"/>
                <w:sz w:val="18"/>
              </w:rPr>
              <w:t>Principle</w:t>
            </w:r>
          </w:p>
        </w:tc>
        <w:tc>
          <w:tcPr>
            <w:tcW w:type="dxa" w:w="7160"/>
            <w:shd w:fill="17324D"/>
            <w:tcMar>
              <w:top w:w="80" w:type="dxa"/>
              <w:start w:w="120" w:type="dxa"/>
              <w:bottom w:w="80" w:type="dxa"/>
              <w:end w:w="120" w:type="dxa"/>
            </w:tcMar>
            <w:vAlign w:val="center"/>
          </w:tcPr>
          <w:p>
            <w:pPr>
              <w:spacing w:after="0"/>
            </w:pPr>
            <w:r>
              <w:rPr>
                <w:rFonts w:ascii="Calibri" w:hAnsi="Calibri"/>
                <w:b/>
                <w:i w:val="0"/>
                <w:color w:val="FFFFFF"/>
                <w:sz w:val="18"/>
              </w:rPr>
              <w:t>Meaning in the product</w:t>
            </w:r>
          </w:p>
        </w:tc>
      </w:tr>
      <w:tr>
        <w:tc>
          <w:tcPr>
            <w:tcW w:type="dxa" w:w="2200"/>
            <w:tcMar>
              <w:top w:w="80" w:type="dxa"/>
              <w:start w:w="120" w:type="dxa"/>
              <w:bottom w:w="80" w:type="dxa"/>
              <w:end w:w="120" w:type="dxa"/>
            </w:tcMar>
            <w:vAlign w:val="center"/>
          </w:tcPr>
          <w:p>
            <w:pPr>
              <w:spacing w:after="0"/>
            </w:pPr>
            <w:r>
              <w:rPr>
                <w:rFonts w:ascii="Calibri" w:hAnsi="Calibri"/>
                <w:b w:val="0"/>
                <w:i w:val="0"/>
                <w:color w:val="263442"/>
                <w:sz w:val="17"/>
              </w:rPr>
              <w:t>Conversation first</w:t>
            </w:r>
          </w:p>
        </w:tc>
        <w:tc>
          <w:tcPr>
            <w:tcW w:type="dxa" w:w="7160"/>
            <w:tcMar>
              <w:top w:w="80" w:type="dxa"/>
              <w:start w:w="120" w:type="dxa"/>
              <w:bottom w:w="80" w:type="dxa"/>
              <w:end w:w="120" w:type="dxa"/>
            </w:tcMar>
            <w:vAlign w:val="center"/>
          </w:tcPr>
          <w:p>
            <w:pPr>
              <w:spacing w:after="0"/>
            </w:pPr>
            <w:r>
              <w:rPr>
                <w:rFonts w:ascii="Calibri" w:hAnsi="Calibri"/>
                <w:b w:val="0"/>
                <w:i w:val="0"/>
                <w:color w:val="263442"/>
                <w:sz w:val="17"/>
              </w:rPr>
              <w:t>Capture and correction should sound like speaking to a capable assistant.</w:t>
            </w:r>
          </w:p>
        </w:tc>
      </w:tr>
      <w:tr>
        <w:tc>
          <w:tcPr>
            <w:tcW w:type="dxa" w:w="2200"/>
            <w:tcMar>
              <w:top w:w="80" w:type="dxa"/>
              <w:start w:w="120" w:type="dxa"/>
              <w:bottom w:w="80" w:type="dxa"/>
              <w:end w:w="120" w:type="dxa"/>
            </w:tcMar>
            <w:vAlign w:val="center"/>
          </w:tcPr>
          <w:p>
            <w:pPr>
              <w:spacing w:after="0"/>
            </w:pPr>
            <w:r>
              <w:rPr>
                <w:rFonts w:ascii="Calibri" w:hAnsi="Calibri"/>
                <w:b w:val="0"/>
                <w:i w:val="0"/>
                <w:color w:val="263442"/>
                <w:sz w:val="17"/>
              </w:rPr>
              <w:t>Truth before delight</w:t>
            </w:r>
          </w:p>
        </w:tc>
        <w:tc>
          <w:tcPr>
            <w:tcW w:type="dxa" w:w="7160"/>
            <w:tcMar>
              <w:top w:w="80" w:type="dxa"/>
              <w:start w:w="120" w:type="dxa"/>
              <w:bottom w:w="80" w:type="dxa"/>
              <w:end w:w="120" w:type="dxa"/>
            </w:tcMar>
            <w:vAlign w:val="center"/>
          </w:tcPr>
          <w:p>
            <w:pPr>
              <w:spacing w:after="0"/>
            </w:pPr>
            <w:r>
              <w:rPr>
                <w:rFonts w:ascii="Calibri" w:hAnsi="Calibri"/>
                <w:b w:val="0"/>
                <w:i w:val="0"/>
                <w:color w:val="263442"/>
                <w:sz w:val="17"/>
              </w:rPr>
              <w:t>A beautiful story is worthless if its facts are uncertain.</w:t>
            </w:r>
          </w:p>
        </w:tc>
      </w:tr>
      <w:tr>
        <w:tc>
          <w:tcPr>
            <w:tcW w:type="dxa" w:w="2200"/>
            <w:tcMar>
              <w:top w:w="80" w:type="dxa"/>
              <w:start w:w="120" w:type="dxa"/>
              <w:bottom w:w="80" w:type="dxa"/>
              <w:end w:w="120" w:type="dxa"/>
            </w:tcMar>
            <w:vAlign w:val="center"/>
          </w:tcPr>
          <w:p>
            <w:pPr>
              <w:spacing w:after="0"/>
            </w:pPr>
            <w:r>
              <w:rPr>
                <w:rFonts w:ascii="Calibri" w:hAnsi="Calibri"/>
                <w:b w:val="0"/>
                <w:i w:val="0"/>
                <w:color w:val="263442"/>
                <w:sz w:val="17"/>
              </w:rPr>
              <w:t>Evidence, not judgement</w:t>
            </w:r>
          </w:p>
        </w:tc>
        <w:tc>
          <w:tcPr>
            <w:tcW w:type="dxa" w:w="7160"/>
            <w:tcMar>
              <w:top w:w="80" w:type="dxa"/>
              <w:start w:w="120" w:type="dxa"/>
              <w:bottom w:w="80" w:type="dxa"/>
              <w:end w:w="120" w:type="dxa"/>
            </w:tcMar>
            <w:vAlign w:val="center"/>
          </w:tcPr>
          <w:p>
            <w:pPr>
              <w:spacing w:after="0"/>
            </w:pPr>
            <w:r>
              <w:rPr>
                <w:rFonts w:ascii="Calibri" w:hAnsi="Calibri"/>
                <w:b w:val="0"/>
                <w:i w:val="0"/>
                <w:color w:val="263442"/>
                <w:sz w:val="17"/>
              </w:rPr>
              <w:t>Explain patterns neutrally and show the transactions behind them.</w:t>
            </w:r>
          </w:p>
        </w:tc>
      </w:tr>
      <w:tr>
        <w:tc>
          <w:tcPr>
            <w:tcW w:type="dxa" w:w="2200"/>
            <w:tcMar>
              <w:top w:w="80" w:type="dxa"/>
              <w:start w:w="120" w:type="dxa"/>
              <w:bottom w:w="80" w:type="dxa"/>
              <w:end w:w="120" w:type="dxa"/>
            </w:tcMar>
            <w:vAlign w:val="center"/>
          </w:tcPr>
          <w:p>
            <w:pPr>
              <w:spacing w:after="0"/>
            </w:pPr>
            <w:r>
              <w:rPr>
                <w:rFonts w:ascii="Calibri" w:hAnsi="Calibri"/>
                <w:b w:val="0"/>
                <w:i w:val="0"/>
                <w:color w:val="263442"/>
                <w:sz w:val="17"/>
              </w:rPr>
              <w:t>Progressive intelligence</w:t>
            </w:r>
          </w:p>
        </w:tc>
        <w:tc>
          <w:tcPr>
            <w:tcW w:type="dxa" w:w="7160"/>
            <w:tcMar>
              <w:top w:w="80" w:type="dxa"/>
              <w:start w:w="120" w:type="dxa"/>
              <w:bottom w:w="80" w:type="dxa"/>
              <w:end w:w="120" w:type="dxa"/>
            </w:tcMar>
            <w:vAlign w:val="center"/>
          </w:tcPr>
          <w:p>
            <w:pPr>
              <w:spacing w:after="0"/>
            </w:pPr>
            <w:r>
              <w:rPr>
                <w:rFonts w:ascii="Calibri" w:hAnsi="Calibri"/>
                <w:b w:val="0"/>
                <w:i w:val="0"/>
                <w:color w:val="263442"/>
                <w:sz w:val="17"/>
              </w:rPr>
              <w:t>Value grows with history; never fabricate certainty for a new user.</w:t>
            </w:r>
          </w:p>
        </w:tc>
      </w:tr>
      <w:tr>
        <w:tc>
          <w:tcPr>
            <w:tcW w:type="dxa" w:w="2200"/>
            <w:tcMar>
              <w:top w:w="80" w:type="dxa"/>
              <w:start w:w="120" w:type="dxa"/>
              <w:bottom w:w="80" w:type="dxa"/>
              <w:end w:w="120" w:type="dxa"/>
            </w:tcMar>
            <w:vAlign w:val="center"/>
          </w:tcPr>
          <w:p>
            <w:pPr>
              <w:spacing w:after="0"/>
            </w:pPr>
            <w:r>
              <w:rPr>
                <w:rFonts w:ascii="Calibri" w:hAnsi="Calibri"/>
                <w:b w:val="0"/>
                <w:i w:val="0"/>
                <w:color w:val="263442"/>
                <w:sz w:val="17"/>
              </w:rPr>
              <w:t>Calm by design</w:t>
            </w:r>
          </w:p>
        </w:tc>
        <w:tc>
          <w:tcPr>
            <w:tcW w:type="dxa" w:w="7160"/>
            <w:tcMar>
              <w:top w:w="80" w:type="dxa"/>
              <w:start w:w="120" w:type="dxa"/>
              <w:bottom w:w="80" w:type="dxa"/>
              <w:end w:w="120" w:type="dxa"/>
            </w:tcMar>
            <w:vAlign w:val="center"/>
          </w:tcPr>
          <w:p>
            <w:pPr>
              <w:spacing w:after="0"/>
            </w:pPr>
            <w:r>
              <w:rPr>
                <w:rFonts w:ascii="Calibri" w:hAnsi="Calibri"/>
                <w:b w:val="0"/>
                <w:i w:val="0"/>
                <w:color w:val="263442"/>
                <w:sz w:val="17"/>
              </w:rPr>
              <w:t>Prioritise clarity, whitespace and narrative hierarchy over dashboard density.</w:t>
            </w:r>
          </w:p>
        </w:tc>
      </w:tr>
      <w:tr>
        <w:tc>
          <w:tcPr>
            <w:tcW w:type="dxa" w:w="2200"/>
            <w:tcMar>
              <w:top w:w="80" w:type="dxa"/>
              <w:start w:w="120" w:type="dxa"/>
              <w:bottom w:w="80" w:type="dxa"/>
              <w:end w:w="120" w:type="dxa"/>
            </w:tcMar>
            <w:vAlign w:val="center"/>
          </w:tcPr>
          <w:p>
            <w:pPr>
              <w:spacing w:after="0"/>
            </w:pPr>
            <w:r>
              <w:rPr>
                <w:rFonts w:ascii="Calibri" w:hAnsi="Calibri"/>
                <w:b w:val="0"/>
                <w:i w:val="0"/>
                <w:color w:val="263442"/>
                <w:sz w:val="17"/>
              </w:rPr>
              <w:t>User control</w:t>
            </w:r>
          </w:p>
        </w:tc>
        <w:tc>
          <w:tcPr>
            <w:tcW w:type="dxa" w:w="7160"/>
            <w:tcMar>
              <w:top w:w="80" w:type="dxa"/>
              <w:start w:w="120" w:type="dxa"/>
              <w:bottom w:w="80" w:type="dxa"/>
              <w:end w:w="120" w:type="dxa"/>
            </w:tcMar>
            <w:vAlign w:val="center"/>
          </w:tcPr>
          <w:p>
            <w:pPr>
              <w:spacing w:after="0"/>
            </w:pPr>
            <w:r>
              <w:rPr>
                <w:rFonts w:ascii="Calibri" w:hAnsi="Calibri"/>
                <w:b w:val="0"/>
                <w:i w:val="0"/>
                <w:color w:val="263442"/>
                <w:sz w:val="17"/>
              </w:rPr>
              <w:t>Make corrections easy and preserve an understandable audit trail.</w:t>
            </w:r>
          </w:p>
        </w:tc>
      </w:tr>
    </w:tbl>
    <w:p>
      <w:pPr>
        <w:spacing w:after="0"/>
      </w:pPr>
    </w:p>
    <w:p>
      <w:pPr>
        <w:pStyle w:val="Heading2"/>
      </w:pPr>
      <w:r>
        <w:t>North-star promise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EF4F8"/>
          </w:tcPr>
          <w:p>
            <w:pPr>
              <w:spacing w:after="0"/>
            </w:pPr>
            <w:r>
              <w:rPr>
                <w:rFonts w:ascii="Calibri" w:hAnsi="Calibri"/>
                <w:b/>
                <w:i w:val="0"/>
                <w:color w:val="2E74B5"/>
                <w:sz w:val="19"/>
              </w:rPr>
              <w:t xml:space="preserve">FOR THE USER  </w:t>
            </w:r>
            <w:r>
              <w:rPr>
                <w:rFonts w:ascii="Calibri" w:hAnsi="Calibri"/>
                <w:b w:val="0"/>
                <w:i w:val="0"/>
                <w:color w:val="263442"/>
                <w:sz w:val="19"/>
              </w:rPr>
              <w:t>“I can quickly tell the system what happened, trust what it saved, and understand what my money has been doing without becoming a finance expert.”</w:t>
            </w:r>
          </w:p>
        </w:tc>
      </w:tr>
    </w:tbl>
    <w:p>
      <w:pPr>
        <w:spacing w:after="0"/>
      </w:pPr>
    </w:p>
    <w:p>
      <w:pPr>
        <w:pStyle w:val="Heading2"/>
      </w:pPr>
      <w:r>
        <w:t>Strategic differentiation</w:t>
      </w:r>
    </w:p>
    <w:p>
      <w:r>
        <w:rPr>
          <w:rFonts w:ascii="Calibri" w:hAnsi="Calibri"/>
          <w:b w:val="0"/>
          <w:i w:val="0"/>
          <w:color w:val="263442"/>
          <w:sz w:val="20"/>
        </w:rPr>
        <w:t>The defensible experience is not transaction storage alone. It is the closed learning loop between conversational capture, verified financial truth and an evolving narrative memory. Competitors may display the same totals; Open Money Stories should earn trust by explaining the meaning and provenance of those totals.</w:t>
      </w:r>
    </w:p>
    <w:p>
      <w:r>
        <w:br w:type="page"/>
      </w:r>
    </w:p>
    <w:p>
      <w:pPr>
        <w:spacing w:after="60"/>
      </w:pPr>
      <w:r>
        <w:rPr>
          <w:rFonts w:ascii="Calibri" w:hAnsi="Calibri"/>
          <w:b/>
          <w:i w:val="0"/>
          <w:color w:val="C9962B"/>
          <w:sz w:val="18"/>
        </w:rPr>
        <w:t>PRODUCT VISION &amp; MISSION · 2 OF 2</w:t>
      </w:r>
    </w:p>
    <w:p>
      <w:pPr>
        <w:spacing w:after="100"/>
      </w:pPr>
      <w:r>
        <w:rPr>
          <w:rFonts w:ascii="Calibri" w:hAnsi="Calibri"/>
          <w:b/>
          <w:i w:val="0"/>
          <w:color w:val="17324D"/>
          <w:sz w:val="46"/>
        </w:rPr>
        <w:t>Mission and operating charter</w:t>
      </w:r>
    </w:p>
    <w:p>
      <w:pPr>
        <w:spacing w:after="180"/>
      </w:pPr>
      <w:r>
        <w:rPr>
          <w:rFonts w:ascii="Calibri" w:hAnsi="Calibri"/>
          <w:b w:val="0"/>
          <w:i/>
          <w:color w:val="667481"/>
          <w:sz w:val="22"/>
        </w:rPr>
        <w:t>Build trustworthy financial understanding one confirmed transaction—and one useful story—at a time.</w:t>
      </w:r>
    </w:p>
    <w:p>
      <w:pPr>
        <w:spacing w:after="160"/>
        <w:pBdr>
          <w:bottom w:val="single" w:sz="10" w:color="2E74B5"/>
        </w:pBdr>
      </w:pPr>
    </w:p>
    <w:p>
      <w:pPr>
        <w:pStyle w:val="Heading2"/>
      </w:pPr>
      <w:r>
        <w:t>Mission statement</w:t>
      </w:r>
    </w:p>
    <w:p>
      <w:r>
        <w:rPr>
          <w:rFonts w:ascii="Calibri" w:hAnsi="Calibri"/>
          <w:b w:val="0"/>
          <w:i w:val="0"/>
          <w:color w:val="263442"/>
          <w:sz w:val="20"/>
        </w:rPr>
        <w:t>Our mission is to reduce the effort required to maintain accurate personal-finance history and transform that history into timely, understandable and actionable self-awareness. We will combine conversational accessibility with rigorous confirmation, transparent evidence and respectful data practices.</w:t>
      </w:r>
    </w:p>
    <w:p>
      <w:pPr>
        <w:pStyle w:val="Heading2"/>
      </w:pPr>
      <w:r>
        <w:t>What we will do</w:t>
      </w:r>
    </w:p>
    <w:p>
      <w:pPr>
        <w:pStyle w:val="ListBullet"/>
      </w:pPr>
      <w:r>
        <w:rPr>
          <w:rFonts w:ascii="Calibri" w:hAnsi="Calibri"/>
          <w:b w:val="0"/>
          <w:i w:val="0"/>
          <w:color w:val="263442"/>
          <w:sz w:val="20"/>
        </w:rPr>
        <w:t>Make transaction capture fast, natural and resilient across text and voice.</w:t>
      </w:r>
    </w:p>
    <w:p>
      <w:pPr>
        <w:pStyle w:val="ListBullet"/>
      </w:pPr>
      <w:r>
        <w:rPr>
          <w:rFonts w:ascii="Calibri" w:hAnsi="Calibri"/>
          <w:b w:val="0"/>
          <w:i w:val="0"/>
          <w:color w:val="263442"/>
          <w:sz w:val="20"/>
        </w:rPr>
        <w:t>Ask for confirmation when meaning is ambiguous or a financial record will change.</w:t>
      </w:r>
    </w:p>
    <w:p>
      <w:pPr>
        <w:pStyle w:val="ListBullet"/>
      </w:pPr>
      <w:r>
        <w:rPr>
          <w:rFonts w:ascii="Calibri" w:hAnsi="Calibri"/>
          <w:b w:val="0"/>
          <w:i w:val="0"/>
          <w:color w:val="263442"/>
          <w:sz w:val="20"/>
        </w:rPr>
        <w:t>Turn verified facts into concise stories with an explicit comparison basis.</w:t>
      </w:r>
    </w:p>
    <w:p>
      <w:pPr>
        <w:pStyle w:val="ListBullet"/>
      </w:pPr>
      <w:r>
        <w:rPr>
          <w:rFonts w:ascii="Calibri" w:hAnsi="Calibri"/>
          <w:b w:val="0"/>
          <w:i w:val="0"/>
          <w:color w:val="263442"/>
          <w:sz w:val="20"/>
        </w:rPr>
        <w:t>Give users direct access to historical months, evidence and correction pathways.</w:t>
      </w:r>
    </w:p>
    <w:p>
      <w:pPr>
        <w:pStyle w:val="ListBullet"/>
      </w:pPr>
      <w:r>
        <w:rPr>
          <w:rFonts w:ascii="Calibri" w:hAnsi="Calibri"/>
          <w:b w:val="0"/>
          <w:i w:val="0"/>
          <w:color w:val="263442"/>
          <w:sz w:val="20"/>
        </w:rPr>
        <w:t>Continuously improve extraction and insight quality using consented, privacy-conscious learning.</w:t>
      </w:r>
    </w:p>
    <w:p>
      <w:pPr>
        <w:pStyle w:val="Heading2"/>
      </w:pPr>
      <w:r>
        <w:t>What we will not do</w:t>
      </w:r>
    </w:p>
    <w:p>
      <w:pPr>
        <w:pStyle w:val="ListBullet"/>
      </w:pPr>
      <w:r>
        <w:rPr>
          <w:rFonts w:ascii="Calibri" w:hAnsi="Calibri"/>
          <w:b w:val="0"/>
          <w:i w:val="0"/>
          <w:color w:val="263442"/>
          <w:sz w:val="20"/>
        </w:rPr>
        <w:t>Shame users, prescribe lifestyles or disguise opinion as financial truth.</w:t>
      </w:r>
    </w:p>
    <w:p>
      <w:pPr>
        <w:pStyle w:val="ListBullet"/>
      </w:pPr>
      <w:r>
        <w:rPr>
          <w:rFonts w:ascii="Calibri" w:hAnsi="Calibri"/>
          <w:b w:val="0"/>
          <w:i w:val="0"/>
          <w:color w:val="263442"/>
          <w:sz w:val="20"/>
        </w:rPr>
        <w:t>Generate stories merely to fill space or increase notifications.</w:t>
      </w:r>
    </w:p>
    <w:p>
      <w:pPr>
        <w:pStyle w:val="ListBullet"/>
      </w:pPr>
      <w:r>
        <w:rPr>
          <w:rFonts w:ascii="Calibri" w:hAnsi="Calibri"/>
          <w:b w:val="0"/>
          <w:i w:val="0"/>
          <w:color w:val="263442"/>
          <w:sz w:val="20"/>
        </w:rPr>
        <w:t>Hide uncertainty, source transactions or the effect of a correction.</w:t>
      </w:r>
    </w:p>
    <w:p>
      <w:pPr>
        <w:pStyle w:val="ListBullet"/>
      </w:pPr>
      <w:r>
        <w:rPr>
          <w:rFonts w:ascii="Calibri" w:hAnsi="Calibri"/>
          <w:b w:val="0"/>
          <w:i w:val="0"/>
          <w:color w:val="263442"/>
          <w:sz w:val="20"/>
        </w:rPr>
        <w:t>Expand into investments, lending or regulated advice without a separate product mandate.</w:t>
      </w:r>
    </w:p>
    <w:p>
      <w:pPr>
        <w:pStyle w:val="ListBullet"/>
      </w:pPr>
      <w:r>
        <w:rPr>
          <w:rFonts w:ascii="Calibri" w:hAnsi="Calibri"/>
          <w:b w:val="0"/>
          <w:i w:val="0"/>
          <w:color w:val="263442"/>
          <w:sz w:val="20"/>
        </w:rPr>
        <w:t>Trade user privacy for superficial personalisation.</w:t>
      </w:r>
    </w:p>
    <w:p>
      <w:pPr>
        <w:pStyle w:val="Heading2"/>
      </w:pPr>
      <w:r>
        <w:t>Operating measures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17324D"/>
            <w:tcMar>
              <w:top w:w="80" w:type="dxa"/>
              <w:start w:w="120" w:type="dxa"/>
              <w:bottom w:w="80" w:type="dxa"/>
              <w:end w:w="120" w:type="dxa"/>
            </w:tcMar>
            <w:vAlign w:val="center"/>
          </w:tcPr>
          <w:p>
            <w:pPr>
              <w:spacing w:after="0"/>
            </w:pPr>
            <w:r>
              <w:rPr>
                <w:rFonts w:ascii="Calibri" w:hAnsi="Calibri"/>
                <w:b/>
                <w:i w:val="0"/>
                <w:color w:val="FFFFFF"/>
                <w:sz w:val="18"/>
              </w:rPr>
              <w:t>Dimension</w:t>
            </w:r>
          </w:p>
        </w:tc>
        <w:tc>
          <w:tcPr>
            <w:tcW w:type="dxa" w:w="7260"/>
            <w:shd w:fill="17324D"/>
            <w:tcMar>
              <w:top w:w="80" w:type="dxa"/>
              <w:start w:w="120" w:type="dxa"/>
              <w:bottom w:w="80" w:type="dxa"/>
              <w:end w:w="120" w:type="dxa"/>
            </w:tcMar>
            <w:vAlign w:val="center"/>
          </w:tcPr>
          <w:p>
            <w:pPr>
              <w:spacing w:after="0"/>
            </w:pPr>
            <w:r>
              <w:rPr>
                <w:rFonts w:ascii="Calibri" w:hAnsi="Calibri"/>
                <w:b/>
                <w:i w:val="0"/>
                <w:color w:val="FFFFFF"/>
                <w:sz w:val="18"/>
              </w:rPr>
              <w:t>Question we will monitor</w:t>
            </w:r>
          </w:p>
        </w:tc>
      </w:tr>
      <w:tr>
        <w:tc>
          <w:tcPr>
            <w:tcW w:type="dxa" w:w="2100"/>
            <w:tcMar>
              <w:top w:w="80" w:type="dxa"/>
              <w:start w:w="120" w:type="dxa"/>
              <w:bottom w:w="80" w:type="dxa"/>
              <w:end w:w="120" w:type="dxa"/>
            </w:tcMar>
            <w:vAlign w:val="center"/>
          </w:tcPr>
          <w:p>
            <w:pPr>
              <w:spacing w:after="0"/>
            </w:pPr>
            <w:r>
              <w:rPr>
                <w:rFonts w:ascii="Calibri" w:hAnsi="Calibri"/>
                <w:b w:val="0"/>
                <w:i w:val="0"/>
                <w:color w:val="263442"/>
                <w:sz w:val="17"/>
              </w:rPr>
              <w:t>Trust</w:t>
            </w:r>
          </w:p>
        </w:tc>
        <w:tc>
          <w:tcPr>
            <w:tcW w:type="dxa" w:w="7260"/>
            <w:tcMar>
              <w:top w:w="80" w:type="dxa"/>
              <w:start w:w="120" w:type="dxa"/>
              <w:bottom w:w="80" w:type="dxa"/>
              <w:end w:w="120" w:type="dxa"/>
            </w:tcMar>
            <w:vAlign w:val="center"/>
          </w:tcPr>
          <w:p>
            <w:pPr>
              <w:spacing w:after="0"/>
            </w:pPr>
            <w:r>
              <w:rPr>
                <w:rFonts w:ascii="Calibri" w:hAnsi="Calibri"/>
                <w:b w:val="0"/>
                <w:i w:val="0"/>
                <w:color w:val="263442"/>
                <w:sz w:val="17"/>
              </w:rPr>
              <w:t>Did the system capture and explain the user’s reality correctly?</w:t>
            </w:r>
          </w:p>
        </w:tc>
      </w:tr>
      <w:tr>
        <w:tc>
          <w:tcPr>
            <w:tcW w:type="dxa" w:w="2100"/>
            <w:tcMar>
              <w:top w:w="80" w:type="dxa"/>
              <w:start w:w="120" w:type="dxa"/>
              <w:bottom w:w="80" w:type="dxa"/>
              <w:end w:w="120" w:type="dxa"/>
            </w:tcMar>
            <w:vAlign w:val="center"/>
          </w:tcPr>
          <w:p>
            <w:pPr>
              <w:spacing w:after="0"/>
            </w:pPr>
            <w:r>
              <w:rPr>
                <w:rFonts w:ascii="Calibri" w:hAnsi="Calibri"/>
                <w:b w:val="0"/>
                <w:i w:val="0"/>
                <w:color w:val="263442"/>
                <w:sz w:val="17"/>
              </w:rPr>
              <w:t>Utility</w:t>
            </w:r>
          </w:p>
        </w:tc>
        <w:tc>
          <w:tcPr>
            <w:tcW w:type="dxa" w:w="7260"/>
            <w:tcMar>
              <w:top w:w="80" w:type="dxa"/>
              <w:start w:w="120" w:type="dxa"/>
              <w:bottom w:w="80" w:type="dxa"/>
              <w:end w:w="120" w:type="dxa"/>
            </w:tcMar>
            <w:vAlign w:val="center"/>
          </w:tcPr>
          <w:p>
            <w:pPr>
              <w:spacing w:after="0"/>
            </w:pPr>
            <w:r>
              <w:rPr>
                <w:rFonts w:ascii="Calibri" w:hAnsi="Calibri"/>
                <w:b w:val="0"/>
                <w:i w:val="0"/>
                <w:color w:val="263442"/>
                <w:sz w:val="17"/>
              </w:rPr>
              <w:t>Did a story help the user notice or understand something meaningful?</w:t>
            </w:r>
          </w:p>
        </w:tc>
      </w:tr>
      <w:tr>
        <w:tc>
          <w:tcPr>
            <w:tcW w:type="dxa" w:w="2100"/>
            <w:tcMar>
              <w:top w:w="80" w:type="dxa"/>
              <w:start w:w="120" w:type="dxa"/>
              <w:bottom w:w="80" w:type="dxa"/>
              <w:end w:w="120" w:type="dxa"/>
            </w:tcMar>
            <w:vAlign w:val="center"/>
          </w:tcPr>
          <w:p>
            <w:pPr>
              <w:spacing w:after="0"/>
            </w:pPr>
            <w:r>
              <w:rPr>
                <w:rFonts w:ascii="Calibri" w:hAnsi="Calibri"/>
                <w:b w:val="0"/>
                <w:i w:val="0"/>
                <w:color w:val="263442"/>
                <w:sz w:val="17"/>
              </w:rPr>
              <w:t>Effort</w:t>
            </w:r>
          </w:p>
        </w:tc>
        <w:tc>
          <w:tcPr>
            <w:tcW w:type="dxa" w:w="7260"/>
            <w:tcMar>
              <w:top w:w="80" w:type="dxa"/>
              <w:start w:w="120" w:type="dxa"/>
              <w:bottom w:w="80" w:type="dxa"/>
              <w:end w:w="120" w:type="dxa"/>
            </w:tcMar>
            <w:vAlign w:val="center"/>
          </w:tcPr>
          <w:p>
            <w:pPr>
              <w:spacing w:after="0"/>
            </w:pPr>
            <w:r>
              <w:rPr>
                <w:rFonts w:ascii="Calibri" w:hAnsi="Calibri"/>
                <w:b w:val="0"/>
                <w:i w:val="0"/>
                <w:color w:val="263442"/>
                <w:sz w:val="17"/>
              </w:rPr>
              <w:t>How quickly can a user record, inspect or correct an event?</w:t>
            </w:r>
          </w:p>
        </w:tc>
      </w:tr>
      <w:tr>
        <w:tc>
          <w:tcPr>
            <w:tcW w:type="dxa" w:w="2100"/>
            <w:tcMar>
              <w:top w:w="80" w:type="dxa"/>
              <w:start w:w="120" w:type="dxa"/>
              <w:bottom w:w="80" w:type="dxa"/>
              <w:end w:w="120" w:type="dxa"/>
            </w:tcMar>
            <w:vAlign w:val="center"/>
          </w:tcPr>
          <w:p>
            <w:pPr>
              <w:spacing w:after="0"/>
            </w:pPr>
            <w:r>
              <w:rPr>
                <w:rFonts w:ascii="Calibri" w:hAnsi="Calibri"/>
                <w:b w:val="0"/>
                <w:i w:val="0"/>
                <w:color w:val="263442"/>
                <w:sz w:val="17"/>
              </w:rPr>
              <w:t>Continuity</w:t>
            </w:r>
          </w:p>
        </w:tc>
        <w:tc>
          <w:tcPr>
            <w:tcW w:type="dxa" w:w="7260"/>
            <w:tcMar>
              <w:top w:w="80" w:type="dxa"/>
              <w:start w:w="120" w:type="dxa"/>
              <w:bottom w:w="80" w:type="dxa"/>
              <w:end w:w="120" w:type="dxa"/>
            </w:tcMar>
            <w:vAlign w:val="center"/>
          </w:tcPr>
          <w:p>
            <w:pPr>
              <w:spacing w:after="0"/>
            </w:pPr>
            <w:r>
              <w:rPr>
                <w:rFonts w:ascii="Calibri" w:hAnsi="Calibri"/>
                <w:b w:val="0"/>
                <w:i w:val="0"/>
                <w:color w:val="263442"/>
                <w:sz w:val="17"/>
              </w:rPr>
              <w:t>Does the product preserve a coherent, updateable history over time?</w:t>
            </w:r>
          </w:p>
        </w:tc>
      </w:tr>
      <w:tr>
        <w:tc>
          <w:tcPr>
            <w:tcW w:type="dxa" w:w="2100"/>
            <w:tcMar>
              <w:top w:w="80" w:type="dxa"/>
              <w:start w:w="120" w:type="dxa"/>
              <w:bottom w:w="80" w:type="dxa"/>
              <w:end w:w="120" w:type="dxa"/>
            </w:tcMar>
            <w:vAlign w:val="center"/>
          </w:tcPr>
          <w:p>
            <w:pPr>
              <w:spacing w:after="0"/>
            </w:pPr>
            <w:r>
              <w:rPr>
                <w:rFonts w:ascii="Calibri" w:hAnsi="Calibri"/>
                <w:b w:val="0"/>
                <w:i w:val="0"/>
                <w:color w:val="263442"/>
                <w:sz w:val="17"/>
              </w:rPr>
              <w:t>Respect</w:t>
            </w:r>
          </w:p>
        </w:tc>
        <w:tc>
          <w:tcPr>
            <w:tcW w:type="dxa" w:w="7260"/>
            <w:tcMar>
              <w:top w:w="80" w:type="dxa"/>
              <w:start w:w="120" w:type="dxa"/>
              <w:bottom w:w="80" w:type="dxa"/>
              <w:end w:w="120" w:type="dxa"/>
            </w:tcMar>
            <w:vAlign w:val="center"/>
          </w:tcPr>
          <w:p>
            <w:pPr>
              <w:spacing w:after="0"/>
            </w:pPr>
            <w:r>
              <w:rPr>
                <w:rFonts w:ascii="Calibri" w:hAnsi="Calibri"/>
                <w:b w:val="0"/>
                <w:i w:val="0"/>
                <w:color w:val="263442"/>
                <w:sz w:val="17"/>
              </w:rPr>
              <w:t>Are consent, privacy, accessibility and neutral language built into decisions?</w:t>
            </w:r>
          </w:p>
        </w:tc>
      </w:tr>
    </w:tbl>
    <w:p>
      <w:pPr>
        <w:spacing w:after="0"/>
      </w:pPr>
    </w:p>
    <w:p>
      <w:pPr>
        <w:pStyle w:val="Heading2"/>
      </w:pPr>
      <w:r>
        <w:t>Near-term product charter</w:t>
      </w:r>
    </w:p>
    <w:p>
      <w:r>
        <w:rPr>
          <w:rFonts w:ascii="Calibri" w:hAnsi="Calibri"/>
          <w:b w:val="0"/>
          <w:i w:val="0"/>
          <w:color w:val="263442"/>
          <w:sz w:val="20"/>
        </w:rPr>
        <w:t>Ship the smallest complete loop, not a collection of disconnected features: WhatsApp capture → confirmation → portal reflection → evidence → secure correction → refreshed truth. Use pilot learning to establish quality thresholds before adding yearly analytics or broader financial capabilities.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EF4F8"/>
          </w:tcPr>
          <w:p>
            <w:pPr>
              <w:spacing w:after="0"/>
            </w:pPr>
            <w:r>
              <w:rPr>
                <w:rFonts w:ascii="Calibri" w:hAnsi="Calibri"/>
                <w:b/>
                <w:i w:val="0"/>
                <w:color w:val="2E74B5"/>
                <w:sz w:val="19"/>
              </w:rPr>
              <w:t xml:space="preserve">DECISION FILTER  </w:t>
            </w:r>
            <w:r>
              <w:rPr>
                <w:rFonts w:ascii="Calibri" w:hAnsi="Calibri"/>
                <w:b w:val="0"/>
                <w:i w:val="0"/>
                <w:color w:val="263442"/>
                <w:sz w:val="19"/>
              </w:rPr>
              <w:t>Prioritise work that improves truth, comprehension or correction. Defer work that adds visual complexity without strengthening one of those outcomes.</w:t>
            </w:r>
          </w:p>
        </w:tc>
      </w:tr>
    </w:tbl>
    <w:p>
      <w:pPr>
        <w:spacing w:after="0"/>
      </w:pP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7481"/>
        <w:sz w:val="16"/>
      </w:rPr>
      <w:t>Confidential working document  •  31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7481"/>
        <w:sz w:val="17"/>
      </w:rPr>
      <w:t>OPEN MONEY STORIES  |  PRODUCT DEFINITION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Calibri" w:hAnsi="Calibri"/>
      <w:color w:val="2634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2" w:lineRule="auto"/>
      <w:ind w:left="720" w:hanging="36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2" w:lineRule="auto"/>
      <w:ind w:left="720" w:hanging="360"/>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Money Stories — Business Requirements, Vision and Mission</dc:title>
  <dc:subject>Four-page BRD and two-page Product Vision &amp; Mission</dc:subject>
  <dc:creator>Product Strategy</dc:creator>
  <cp:keywords/>
  <dc:description>generated by python-docx</dc:description>
  <cp:lastModifiedBy/>
  <cp:revision>1</cp:revision>
  <dcterms:created xsi:type="dcterms:W3CDTF">2013-12-23T23:15:00Z</dcterms:created>
  <dcterms:modified xsi:type="dcterms:W3CDTF">2013-12-23T23:15:00Z</dcterms:modified>
  <cp:category/>
</cp:coreProperties>
</file>