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925F3" w14:textId="77777777" w:rsidR="00F74185" w:rsidRPr="00783F61" w:rsidRDefault="00F74185">
      <w:pPr>
        <w:spacing w:before="2200"/>
        <w:rPr>
          <w:rFonts w:ascii="Times New Roman" w:hAnsi="Times New Roman" w:cs="Times New Roman"/>
          <w:sz w:val="24"/>
          <w:szCs w:val="24"/>
        </w:rPr>
      </w:pPr>
    </w:p>
    <w:p w14:paraId="31C1A648" w14:textId="77777777" w:rsidR="00F74185" w:rsidRPr="00FC0C7D" w:rsidRDefault="00EF0CDE" w:rsidP="001E21ED">
      <w:pPr>
        <w:spacing w:after="100"/>
        <w:jc w:val="center"/>
        <w:rPr>
          <w:rFonts w:ascii="Times New Roman" w:hAnsi="Times New Roman" w:cs="Times New Roman"/>
          <w:color w:val="000000" w:themeColor="text1"/>
          <w:sz w:val="36"/>
          <w:szCs w:val="36"/>
        </w:rPr>
      </w:pPr>
      <w:r w:rsidRPr="00FC0C7D">
        <w:rPr>
          <w:rFonts w:ascii="Times New Roman" w:hAnsi="Times New Roman" w:cs="Times New Roman"/>
          <w:b/>
          <w:bCs/>
          <w:color w:val="000000" w:themeColor="text1"/>
          <w:sz w:val="36"/>
          <w:szCs w:val="36"/>
        </w:rPr>
        <w:t>CASE ANALYSIS REPORT</w:t>
      </w:r>
    </w:p>
    <w:p w14:paraId="6D14EB2D" w14:textId="77777777" w:rsidR="00F74185" w:rsidRPr="00FC0C7D" w:rsidRDefault="00EF0CDE" w:rsidP="0098463A">
      <w:pPr>
        <w:spacing w:after="600"/>
        <w:jc w:val="center"/>
        <w:rPr>
          <w:rFonts w:ascii="Times New Roman" w:hAnsi="Times New Roman" w:cs="Times New Roman"/>
          <w:color w:val="000000" w:themeColor="text1"/>
          <w:sz w:val="36"/>
          <w:szCs w:val="36"/>
        </w:rPr>
      </w:pPr>
      <w:r w:rsidRPr="00FC0C7D">
        <w:rPr>
          <w:rFonts w:ascii="Times New Roman" w:hAnsi="Times New Roman" w:cs="Times New Roman"/>
          <w:i/>
          <w:iCs/>
          <w:color w:val="000000" w:themeColor="text1"/>
          <w:sz w:val="36"/>
          <w:szCs w:val="36"/>
        </w:rPr>
        <w:t>Carlill v. Carbolic Smoke Ball Company (1893) 1 QB 256</w:t>
      </w:r>
    </w:p>
    <w:p w14:paraId="746F5008" w14:textId="77777777" w:rsidR="0098463A" w:rsidRPr="00783F61" w:rsidRDefault="0098463A" w:rsidP="001E21ED">
      <w:pPr>
        <w:spacing w:after="200"/>
        <w:jc w:val="both"/>
        <w:rPr>
          <w:rFonts w:ascii="Times New Roman" w:hAnsi="Times New Roman" w:cs="Times New Roman"/>
          <w:b/>
          <w:bCs/>
          <w:color w:val="000000" w:themeColor="text1"/>
          <w:sz w:val="24"/>
          <w:szCs w:val="24"/>
        </w:rPr>
      </w:pPr>
    </w:p>
    <w:p w14:paraId="50112B3B" w14:textId="77777777" w:rsidR="0098463A" w:rsidRPr="00783F61" w:rsidRDefault="0098463A" w:rsidP="001E21ED">
      <w:pPr>
        <w:spacing w:after="200"/>
        <w:jc w:val="both"/>
        <w:rPr>
          <w:rFonts w:ascii="Times New Roman" w:hAnsi="Times New Roman" w:cs="Times New Roman"/>
          <w:b/>
          <w:bCs/>
          <w:color w:val="000000" w:themeColor="text1"/>
          <w:sz w:val="24"/>
          <w:szCs w:val="24"/>
        </w:rPr>
      </w:pPr>
    </w:p>
    <w:p w14:paraId="4BE5432B" w14:textId="77777777" w:rsidR="0098463A" w:rsidRPr="00783F61" w:rsidRDefault="0098463A" w:rsidP="001E21ED">
      <w:pPr>
        <w:spacing w:after="200"/>
        <w:jc w:val="both"/>
        <w:rPr>
          <w:rFonts w:ascii="Times New Roman" w:hAnsi="Times New Roman" w:cs="Times New Roman"/>
          <w:b/>
          <w:bCs/>
          <w:color w:val="000000" w:themeColor="text1"/>
          <w:sz w:val="24"/>
          <w:szCs w:val="24"/>
        </w:rPr>
      </w:pPr>
    </w:p>
    <w:p w14:paraId="237F28C4" w14:textId="77777777" w:rsidR="0098463A" w:rsidRPr="00783F61" w:rsidRDefault="0098463A" w:rsidP="0098463A">
      <w:pPr>
        <w:spacing w:after="200"/>
        <w:jc w:val="center"/>
        <w:rPr>
          <w:rFonts w:ascii="Times New Roman" w:hAnsi="Times New Roman" w:cs="Times New Roman"/>
          <w:b/>
          <w:bCs/>
          <w:color w:val="000000" w:themeColor="text1"/>
          <w:sz w:val="24"/>
          <w:szCs w:val="24"/>
        </w:rPr>
      </w:pPr>
    </w:p>
    <w:p w14:paraId="3BE8C92B" w14:textId="77777777" w:rsidR="0098463A" w:rsidRPr="00783F61" w:rsidRDefault="0098463A" w:rsidP="0098463A">
      <w:pPr>
        <w:spacing w:after="200"/>
        <w:jc w:val="center"/>
        <w:rPr>
          <w:rFonts w:ascii="Times New Roman" w:hAnsi="Times New Roman" w:cs="Times New Roman"/>
          <w:b/>
          <w:bCs/>
          <w:color w:val="000000" w:themeColor="text1"/>
          <w:sz w:val="24"/>
          <w:szCs w:val="24"/>
        </w:rPr>
      </w:pPr>
    </w:p>
    <w:p w14:paraId="11B48B01" w14:textId="607D245C" w:rsidR="00F74185" w:rsidRPr="00FC0C7D" w:rsidRDefault="00EF0CDE" w:rsidP="0098463A">
      <w:pPr>
        <w:spacing w:after="200"/>
        <w:jc w:val="center"/>
        <w:rPr>
          <w:rFonts w:ascii="Times New Roman" w:hAnsi="Times New Roman" w:cs="Times New Roman"/>
          <w:color w:val="000000" w:themeColor="text1"/>
          <w:sz w:val="28"/>
          <w:szCs w:val="28"/>
        </w:rPr>
      </w:pPr>
      <w:r w:rsidRPr="00FC0C7D">
        <w:rPr>
          <w:rFonts w:ascii="Times New Roman" w:hAnsi="Times New Roman" w:cs="Times New Roman"/>
          <w:b/>
          <w:bCs/>
          <w:color w:val="000000" w:themeColor="text1"/>
          <w:sz w:val="28"/>
          <w:szCs w:val="28"/>
        </w:rPr>
        <w:t xml:space="preserve">Student Name:  </w:t>
      </w:r>
      <w:r w:rsidRPr="00FC0C7D">
        <w:rPr>
          <w:rFonts w:ascii="Times New Roman" w:hAnsi="Times New Roman" w:cs="Times New Roman"/>
          <w:color w:val="000000" w:themeColor="text1"/>
          <w:sz w:val="28"/>
          <w:szCs w:val="28"/>
        </w:rPr>
        <w:t>Deenah N</w:t>
      </w:r>
    </w:p>
    <w:p w14:paraId="56455431" w14:textId="6C7A581A" w:rsidR="00F74185" w:rsidRPr="00FC0C7D" w:rsidRDefault="00EF0CDE" w:rsidP="0098463A">
      <w:pPr>
        <w:spacing w:after="200"/>
        <w:jc w:val="center"/>
        <w:rPr>
          <w:rFonts w:ascii="Times New Roman" w:hAnsi="Times New Roman" w:cs="Times New Roman"/>
          <w:color w:val="000000" w:themeColor="text1"/>
          <w:sz w:val="28"/>
          <w:szCs w:val="28"/>
        </w:rPr>
      </w:pPr>
      <w:r w:rsidRPr="00FC0C7D">
        <w:rPr>
          <w:rFonts w:ascii="Times New Roman" w:hAnsi="Times New Roman" w:cs="Times New Roman"/>
          <w:b/>
          <w:bCs/>
          <w:color w:val="000000" w:themeColor="text1"/>
          <w:sz w:val="28"/>
          <w:szCs w:val="28"/>
        </w:rPr>
        <w:t>Register Numbe</w:t>
      </w:r>
      <w:r w:rsidR="0098463A" w:rsidRPr="00FC0C7D">
        <w:rPr>
          <w:rFonts w:ascii="Times New Roman" w:hAnsi="Times New Roman" w:cs="Times New Roman"/>
          <w:b/>
          <w:bCs/>
          <w:color w:val="000000" w:themeColor="text1"/>
          <w:sz w:val="28"/>
          <w:szCs w:val="28"/>
        </w:rPr>
        <w:t>r</w:t>
      </w:r>
      <w:r w:rsidRPr="00FC0C7D">
        <w:rPr>
          <w:rFonts w:ascii="Times New Roman" w:hAnsi="Times New Roman" w:cs="Times New Roman"/>
          <w:b/>
          <w:bCs/>
          <w:color w:val="000000" w:themeColor="text1"/>
          <w:sz w:val="28"/>
          <w:szCs w:val="28"/>
        </w:rPr>
        <w:t xml:space="preserve">:  </w:t>
      </w:r>
      <w:r w:rsidRPr="00FC0C7D">
        <w:rPr>
          <w:rFonts w:ascii="Times New Roman" w:hAnsi="Times New Roman" w:cs="Times New Roman"/>
          <w:color w:val="000000" w:themeColor="text1"/>
          <w:sz w:val="28"/>
          <w:szCs w:val="28"/>
        </w:rPr>
        <w:t>5272510203</w:t>
      </w:r>
    </w:p>
    <w:p w14:paraId="3CBBC9CC" w14:textId="155D085F" w:rsidR="00F74185" w:rsidRPr="00FC0C7D" w:rsidRDefault="0098463A" w:rsidP="0098463A">
      <w:pPr>
        <w:spacing w:after="200"/>
        <w:jc w:val="center"/>
        <w:rPr>
          <w:rFonts w:ascii="Times New Roman" w:hAnsi="Times New Roman" w:cs="Times New Roman"/>
          <w:color w:val="000000" w:themeColor="text1"/>
          <w:sz w:val="28"/>
          <w:szCs w:val="28"/>
        </w:rPr>
      </w:pPr>
      <w:r w:rsidRPr="00FC0C7D">
        <w:rPr>
          <w:rFonts w:ascii="Times New Roman" w:hAnsi="Times New Roman" w:cs="Times New Roman"/>
          <w:b/>
          <w:bCs/>
          <w:color w:val="000000" w:themeColor="text1"/>
          <w:sz w:val="28"/>
          <w:szCs w:val="28"/>
        </w:rPr>
        <w:t xml:space="preserve">Department:  </w:t>
      </w:r>
      <w:r w:rsidRPr="00FC0C7D">
        <w:rPr>
          <w:rFonts w:ascii="Times New Roman" w:hAnsi="Times New Roman" w:cs="Times New Roman"/>
          <w:color w:val="000000" w:themeColor="text1"/>
          <w:sz w:val="28"/>
          <w:szCs w:val="28"/>
        </w:rPr>
        <w:t>B.com (Fintech with AI)</w:t>
      </w:r>
    </w:p>
    <w:p w14:paraId="633C8D15" w14:textId="77777777" w:rsidR="00F74185" w:rsidRDefault="00F74185" w:rsidP="001E21ED">
      <w:pPr>
        <w:jc w:val="both"/>
        <w:rPr>
          <w:rFonts w:ascii="Times New Roman" w:hAnsi="Times New Roman" w:cs="Times New Roman"/>
          <w:color w:val="000000" w:themeColor="text1"/>
          <w:sz w:val="24"/>
          <w:szCs w:val="24"/>
        </w:rPr>
      </w:pPr>
    </w:p>
    <w:p w14:paraId="226BF9C2" w14:textId="77777777" w:rsidR="008D5C74" w:rsidRDefault="008D5C74" w:rsidP="001E21ED">
      <w:pPr>
        <w:jc w:val="both"/>
        <w:rPr>
          <w:rFonts w:ascii="Times New Roman" w:hAnsi="Times New Roman" w:cs="Times New Roman"/>
          <w:color w:val="000000" w:themeColor="text1"/>
          <w:sz w:val="24"/>
          <w:szCs w:val="24"/>
        </w:rPr>
      </w:pPr>
    </w:p>
    <w:p w14:paraId="33ACF7FE" w14:textId="77777777" w:rsidR="008D5C74" w:rsidRDefault="008D5C74" w:rsidP="001E21ED">
      <w:pPr>
        <w:jc w:val="both"/>
        <w:rPr>
          <w:rFonts w:ascii="Times New Roman" w:hAnsi="Times New Roman" w:cs="Times New Roman"/>
          <w:color w:val="000000" w:themeColor="text1"/>
          <w:sz w:val="24"/>
          <w:szCs w:val="24"/>
        </w:rPr>
      </w:pPr>
    </w:p>
    <w:p w14:paraId="165E9EC6" w14:textId="77777777" w:rsidR="008D5C74" w:rsidRDefault="008D5C74" w:rsidP="001E21ED">
      <w:pPr>
        <w:jc w:val="both"/>
        <w:rPr>
          <w:rFonts w:ascii="Times New Roman" w:hAnsi="Times New Roman" w:cs="Times New Roman"/>
          <w:color w:val="000000" w:themeColor="text1"/>
          <w:sz w:val="24"/>
          <w:szCs w:val="24"/>
        </w:rPr>
      </w:pPr>
    </w:p>
    <w:p w14:paraId="1395F569" w14:textId="77777777" w:rsidR="008D5C74" w:rsidRDefault="008D5C74" w:rsidP="001E21ED">
      <w:pPr>
        <w:jc w:val="both"/>
        <w:rPr>
          <w:rFonts w:ascii="Times New Roman" w:hAnsi="Times New Roman" w:cs="Times New Roman"/>
          <w:color w:val="000000" w:themeColor="text1"/>
          <w:sz w:val="24"/>
          <w:szCs w:val="24"/>
        </w:rPr>
      </w:pPr>
    </w:p>
    <w:p w14:paraId="0DDC3D96" w14:textId="77777777" w:rsidR="008D5C74" w:rsidRDefault="008D5C74" w:rsidP="001E21ED">
      <w:pPr>
        <w:jc w:val="both"/>
        <w:rPr>
          <w:rFonts w:ascii="Times New Roman" w:hAnsi="Times New Roman" w:cs="Times New Roman"/>
          <w:color w:val="000000" w:themeColor="text1"/>
          <w:sz w:val="24"/>
          <w:szCs w:val="24"/>
        </w:rPr>
      </w:pPr>
    </w:p>
    <w:p w14:paraId="2C37C9CE" w14:textId="77777777" w:rsidR="008D5C74" w:rsidRDefault="008D5C74" w:rsidP="001E21ED">
      <w:pPr>
        <w:jc w:val="both"/>
        <w:rPr>
          <w:rFonts w:ascii="Times New Roman" w:hAnsi="Times New Roman" w:cs="Times New Roman"/>
          <w:color w:val="000000" w:themeColor="text1"/>
          <w:sz w:val="24"/>
          <w:szCs w:val="24"/>
        </w:rPr>
      </w:pPr>
    </w:p>
    <w:p w14:paraId="5190D54D" w14:textId="77777777" w:rsidR="008D5C74" w:rsidRDefault="008D5C74" w:rsidP="001E21ED">
      <w:pPr>
        <w:jc w:val="both"/>
        <w:rPr>
          <w:rFonts w:ascii="Times New Roman" w:hAnsi="Times New Roman" w:cs="Times New Roman"/>
          <w:color w:val="000000" w:themeColor="text1"/>
          <w:sz w:val="24"/>
          <w:szCs w:val="24"/>
        </w:rPr>
      </w:pPr>
    </w:p>
    <w:p w14:paraId="74C93032" w14:textId="77777777" w:rsidR="008D5C74" w:rsidRDefault="008D5C74" w:rsidP="001E21ED">
      <w:pPr>
        <w:jc w:val="both"/>
        <w:rPr>
          <w:rFonts w:ascii="Times New Roman" w:hAnsi="Times New Roman" w:cs="Times New Roman"/>
          <w:color w:val="000000" w:themeColor="text1"/>
          <w:sz w:val="24"/>
          <w:szCs w:val="24"/>
        </w:rPr>
      </w:pPr>
    </w:p>
    <w:p w14:paraId="0765155D" w14:textId="77777777" w:rsidR="008D5C74" w:rsidRDefault="008D5C74" w:rsidP="001E21ED">
      <w:pPr>
        <w:jc w:val="both"/>
        <w:rPr>
          <w:rFonts w:ascii="Times New Roman" w:hAnsi="Times New Roman" w:cs="Times New Roman"/>
          <w:color w:val="000000" w:themeColor="text1"/>
          <w:sz w:val="24"/>
          <w:szCs w:val="24"/>
        </w:rPr>
      </w:pPr>
    </w:p>
    <w:p w14:paraId="024A6AB7" w14:textId="77777777" w:rsidR="008D5C74" w:rsidRDefault="008D5C74" w:rsidP="001E21ED">
      <w:pPr>
        <w:jc w:val="both"/>
        <w:rPr>
          <w:rFonts w:ascii="Times New Roman" w:hAnsi="Times New Roman" w:cs="Times New Roman"/>
          <w:color w:val="000000" w:themeColor="text1"/>
          <w:sz w:val="24"/>
          <w:szCs w:val="24"/>
        </w:rPr>
      </w:pPr>
    </w:p>
    <w:p w14:paraId="3DA9C13A" w14:textId="77777777" w:rsidR="008D5C74" w:rsidRDefault="008D5C74" w:rsidP="001E21ED">
      <w:pPr>
        <w:jc w:val="both"/>
        <w:rPr>
          <w:rFonts w:ascii="Times New Roman" w:hAnsi="Times New Roman" w:cs="Times New Roman"/>
          <w:color w:val="000000" w:themeColor="text1"/>
          <w:sz w:val="24"/>
          <w:szCs w:val="24"/>
        </w:rPr>
      </w:pPr>
    </w:p>
    <w:p w14:paraId="5E368A7E" w14:textId="77777777" w:rsidR="008D5C74" w:rsidRDefault="008D5C74" w:rsidP="001E21ED">
      <w:pPr>
        <w:jc w:val="both"/>
        <w:rPr>
          <w:rFonts w:ascii="Times New Roman" w:hAnsi="Times New Roman" w:cs="Times New Roman"/>
          <w:color w:val="000000" w:themeColor="text1"/>
          <w:sz w:val="24"/>
          <w:szCs w:val="24"/>
        </w:rPr>
      </w:pPr>
    </w:p>
    <w:p w14:paraId="5F5253FF" w14:textId="77777777" w:rsidR="008D5C74" w:rsidRPr="00985026" w:rsidRDefault="008D5C74" w:rsidP="00985026">
      <w:pPr>
        <w:jc w:val="center"/>
        <w:rPr>
          <w:rFonts w:ascii="Times New Roman" w:hAnsi="Times New Roman" w:cs="Times New Roman"/>
          <w:color w:val="000000" w:themeColor="text1"/>
          <w:sz w:val="28"/>
          <w:szCs w:val="28"/>
        </w:rPr>
      </w:pPr>
    </w:p>
    <w:p w14:paraId="212E85B1" w14:textId="77777777" w:rsidR="00267176" w:rsidRDefault="00267176" w:rsidP="00985026">
      <w:pPr>
        <w:pStyle w:val="Heading1"/>
        <w:pBdr>
          <w:bottom w:val="single" w:sz="6" w:space="4" w:color="1F3864"/>
        </w:pBdr>
        <w:spacing w:before="360" w:after="200"/>
        <w:jc w:val="center"/>
        <w:rPr>
          <w:rFonts w:ascii="Times New Roman" w:hAnsi="Times New Roman" w:cs="Times New Roman"/>
          <w:b/>
          <w:bCs/>
          <w:color w:val="000000" w:themeColor="text1"/>
          <w:sz w:val="28"/>
          <w:szCs w:val="28"/>
        </w:rPr>
      </w:pPr>
    </w:p>
    <w:p w14:paraId="65F28D13" w14:textId="35C0F3C8" w:rsidR="00985026" w:rsidRPr="00985026" w:rsidRDefault="00985026" w:rsidP="00985026">
      <w:pPr>
        <w:pStyle w:val="Heading1"/>
        <w:pBdr>
          <w:bottom w:val="single" w:sz="6" w:space="4" w:color="1F3864"/>
        </w:pBdr>
        <w:spacing w:before="360" w:after="200"/>
        <w:jc w:val="center"/>
        <w:rPr>
          <w:rFonts w:ascii="Times New Roman" w:hAnsi="Times New Roman" w:cs="Times New Roman"/>
          <w:b/>
          <w:bCs/>
          <w:color w:val="000000" w:themeColor="text1"/>
          <w:sz w:val="28"/>
          <w:szCs w:val="28"/>
        </w:rPr>
      </w:pPr>
      <w:r w:rsidRPr="00985026">
        <w:rPr>
          <w:rFonts w:ascii="Times New Roman" w:hAnsi="Times New Roman" w:cs="Times New Roman"/>
          <w:b/>
          <w:bCs/>
          <w:color w:val="000000" w:themeColor="text1"/>
          <w:sz w:val="28"/>
          <w:szCs w:val="28"/>
        </w:rPr>
        <w:lastRenderedPageBreak/>
        <w:t>Table of content</w:t>
      </w:r>
    </w:p>
    <w:tbl>
      <w:tblPr>
        <w:tblStyle w:val="TableGrid"/>
        <w:tblW w:w="0" w:type="auto"/>
        <w:tblLook w:val="04A0" w:firstRow="1" w:lastRow="0" w:firstColumn="1" w:lastColumn="0" w:noHBand="0" w:noVBand="1"/>
      </w:tblPr>
      <w:tblGrid>
        <w:gridCol w:w="1129"/>
        <w:gridCol w:w="8221"/>
      </w:tblGrid>
      <w:tr w:rsidR="0078416B" w14:paraId="76DD9F04" w14:textId="77777777" w:rsidTr="00267176">
        <w:trPr>
          <w:trHeight w:val="1077"/>
        </w:trPr>
        <w:tc>
          <w:tcPr>
            <w:tcW w:w="1129" w:type="dxa"/>
          </w:tcPr>
          <w:p w14:paraId="1D6DD56E" w14:textId="77777777" w:rsidR="00985026" w:rsidRDefault="00985026" w:rsidP="001E21ED">
            <w:pPr>
              <w:pStyle w:val="Heading1"/>
              <w:spacing w:before="360" w:after="200"/>
              <w:jc w:val="both"/>
              <w:rPr>
                <w:rFonts w:ascii="Times New Roman" w:hAnsi="Times New Roman" w:cs="Times New Roman"/>
                <w:b/>
                <w:bCs/>
                <w:color w:val="000000" w:themeColor="text1"/>
                <w:sz w:val="24"/>
                <w:szCs w:val="24"/>
              </w:rPr>
            </w:pPr>
          </w:p>
          <w:p w14:paraId="6D0CF227" w14:textId="574216B4" w:rsidR="0078416B" w:rsidRDefault="0078416B" w:rsidP="001E21ED">
            <w:pPr>
              <w:pStyle w:val="Heading1"/>
              <w:spacing w:before="360" w:after="20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S.NO</w:t>
            </w:r>
          </w:p>
        </w:tc>
        <w:tc>
          <w:tcPr>
            <w:tcW w:w="8221" w:type="dxa"/>
          </w:tcPr>
          <w:p w14:paraId="24B2B52F" w14:textId="2AA977D5" w:rsidR="0078416B" w:rsidRDefault="0078416B" w:rsidP="000B09A0">
            <w:pPr>
              <w:pStyle w:val="Heading1"/>
              <w:spacing w:before="360" w:after="20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Topics</w:t>
            </w:r>
          </w:p>
        </w:tc>
      </w:tr>
      <w:tr w:rsidR="0078416B" w14:paraId="5A973642" w14:textId="77777777" w:rsidTr="0078416B">
        <w:trPr>
          <w:trHeight w:val="569"/>
        </w:trPr>
        <w:tc>
          <w:tcPr>
            <w:tcW w:w="1129" w:type="dxa"/>
          </w:tcPr>
          <w:p w14:paraId="2F2A5F94" w14:textId="4266E5B2" w:rsidR="0078416B" w:rsidRPr="00267176" w:rsidRDefault="0078416B" w:rsidP="001E21ED">
            <w:pPr>
              <w:pStyle w:val="Heading1"/>
              <w:spacing w:before="360" w:after="200"/>
              <w:jc w:val="both"/>
              <w:rPr>
                <w:rFonts w:ascii="Times New Roman" w:hAnsi="Times New Roman" w:cs="Times New Roman"/>
                <w:color w:val="000000" w:themeColor="text1"/>
                <w:sz w:val="24"/>
                <w:szCs w:val="24"/>
              </w:rPr>
            </w:pPr>
            <w:r w:rsidRPr="00267176">
              <w:rPr>
                <w:rFonts w:ascii="Times New Roman" w:hAnsi="Times New Roman" w:cs="Times New Roman"/>
                <w:color w:val="000000" w:themeColor="text1"/>
                <w:sz w:val="24"/>
                <w:szCs w:val="24"/>
              </w:rPr>
              <w:t>1</w:t>
            </w:r>
          </w:p>
        </w:tc>
        <w:tc>
          <w:tcPr>
            <w:tcW w:w="8221" w:type="dxa"/>
          </w:tcPr>
          <w:p w14:paraId="07A185D0" w14:textId="5B94A139" w:rsidR="000B09A0" w:rsidRPr="00267176" w:rsidRDefault="000B09A0" w:rsidP="001E21ED">
            <w:pPr>
              <w:pStyle w:val="Heading1"/>
              <w:spacing w:before="360" w:after="200"/>
              <w:jc w:val="both"/>
              <w:rPr>
                <w:rFonts w:ascii="Times New Roman" w:hAnsi="Times New Roman" w:cs="Times New Roman"/>
                <w:color w:val="000000" w:themeColor="text1"/>
                <w:sz w:val="24"/>
                <w:szCs w:val="24"/>
              </w:rPr>
            </w:pPr>
            <w:r w:rsidRPr="00267176">
              <w:rPr>
                <w:rFonts w:ascii="Times New Roman" w:hAnsi="Times New Roman" w:cs="Times New Roman"/>
                <w:color w:val="000000" w:themeColor="text1"/>
                <w:sz w:val="24"/>
                <w:szCs w:val="24"/>
              </w:rPr>
              <w:t>Introduction</w:t>
            </w:r>
          </w:p>
        </w:tc>
      </w:tr>
      <w:tr w:rsidR="0078416B" w14:paraId="5AA4FCA0" w14:textId="77777777" w:rsidTr="0078416B">
        <w:tc>
          <w:tcPr>
            <w:tcW w:w="1129" w:type="dxa"/>
          </w:tcPr>
          <w:p w14:paraId="76095691" w14:textId="049EF4CA" w:rsidR="0078416B" w:rsidRPr="00267176" w:rsidRDefault="0078416B" w:rsidP="001E21ED">
            <w:pPr>
              <w:pStyle w:val="Heading1"/>
              <w:spacing w:before="360" w:after="200"/>
              <w:jc w:val="both"/>
              <w:rPr>
                <w:rFonts w:ascii="Times New Roman" w:hAnsi="Times New Roman" w:cs="Times New Roman"/>
                <w:color w:val="000000" w:themeColor="text1"/>
                <w:sz w:val="24"/>
                <w:szCs w:val="24"/>
              </w:rPr>
            </w:pPr>
            <w:r w:rsidRPr="00267176">
              <w:rPr>
                <w:rFonts w:ascii="Times New Roman" w:hAnsi="Times New Roman" w:cs="Times New Roman"/>
                <w:color w:val="000000" w:themeColor="text1"/>
                <w:sz w:val="24"/>
                <w:szCs w:val="24"/>
              </w:rPr>
              <w:t>2</w:t>
            </w:r>
          </w:p>
        </w:tc>
        <w:tc>
          <w:tcPr>
            <w:tcW w:w="8221" w:type="dxa"/>
          </w:tcPr>
          <w:p w14:paraId="5F4AFBA6" w14:textId="5F86F998" w:rsidR="0078416B" w:rsidRPr="00267176" w:rsidRDefault="005D3F07" w:rsidP="001E21ED">
            <w:pPr>
              <w:pStyle w:val="Heading1"/>
              <w:spacing w:before="360" w:after="200"/>
              <w:jc w:val="both"/>
              <w:rPr>
                <w:rFonts w:ascii="Times New Roman" w:hAnsi="Times New Roman" w:cs="Times New Roman"/>
                <w:color w:val="000000" w:themeColor="text1"/>
                <w:sz w:val="24"/>
                <w:szCs w:val="24"/>
              </w:rPr>
            </w:pPr>
            <w:r w:rsidRPr="00267176">
              <w:rPr>
                <w:rFonts w:ascii="Times New Roman" w:hAnsi="Times New Roman" w:cs="Times New Roman"/>
                <w:color w:val="000000" w:themeColor="text1"/>
                <w:sz w:val="24"/>
                <w:szCs w:val="24"/>
              </w:rPr>
              <w:t>Facts of the case</w:t>
            </w:r>
          </w:p>
        </w:tc>
      </w:tr>
      <w:tr w:rsidR="0078416B" w14:paraId="308B260B" w14:textId="77777777" w:rsidTr="0078416B">
        <w:tc>
          <w:tcPr>
            <w:tcW w:w="1129" w:type="dxa"/>
          </w:tcPr>
          <w:p w14:paraId="067C607E" w14:textId="5E8E121C" w:rsidR="0078416B" w:rsidRPr="00267176" w:rsidRDefault="000B09A0" w:rsidP="001E21ED">
            <w:pPr>
              <w:pStyle w:val="Heading1"/>
              <w:spacing w:before="360" w:after="200"/>
              <w:jc w:val="both"/>
              <w:rPr>
                <w:rFonts w:ascii="Times New Roman" w:hAnsi="Times New Roman" w:cs="Times New Roman"/>
                <w:color w:val="000000" w:themeColor="text1"/>
                <w:sz w:val="24"/>
                <w:szCs w:val="24"/>
              </w:rPr>
            </w:pPr>
            <w:r w:rsidRPr="00267176">
              <w:rPr>
                <w:rFonts w:ascii="Times New Roman" w:hAnsi="Times New Roman" w:cs="Times New Roman"/>
                <w:color w:val="000000" w:themeColor="text1"/>
                <w:sz w:val="24"/>
                <w:szCs w:val="24"/>
              </w:rPr>
              <w:t>3</w:t>
            </w:r>
          </w:p>
        </w:tc>
        <w:tc>
          <w:tcPr>
            <w:tcW w:w="8221" w:type="dxa"/>
          </w:tcPr>
          <w:p w14:paraId="6C8E777F" w14:textId="56C18E0D" w:rsidR="0078416B" w:rsidRPr="00267176" w:rsidRDefault="005D3F07" w:rsidP="001E21ED">
            <w:pPr>
              <w:pStyle w:val="Heading1"/>
              <w:spacing w:before="360" w:after="200"/>
              <w:jc w:val="both"/>
              <w:rPr>
                <w:rFonts w:ascii="Times New Roman" w:hAnsi="Times New Roman" w:cs="Times New Roman"/>
                <w:color w:val="000000" w:themeColor="text1"/>
                <w:sz w:val="24"/>
                <w:szCs w:val="24"/>
              </w:rPr>
            </w:pPr>
            <w:r w:rsidRPr="00267176">
              <w:rPr>
                <w:rFonts w:ascii="Times New Roman" w:hAnsi="Times New Roman" w:cs="Times New Roman"/>
                <w:color w:val="000000" w:themeColor="text1"/>
                <w:sz w:val="24"/>
                <w:szCs w:val="24"/>
              </w:rPr>
              <w:t>Legal Issue</w:t>
            </w:r>
          </w:p>
        </w:tc>
      </w:tr>
      <w:tr w:rsidR="0078416B" w14:paraId="20A80505" w14:textId="77777777" w:rsidTr="0078416B">
        <w:tc>
          <w:tcPr>
            <w:tcW w:w="1129" w:type="dxa"/>
          </w:tcPr>
          <w:p w14:paraId="653F44D7" w14:textId="0B59A66C" w:rsidR="0078416B" w:rsidRPr="00267176" w:rsidRDefault="000B09A0" w:rsidP="001E21ED">
            <w:pPr>
              <w:pStyle w:val="Heading1"/>
              <w:spacing w:before="360" w:after="200"/>
              <w:jc w:val="both"/>
              <w:rPr>
                <w:rFonts w:ascii="Times New Roman" w:hAnsi="Times New Roman" w:cs="Times New Roman"/>
                <w:color w:val="000000" w:themeColor="text1"/>
                <w:sz w:val="24"/>
                <w:szCs w:val="24"/>
              </w:rPr>
            </w:pPr>
            <w:r w:rsidRPr="00267176">
              <w:rPr>
                <w:rFonts w:ascii="Times New Roman" w:hAnsi="Times New Roman" w:cs="Times New Roman"/>
                <w:color w:val="000000" w:themeColor="text1"/>
                <w:sz w:val="24"/>
                <w:szCs w:val="24"/>
              </w:rPr>
              <w:t>4</w:t>
            </w:r>
          </w:p>
        </w:tc>
        <w:tc>
          <w:tcPr>
            <w:tcW w:w="8221" w:type="dxa"/>
          </w:tcPr>
          <w:p w14:paraId="4740EBEF" w14:textId="1E8FCAAC" w:rsidR="0078416B" w:rsidRPr="00267176" w:rsidRDefault="005D3F07" w:rsidP="001E21ED">
            <w:pPr>
              <w:pStyle w:val="Heading1"/>
              <w:spacing w:before="360" w:after="200"/>
              <w:jc w:val="both"/>
              <w:rPr>
                <w:rFonts w:ascii="Times New Roman" w:hAnsi="Times New Roman" w:cs="Times New Roman"/>
                <w:color w:val="000000" w:themeColor="text1"/>
                <w:sz w:val="24"/>
                <w:szCs w:val="24"/>
              </w:rPr>
            </w:pPr>
            <w:r w:rsidRPr="00267176">
              <w:rPr>
                <w:rFonts w:ascii="Times New Roman" w:hAnsi="Times New Roman" w:cs="Times New Roman"/>
                <w:color w:val="000000" w:themeColor="text1"/>
                <w:sz w:val="24"/>
                <w:szCs w:val="24"/>
              </w:rPr>
              <w:t>Judgement</w:t>
            </w:r>
          </w:p>
        </w:tc>
      </w:tr>
      <w:tr w:rsidR="0078416B" w14:paraId="63A4CF59" w14:textId="77777777" w:rsidTr="0078416B">
        <w:tc>
          <w:tcPr>
            <w:tcW w:w="1129" w:type="dxa"/>
          </w:tcPr>
          <w:p w14:paraId="68D55872" w14:textId="09524671" w:rsidR="0078416B" w:rsidRPr="00267176" w:rsidRDefault="000B09A0" w:rsidP="001E21ED">
            <w:pPr>
              <w:pStyle w:val="Heading1"/>
              <w:spacing w:before="360" w:after="200"/>
              <w:jc w:val="both"/>
              <w:rPr>
                <w:rFonts w:ascii="Times New Roman" w:hAnsi="Times New Roman" w:cs="Times New Roman"/>
                <w:color w:val="000000" w:themeColor="text1"/>
                <w:sz w:val="24"/>
                <w:szCs w:val="24"/>
              </w:rPr>
            </w:pPr>
            <w:r w:rsidRPr="00267176">
              <w:rPr>
                <w:rFonts w:ascii="Times New Roman" w:hAnsi="Times New Roman" w:cs="Times New Roman"/>
                <w:color w:val="000000" w:themeColor="text1"/>
                <w:sz w:val="24"/>
                <w:szCs w:val="24"/>
              </w:rPr>
              <w:t>5</w:t>
            </w:r>
          </w:p>
        </w:tc>
        <w:tc>
          <w:tcPr>
            <w:tcW w:w="8221" w:type="dxa"/>
          </w:tcPr>
          <w:p w14:paraId="5BAF0021" w14:textId="009B330F" w:rsidR="0078416B" w:rsidRPr="00267176" w:rsidRDefault="005D3F07" w:rsidP="001E21ED">
            <w:pPr>
              <w:pStyle w:val="Heading1"/>
              <w:spacing w:before="360" w:after="200"/>
              <w:jc w:val="both"/>
              <w:rPr>
                <w:rFonts w:ascii="Times New Roman" w:hAnsi="Times New Roman" w:cs="Times New Roman"/>
                <w:color w:val="000000" w:themeColor="text1"/>
                <w:sz w:val="24"/>
                <w:szCs w:val="24"/>
              </w:rPr>
            </w:pPr>
            <w:r w:rsidRPr="00267176">
              <w:rPr>
                <w:rFonts w:ascii="Times New Roman" w:hAnsi="Times New Roman" w:cs="Times New Roman"/>
                <w:color w:val="000000" w:themeColor="text1"/>
                <w:sz w:val="24"/>
                <w:szCs w:val="24"/>
              </w:rPr>
              <w:t>Legal Principle: Contract Formation Analysis</w:t>
            </w:r>
          </w:p>
        </w:tc>
      </w:tr>
      <w:tr w:rsidR="000B09A0" w14:paraId="6C98FFD3" w14:textId="77777777" w:rsidTr="0078416B">
        <w:tc>
          <w:tcPr>
            <w:tcW w:w="1129" w:type="dxa"/>
          </w:tcPr>
          <w:p w14:paraId="2AA906D7" w14:textId="449B4201" w:rsidR="000B09A0" w:rsidRPr="00267176" w:rsidRDefault="000B09A0" w:rsidP="001E21ED">
            <w:pPr>
              <w:pStyle w:val="Heading1"/>
              <w:spacing w:before="360" w:after="200"/>
              <w:jc w:val="both"/>
              <w:rPr>
                <w:rFonts w:ascii="Times New Roman" w:hAnsi="Times New Roman" w:cs="Times New Roman"/>
                <w:color w:val="000000" w:themeColor="text1"/>
                <w:sz w:val="24"/>
                <w:szCs w:val="24"/>
              </w:rPr>
            </w:pPr>
            <w:r w:rsidRPr="00267176">
              <w:rPr>
                <w:rFonts w:ascii="Times New Roman" w:hAnsi="Times New Roman" w:cs="Times New Roman"/>
                <w:color w:val="000000" w:themeColor="text1"/>
                <w:sz w:val="24"/>
                <w:szCs w:val="24"/>
              </w:rPr>
              <w:t>6</w:t>
            </w:r>
          </w:p>
        </w:tc>
        <w:tc>
          <w:tcPr>
            <w:tcW w:w="8221" w:type="dxa"/>
          </w:tcPr>
          <w:p w14:paraId="31783BC0" w14:textId="36CEE5FF" w:rsidR="000B09A0" w:rsidRPr="00267176" w:rsidRDefault="00165FE7" w:rsidP="001E21ED">
            <w:pPr>
              <w:pStyle w:val="Heading1"/>
              <w:spacing w:before="360" w:after="200"/>
              <w:jc w:val="both"/>
              <w:rPr>
                <w:rFonts w:ascii="Times New Roman" w:hAnsi="Times New Roman" w:cs="Times New Roman"/>
                <w:color w:val="000000" w:themeColor="text1"/>
                <w:sz w:val="24"/>
                <w:szCs w:val="24"/>
              </w:rPr>
            </w:pPr>
            <w:r w:rsidRPr="00267176">
              <w:rPr>
                <w:rFonts w:ascii="Times New Roman" w:hAnsi="Times New Roman" w:cs="Times New Roman"/>
                <w:color w:val="000000" w:themeColor="text1"/>
                <w:sz w:val="24"/>
                <w:szCs w:val="24"/>
              </w:rPr>
              <w:t>Business Relevance</w:t>
            </w:r>
          </w:p>
        </w:tc>
      </w:tr>
      <w:tr w:rsidR="000B09A0" w14:paraId="38B679FF" w14:textId="77777777" w:rsidTr="0078416B">
        <w:tc>
          <w:tcPr>
            <w:tcW w:w="1129" w:type="dxa"/>
          </w:tcPr>
          <w:p w14:paraId="64789DA9" w14:textId="1340000D" w:rsidR="000B09A0" w:rsidRPr="00267176" w:rsidRDefault="000B09A0" w:rsidP="001E21ED">
            <w:pPr>
              <w:pStyle w:val="Heading1"/>
              <w:spacing w:before="360" w:after="200"/>
              <w:jc w:val="both"/>
              <w:rPr>
                <w:rFonts w:ascii="Times New Roman" w:hAnsi="Times New Roman" w:cs="Times New Roman"/>
                <w:color w:val="000000" w:themeColor="text1"/>
                <w:sz w:val="24"/>
                <w:szCs w:val="24"/>
              </w:rPr>
            </w:pPr>
            <w:r w:rsidRPr="00267176">
              <w:rPr>
                <w:rFonts w:ascii="Times New Roman" w:hAnsi="Times New Roman" w:cs="Times New Roman"/>
                <w:color w:val="000000" w:themeColor="text1"/>
                <w:sz w:val="24"/>
                <w:szCs w:val="24"/>
              </w:rPr>
              <w:t>7</w:t>
            </w:r>
          </w:p>
        </w:tc>
        <w:tc>
          <w:tcPr>
            <w:tcW w:w="8221" w:type="dxa"/>
          </w:tcPr>
          <w:p w14:paraId="0245540F" w14:textId="7219826C" w:rsidR="000B09A0" w:rsidRPr="00267176" w:rsidRDefault="00165FE7" w:rsidP="001E21ED">
            <w:pPr>
              <w:pStyle w:val="Heading1"/>
              <w:spacing w:before="360" w:after="200"/>
              <w:jc w:val="both"/>
              <w:rPr>
                <w:rFonts w:ascii="Times New Roman" w:hAnsi="Times New Roman" w:cs="Times New Roman"/>
                <w:color w:val="000000" w:themeColor="text1"/>
                <w:sz w:val="24"/>
                <w:szCs w:val="24"/>
              </w:rPr>
            </w:pPr>
            <w:r w:rsidRPr="00267176">
              <w:rPr>
                <w:rFonts w:ascii="Times New Roman" w:hAnsi="Times New Roman" w:cs="Times New Roman"/>
                <w:color w:val="000000" w:themeColor="text1"/>
                <w:sz w:val="24"/>
                <w:szCs w:val="24"/>
              </w:rPr>
              <w:t>Conclusion</w:t>
            </w:r>
          </w:p>
        </w:tc>
      </w:tr>
    </w:tbl>
    <w:p w14:paraId="4A7389C6" w14:textId="77777777" w:rsidR="00C66E2C" w:rsidRDefault="00C66E2C" w:rsidP="001E21ED">
      <w:pPr>
        <w:pStyle w:val="Heading1"/>
        <w:pBdr>
          <w:bottom w:val="single" w:sz="6" w:space="4" w:color="1F3864"/>
        </w:pBdr>
        <w:spacing w:before="360" w:after="200"/>
        <w:jc w:val="both"/>
        <w:rPr>
          <w:rFonts w:ascii="Times New Roman" w:hAnsi="Times New Roman" w:cs="Times New Roman"/>
          <w:b/>
          <w:bCs/>
          <w:color w:val="000000" w:themeColor="text1"/>
          <w:sz w:val="24"/>
          <w:szCs w:val="24"/>
        </w:rPr>
      </w:pPr>
    </w:p>
    <w:p w14:paraId="3F6A4DEE" w14:textId="77777777" w:rsidR="00C66E2C" w:rsidRDefault="00C66E2C" w:rsidP="001E21ED">
      <w:pPr>
        <w:pStyle w:val="Heading1"/>
        <w:pBdr>
          <w:bottom w:val="single" w:sz="6" w:space="4" w:color="1F3864"/>
        </w:pBdr>
        <w:spacing w:before="360" w:after="200"/>
        <w:jc w:val="both"/>
        <w:rPr>
          <w:rFonts w:ascii="Times New Roman" w:hAnsi="Times New Roman" w:cs="Times New Roman"/>
          <w:b/>
          <w:bCs/>
          <w:color w:val="000000" w:themeColor="text1"/>
          <w:sz w:val="24"/>
          <w:szCs w:val="24"/>
        </w:rPr>
      </w:pPr>
    </w:p>
    <w:p w14:paraId="68A27901" w14:textId="77777777" w:rsidR="00C66E2C" w:rsidRDefault="00C66E2C" w:rsidP="001E21ED">
      <w:pPr>
        <w:pStyle w:val="Heading1"/>
        <w:pBdr>
          <w:bottom w:val="single" w:sz="6" w:space="4" w:color="1F3864"/>
        </w:pBdr>
        <w:spacing w:before="360" w:after="200"/>
        <w:jc w:val="both"/>
        <w:rPr>
          <w:rFonts w:ascii="Times New Roman" w:hAnsi="Times New Roman" w:cs="Times New Roman"/>
          <w:b/>
          <w:bCs/>
          <w:color w:val="000000" w:themeColor="text1"/>
          <w:sz w:val="24"/>
          <w:szCs w:val="24"/>
        </w:rPr>
      </w:pPr>
    </w:p>
    <w:p w14:paraId="408B085A" w14:textId="77777777" w:rsidR="00C66E2C" w:rsidRDefault="00C66E2C" w:rsidP="001E21ED">
      <w:pPr>
        <w:pStyle w:val="Heading1"/>
        <w:pBdr>
          <w:bottom w:val="single" w:sz="6" w:space="4" w:color="1F3864"/>
        </w:pBdr>
        <w:spacing w:before="360" w:after="200"/>
        <w:jc w:val="both"/>
        <w:rPr>
          <w:rFonts w:ascii="Times New Roman" w:hAnsi="Times New Roman" w:cs="Times New Roman"/>
          <w:b/>
          <w:bCs/>
          <w:color w:val="000000" w:themeColor="text1"/>
          <w:sz w:val="24"/>
          <w:szCs w:val="24"/>
        </w:rPr>
      </w:pPr>
    </w:p>
    <w:p w14:paraId="28AA06DF" w14:textId="77777777" w:rsidR="00C66E2C" w:rsidRDefault="00C66E2C" w:rsidP="001E21ED">
      <w:pPr>
        <w:pStyle w:val="Heading1"/>
        <w:pBdr>
          <w:bottom w:val="single" w:sz="6" w:space="4" w:color="1F3864"/>
        </w:pBdr>
        <w:spacing w:before="360" w:after="200"/>
        <w:jc w:val="both"/>
        <w:rPr>
          <w:rFonts w:ascii="Times New Roman" w:hAnsi="Times New Roman" w:cs="Times New Roman"/>
          <w:b/>
          <w:bCs/>
          <w:color w:val="000000" w:themeColor="text1"/>
          <w:sz w:val="24"/>
          <w:szCs w:val="24"/>
        </w:rPr>
      </w:pPr>
    </w:p>
    <w:p w14:paraId="449402CD" w14:textId="77777777" w:rsidR="00C66E2C" w:rsidRDefault="00C66E2C" w:rsidP="001E21ED">
      <w:pPr>
        <w:pStyle w:val="Heading1"/>
        <w:pBdr>
          <w:bottom w:val="single" w:sz="6" w:space="4" w:color="1F3864"/>
        </w:pBdr>
        <w:spacing w:before="360" w:after="200"/>
        <w:jc w:val="both"/>
        <w:rPr>
          <w:rFonts w:ascii="Times New Roman" w:hAnsi="Times New Roman" w:cs="Times New Roman"/>
          <w:b/>
          <w:bCs/>
          <w:color w:val="000000" w:themeColor="text1"/>
          <w:sz w:val="24"/>
          <w:szCs w:val="24"/>
        </w:rPr>
      </w:pPr>
    </w:p>
    <w:p w14:paraId="7A26B14C" w14:textId="77777777" w:rsidR="00267176" w:rsidRDefault="00267176" w:rsidP="001E21ED">
      <w:pPr>
        <w:pStyle w:val="Heading1"/>
        <w:pBdr>
          <w:bottom w:val="single" w:sz="6" w:space="4" w:color="1F3864"/>
        </w:pBdr>
        <w:spacing w:before="360" w:after="200"/>
        <w:jc w:val="both"/>
        <w:rPr>
          <w:rFonts w:ascii="Times New Roman" w:hAnsi="Times New Roman" w:cs="Times New Roman"/>
          <w:b/>
          <w:bCs/>
          <w:color w:val="000000" w:themeColor="text1"/>
          <w:sz w:val="24"/>
          <w:szCs w:val="24"/>
        </w:rPr>
      </w:pPr>
    </w:p>
    <w:p w14:paraId="091C2E5A" w14:textId="08993F86" w:rsidR="00F74185" w:rsidRPr="00783F61" w:rsidRDefault="00EF0CDE" w:rsidP="001E21ED">
      <w:pPr>
        <w:pStyle w:val="Heading1"/>
        <w:pBdr>
          <w:bottom w:val="single" w:sz="6" w:space="4" w:color="1F3864"/>
        </w:pBdr>
        <w:spacing w:before="360" w:after="200"/>
        <w:jc w:val="both"/>
        <w:rPr>
          <w:rFonts w:ascii="Times New Roman" w:hAnsi="Times New Roman" w:cs="Times New Roman"/>
          <w:color w:val="000000" w:themeColor="text1"/>
          <w:sz w:val="24"/>
          <w:szCs w:val="24"/>
        </w:rPr>
      </w:pPr>
      <w:r w:rsidRPr="00783F61">
        <w:rPr>
          <w:rFonts w:ascii="Times New Roman" w:hAnsi="Times New Roman" w:cs="Times New Roman"/>
          <w:b/>
          <w:bCs/>
          <w:color w:val="000000" w:themeColor="text1"/>
          <w:sz w:val="24"/>
          <w:szCs w:val="24"/>
        </w:rPr>
        <w:lastRenderedPageBreak/>
        <w:t>1. Introduction</w:t>
      </w:r>
    </w:p>
    <w:p w14:paraId="192AE3DA" w14:textId="77777777" w:rsidR="00F74185" w:rsidRPr="00783F61" w:rsidRDefault="00EF0CDE" w:rsidP="001E21ED">
      <w:pPr>
        <w:pStyle w:val="Heading2"/>
        <w:spacing w:before="280" w:after="140"/>
        <w:jc w:val="both"/>
        <w:rPr>
          <w:rFonts w:ascii="Times New Roman" w:hAnsi="Times New Roman" w:cs="Times New Roman"/>
          <w:color w:val="000000" w:themeColor="text1"/>
          <w:sz w:val="24"/>
          <w:szCs w:val="24"/>
        </w:rPr>
      </w:pPr>
      <w:r w:rsidRPr="00783F61">
        <w:rPr>
          <w:rFonts w:ascii="Times New Roman" w:hAnsi="Times New Roman" w:cs="Times New Roman"/>
          <w:b/>
          <w:bCs/>
          <w:color w:val="000000" w:themeColor="text1"/>
          <w:sz w:val="24"/>
          <w:szCs w:val="24"/>
        </w:rPr>
        <w:t>1.1 Case Citation &amp; Jurisdiction</w:t>
      </w:r>
    </w:p>
    <w:p w14:paraId="1D73DBAB" w14:textId="77777777" w:rsidR="00F74185" w:rsidRPr="00783F61" w:rsidRDefault="00EF0CDE" w:rsidP="001E21ED">
      <w:pPr>
        <w:spacing w:after="180" w:line="300" w:lineRule="auto"/>
        <w:jc w:val="both"/>
        <w:rPr>
          <w:rFonts w:ascii="Times New Roman" w:hAnsi="Times New Roman" w:cs="Times New Roman"/>
          <w:color w:val="000000" w:themeColor="text1"/>
          <w:sz w:val="24"/>
          <w:szCs w:val="24"/>
        </w:rPr>
      </w:pPr>
      <w:r w:rsidRPr="00783F61">
        <w:rPr>
          <w:rFonts w:ascii="Times New Roman" w:hAnsi="Times New Roman" w:cs="Times New Roman"/>
          <w:color w:val="000000" w:themeColor="text1"/>
          <w:sz w:val="24"/>
          <w:szCs w:val="24"/>
        </w:rPr>
        <w:t>Case Name: Carlill v. Carbolic Smoke Ball Company</w:t>
      </w:r>
    </w:p>
    <w:p w14:paraId="00BEEED0" w14:textId="77777777" w:rsidR="00F74185" w:rsidRPr="00783F61" w:rsidRDefault="00EF0CDE" w:rsidP="001E21ED">
      <w:pPr>
        <w:spacing w:after="180" w:line="300" w:lineRule="auto"/>
        <w:jc w:val="both"/>
        <w:rPr>
          <w:rFonts w:ascii="Times New Roman" w:hAnsi="Times New Roman" w:cs="Times New Roman"/>
          <w:color w:val="000000" w:themeColor="text1"/>
          <w:sz w:val="24"/>
          <w:szCs w:val="24"/>
        </w:rPr>
      </w:pPr>
      <w:r w:rsidRPr="00783F61">
        <w:rPr>
          <w:rFonts w:ascii="Times New Roman" w:hAnsi="Times New Roman" w:cs="Times New Roman"/>
          <w:color w:val="000000" w:themeColor="text1"/>
          <w:sz w:val="24"/>
          <w:szCs w:val="24"/>
        </w:rPr>
        <w:t xml:space="preserve">Citation: (1893) 1 QB 256; also reported as (1892) EWCA </w:t>
      </w:r>
      <w:proofErr w:type="spellStart"/>
      <w:r w:rsidRPr="00783F61">
        <w:rPr>
          <w:rFonts w:ascii="Times New Roman" w:hAnsi="Times New Roman" w:cs="Times New Roman"/>
          <w:color w:val="000000" w:themeColor="text1"/>
          <w:sz w:val="24"/>
          <w:szCs w:val="24"/>
        </w:rPr>
        <w:t>Civ</w:t>
      </w:r>
      <w:proofErr w:type="spellEnd"/>
      <w:r w:rsidRPr="00783F61">
        <w:rPr>
          <w:rFonts w:ascii="Times New Roman" w:hAnsi="Times New Roman" w:cs="Times New Roman"/>
          <w:color w:val="000000" w:themeColor="text1"/>
          <w:sz w:val="24"/>
          <w:szCs w:val="24"/>
        </w:rPr>
        <w:t xml:space="preserve"> 1.</w:t>
      </w:r>
    </w:p>
    <w:p w14:paraId="37DC642D" w14:textId="77777777" w:rsidR="00F74185" w:rsidRPr="00783F61" w:rsidRDefault="00EF0CDE" w:rsidP="001E21ED">
      <w:pPr>
        <w:spacing w:after="180" w:line="300" w:lineRule="auto"/>
        <w:jc w:val="both"/>
        <w:rPr>
          <w:rFonts w:ascii="Times New Roman" w:hAnsi="Times New Roman" w:cs="Times New Roman"/>
          <w:color w:val="000000" w:themeColor="text1"/>
          <w:sz w:val="24"/>
          <w:szCs w:val="24"/>
        </w:rPr>
      </w:pPr>
      <w:r w:rsidRPr="00783F61">
        <w:rPr>
          <w:rFonts w:ascii="Times New Roman" w:hAnsi="Times New Roman" w:cs="Times New Roman"/>
          <w:color w:val="000000" w:themeColor="text1"/>
          <w:sz w:val="24"/>
          <w:szCs w:val="24"/>
        </w:rPr>
        <w:t>Court: Court of Appeal, England and Wales (Bench: Lord Justice Lindley, Lord Justice Bowen, and Lord Justice A. L. Smith).</w:t>
      </w:r>
    </w:p>
    <w:p w14:paraId="1CFBD82F" w14:textId="77777777" w:rsidR="00F74185" w:rsidRPr="00783F61" w:rsidRDefault="00EF0CDE" w:rsidP="001E21ED">
      <w:pPr>
        <w:spacing w:after="180" w:line="300" w:lineRule="auto"/>
        <w:jc w:val="both"/>
        <w:rPr>
          <w:rFonts w:ascii="Times New Roman" w:hAnsi="Times New Roman" w:cs="Times New Roman"/>
          <w:color w:val="000000" w:themeColor="text1"/>
          <w:sz w:val="24"/>
          <w:szCs w:val="24"/>
        </w:rPr>
      </w:pPr>
      <w:r w:rsidRPr="00783F61">
        <w:rPr>
          <w:rFonts w:ascii="Times New Roman" w:hAnsi="Times New Roman" w:cs="Times New Roman"/>
          <w:color w:val="000000" w:themeColor="text1"/>
          <w:sz w:val="24"/>
          <w:szCs w:val="24"/>
        </w:rPr>
        <w:t>Year of Judgment: The Court of Appeal delivered its decision on 7-8 December 1892, and the case is most commonly cited by its law report year, 1893.</w:t>
      </w:r>
    </w:p>
    <w:p w14:paraId="04A14D1B" w14:textId="77777777" w:rsidR="00F74185" w:rsidRPr="00783F61" w:rsidRDefault="00EF0CDE" w:rsidP="001E21ED">
      <w:pPr>
        <w:pStyle w:val="Heading2"/>
        <w:spacing w:before="280" w:after="140"/>
        <w:jc w:val="both"/>
        <w:rPr>
          <w:rFonts w:ascii="Times New Roman" w:hAnsi="Times New Roman" w:cs="Times New Roman"/>
          <w:color w:val="000000" w:themeColor="text1"/>
          <w:sz w:val="24"/>
          <w:szCs w:val="24"/>
        </w:rPr>
      </w:pPr>
      <w:r w:rsidRPr="00783F61">
        <w:rPr>
          <w:rFonts w:ascii="Times New Roman" w:hAnsi="Times New Roman" w:cs="Times New Roman"/>
          <w:b/>
          <w:bCs/>
          <w:color w:val="000000" w:themeColor="text1"/>
          <w:sz w:val="24"/>
          <w:szCs w:val="24"/>
        </w:rPr>
        <w:t>1.2 Brief Introduction to the Case</w:t>
      </w:r>
    </w:p>
    <w:p w14:paraId="3B17C9F8" w14:textId="77777777" w:rsidR="00F74185" w:rsidRPr="00783F61" w:rsidRDefault="00EF0CDE" w:rsidP="001E21ED">
      <w:pPr>
        <w:spacing w:after="180" w:line="300" w:lineRule="auto"/>
        <w:jc w:val="both"/>
        <w:rPr>
          <w:rFonts w:ascii="Times New Roman" w:hAnsi="Times New Roman" w:cs="Times New Roman"/>
          <w:color w:val="000000" w:themeColor="text1"/>
          <w:sz w:val="24"/>
          <w:szCs w:val="24"/>
        </w:rPr>
      </w:pPr>
      <w:r w:rsidRPr="00783F61">
        <w:rPr>
          <w:rFonts w:ascii="Times New Roman" w:hAnsi="Times New Roman" w:cs="Times New Roman"/>
          <w:color w:val="000000" w:themeColor="text1"/>
          <w:sz w:val="24"/>
          <w:szCs w:val="24"/>
        </w:rPr>
        <w:t>This case is one of the most famous cases in the history of English contract law. It deals with a simple but important question: can a newspaper advertisement be treated as a real, legally binding offer, or is it just a marketing gimmick with no legal weight? The Carbolic Smoke Ball Company, the defendant, published an advertisement promising a cash reward of £100 to any person who used their product as directed and still caught influenza. Mrs. Carlill, the plaintiff, relied on this advertisement, bought the product, used it exactly as instructed, and still fell ill. When the company refused to pay her, she sued them. The case eventually reached the Court of Appeal, which had to decide whether the advertisement amounted to a genuine offer that Mrs. Carlill had accepted, thereby creating an enforceable contract. The judgment given in this case laid the foundation for what we now call a 'unilateral contract', and it continues to be taught in law schools and cited in courts across the world.</w:t>
      </w:r>
    </w:p>
    <w:p w14:paraId="1AABFBAC" w14:textId="77777777" w:rsidR="00F74185" w:rsidRPr="00783F61" w:rsidRDefault="00EF0CDE" w:rsidP="001E21ED">
      <w:pPr>
        <w:pStyle w:val="Heading1"/>
        <w:pBdr>
          <w:bottom w:val="single" w:sz="6" w:space="4" w:color="1F3864"/>
        </w:pBdr>
        <w:spacing w:before="360" w:after="200"/>
        <w:jc w:val="both"/>
        <w:rPr>
          <w:rFonts w:ascii="Times New Roman" w:hAnsi="Times New Roman" w:cs="Times New Roman"/>
          <w:color w:val="000000" w:themeColor="text1"/>
          <w:sz w:val="24"/>
          <w:szCs w:val="24"/>
        </w:rPr>
      </w:pPr>
      <w:r w:rsidRPr="00783F61">
        <w:rPr>
          <w:rFonts w:ascii="Times New Roman" w:hAnsi="Times New Roman" w:cs="Times New Roman"/>
          <w:b/>
          <w:bCs/>
          <w:color w:val="000000" w:themeColor="text1"/>
          <w:sz w:val="24"/>
          <w:szCs w:val="24"/>
        </w:rPr>
        <w:t>2. Facts of the Case</w:t>
      </w:r>
    </w:p>
    <w:p w14:paraId="52E2C163" w14:textId="77777777" w:rsidR="00F74185" w:rsidRPr="00783F61" w:rsidRDefault="00EF0CDE" w:rsidP="001E21ED">
      <w:pPr>
        <w:pStyle w:val="Heading2"/>
        <w:spacing w:before="280" w:after="140"/>
        <w:jc w:val="both"/>
        <w:rPr>
          <w:rFonts w:ascii="Times New Roman" w:hAnsi="Times New Roman" w:cs="Times New Roman"/>
          <w:color w:val="000000" w:themeColor="text1"/>
          <w:sz w:val="24"/>
          <w:szCs w:val="24"/>
        </w:rPr>
      </w:pPr>
      <w:r w:rsidRPr="00783F61">
        <w:rPr>
          <w:rFonts w:ascii="Times New Roman" w:hAnsi="Times New Roman" w:cs="Times New Roman"/>
          <w:b/>
          <w:bCs/>
          <w:color w:val="000000" w:themeColor="text1"/>
          <w:sz w:val="24"/>
          <w:szCs w:val="24"/>
        </w:rPr>
        <w:t>2.1 Chronological Summary of Events</w:t>
      </w:r>
    </w:p>
    <w:p w14:paraId="6021CCE1" w14:textId="77777777" w:rsidR="00F74185" w:rsidRPr="00783F61" w:rsidRDefault="00EF0CDE" w:rsidP="001E21ED">
      <w:pPr>
        <w:pStyle w:val="ListParagraph"/>
        <w:numPr>
          <w:ilvl w:val="0"/>
          <w:numId w:val="1"/>
        </w:numPr>
        <w:spacing w:after="100" w:line="300" w:lineRule="auto"/>
        <w:jc w:val="both"/>
        <w:rPr>
          <w:rFonts w:ascii="Times New Roman" w:hAnsi="Times New Roman" w:cs="Times New Roman"/>
          <w:color w:val="000000" w:themeColor="text1"/>
          <w:sz w:val="24"/>
          <w:szCs w:val="24"/>
        </w:rPr>
      </w:pPr>
      <w:r w:rsidRPr="00783F61">
        <w:rPr>
          <w:rFonts w:ascii="Times New Roman" w:hAnsi="Times New Roman" w:cs="Times New Roman"/>
          <w:color w:val="000000" w:themeColor="text1"/>
          <w:sz w:val="24"/>
          <w:szCs w:val="24"/>
        </w:rPr>
        <w:t>13 November 1891: The Carbolic Smoke Ball Company published an advertisement in the Pall Mall Gazette and other newspapers. The advertisement promised £100 to any person who contracted influenza, a cold, or any disease caused by cold, after using the smoke ball three times daily for two weeks, exactly as per the printed directions.</w:t>
      </w:r>
    </w:p>
    <w:p w14:paraId="0BBDAC62" w14:textId="77777777" w:rsidR="00F74185" w:rsidRPr="00783F61" w:rsidRDefault="00EF0CDE" w:rsidP="001E21ED">
      <w:pPr>
        <w:pStyle w:val="ListParagraph"/>
        <w:numPr>
          <w:ilvl w:val="0"/>
          <w:numId w:val="1"/>
        </w:numPr>
        <w:spacing w:after="100" w:line="300" w:lineRule="auto"/>
        <w:jc w:val="both"/>
        <w:rPr>
          <w:rFonts w:ascii="Times New Roman" w:hAnsi="Times New Roman" w:cs="Times New Roman"/>
          <w:color w:val="000000" w:themeColor="text1"/>
          <w:sz w:val="24"/>
          <w:szCs w:val="24"/>
        </w:rPr>
      </w:pPr>
      <w:r w:rsidRPr="00783F61">
        <w:rPr>
          <w:rFonts w:ascii="Times New Roman" w:hAnsi="Times New Roman" w:cs="Times New Roman"/>
          <w:color w:val="000000" w:themeColor="text1"/>
          <w:sz w:val="24"/>
          <w:szCs w:val="24"/>
        </w:rPr>
        <w:t>As proof of their sincerity, the company stated that it had deposited £1,000 with the Alliance Bank on Regent Street, specifically to meet any claims that might arise.</w:t>
      </w:r>
    </w:p>
    <w:p w14:paraId="068ADA83" w14:textId="77777777" w:rsidR="00F74185" w:rsidRPr="00783F61" w:rsidRDefault="00EF0CDE" w:rsidP="001E21ED">
      <w:pPr>
        <w:pStyle w:val="ListParagraph"/>
        <w:numPr>
          <w:ilvl w:val="0"/>
          <w:numId w:val="1"/>
        </w:numPr>
        <w:spacing w:after="100" w:line="300" w:lineRule="auto"/>
        <w:jc w:val="both"/>
        <w:rPr>
          <w:rFonts w:ascii="Times New Roman" w:hAnsi="Times New Roman" w:cs="Times New Roman"/>
          <w:color w:val="000000" w:themeColor="text1"/>
          <w:sz w:val="24"/>
          <w:szCs w:val="24"/>
        </w:rPr>
      </w:pPr>
      <w:r w:rsidRPr="00783F61">
        <w:rPr>
          <w:rFonts w:ascii="Times New Roman" w:hAnsi="Times New Roman" w:cs="Times New Roman"/>
          <w:color w:val="000000" w:themeColor="text1"/>
          <w:sz w:val="24"/>
          <w:szCs w:val="24"/>
        </w:rPr>
        <w:t>Mrs. Carlill read the advertisement, trusted it, and purchased a smoke ball from a chemist.</w:t>
      </w:r>
    </w:p>
    <w:p w14:paraId="17ED7BD4" w14:textId="77777777" w:rsidR="00F74185" w:rsidRPr="00783F61" w:rsidRDefault="00EF0CDE" w:rsidP="001E21ED">
      <w:pPr>
        <w:pStyle w:val="ListParagraph"/>
        <w:numPr>
          <w:ilvl w:val="0"/>
          <w:numId w:val="1"/>
        </w:numPr>
        <w:spacing w:after="100" w:line="300" w:lineRule="auto"/>
        <w:jc w:val="both"/>
        <w:rPr>
          <w:rFonts w:ascii="Times New Roman" w:hAnsi="Times New Roman" w:cs="Times New Roman"/>
          <w:color w:val="000000" w:themeColor="text1"/>
          <w:sz w:val="24"/>
          <w:szCs w:val="24"/>
        </w:rPr>
      </w:pPr>
      <w:r w:rsidRPr="00783F61">
        <w:rPr>
          <w:rFonts w:ascii="Times New Roman" w:hAnsi="Times New Roman" w:cs="Times New Roman"/>
          <w:color w:val="000000" w:themeColor="text1"/>
          <w:sz w:val="24"/>
          <w:szCs w:val="24"/>
        </w:rPr>
        <w:lastRenderedPageBreak/>
        <w:t>20 November 1891 to 17 January 1892: Mrs. Carlill used the smoke ball three times a day, strictly following the printed instructions, for a period covering the required two weeks and beyond.</w:t>
      </w:r>
    </w:p>
    <w:p w14:paraId="0CB43C40" w14:textId="77777777" w:rsidR="00F74185" w:rsidRPr="00783F61" w:rsidRDefault="00EF0CDE" w:rsidP="001E21ED">
      <w:pPr>
        <w:pStyle w:val="ListParagraph"/>
        <w:numPr>
          <w:ilvl w:val="0"/>
          <w:numId w:val="1"/>
        </w:numPr>
        <w:spacing w:after="100" w:line="300" w:lineRule="auto"/>
        <w:jc w:val="both"/>
        <w:rPr>
          <w:rFonts w:ascii="Times New Roman" w:hAnsi="Times New Roman" w:cs="Times New Roman"/>
          <w:color w:val="000000" w:themeColor="text1"/>
          <w:sz w:val="24"/>
          <w:szCs w:val="24"/>
        </w:rPr>
      </w:pPr>
      <w:r w:rsidRPr="00783F61">
        <w:rPr>
          <w:rFonts w:ascii="Times New Roman" w:hAnsi="Times New Roman" w:cs="Times New Roman"/>
          <w:color w:val="000000" w:themeColor="text1"/>
          <w:sz w:val="24"/>
          <w:szCs w:val="24"/>
        </w:rPr>
        <w:t>Despite following the directions carefully, Mrs. Carlill caught influenza during this period.</w:t>
      </w:r>
    </w:p>
    <w:p w14:paraId="79781A9E" w14:textId="77777777" w:rsidR="00F74185" w:rsidRPr="00783F61" w:rsidRDefault="00EF0CDE" w:rsidP="001E21ED">
      <w:pPr>
        <w:pStyle w:val="ListParagraph"/>
        <w:numPr>
          <w:ilvl w:val="0"/>
          <w:numId w:val="1"/>
        </w:numPr>
        <w:spacing w:after="100" w:line="300" w:lineRule="auto"/>
        <w:jc w:val="both"/>
        <w:rPr>
          <w:rFonts w:ascii="Times New Roman" w:hAnsi="Times New Roman" w:cs="Times New Roman"/>
          <w:color w:val="000000" w:themeColor="text1"/>
          <w:sz w:val="24"/>
          <w:szCs w:val="24"/>
        </w:rPr>
      </w:pPr>
      <w:r w:rsidRPr="00783F61">
        <w:rPr>
          <w:rFonts w:ascii="Times New Roman" w:hAnsi="Times New Roman" w:cs="Times New Roman"/>
          <w:color w:val="000000" w:themeColor="text1"/>
          <w:sz w:val="24"/>
          <w:szCs w:val="24"/>
        </w:rPr>
        <w:t>Mrs. Carlill's husband, who was a solicitor, wrote to the company on her behalf, explaining what had happened and asking for the promised £100.</w:t>
      </w:r>
    </w:p>
    <w:p w14:paraId="0FA22885" w14:textId="77777777" w:rsidR="00F74185" w:rsidRPr="00783F61" w:rsidRDefault="00EF0CDE" w:rsidP="001E21ED">
      <w:pPr>
        <w:pStyle w:val="ListParagraph"/>
        <w:numPr>
          <w:ilvl w:val="0"/>
          <w:numId w:val="1"/>
        </w:numPr>
        <w:spacing w:after="100" w:line="300" w:lineRule="auto"/>
        <w:jc w:val="both"/>
        <w:rPr>
          <w:rFonts w:ascii="Times New Roman" w:hAnsi="Times New Roman" w:cs="Times New Roman"/>
          <w:color w:val="000000" w:themeColor="text1"/>
          <w:sz w:val="24"/>
          <w:szCs w:val="24"/>
        </w:rPr>
      </w:pPr>
      <w:r w:rsidRPr="00783F61">
        <w:rPr>
          <w:rFonts w:ascii="Times New Roman" w:hAnsi="Times New Roman" w:cs="Times New Roman"/>
          <w:color w:val="000000" w:themeColor="text1"/>
          <w:sz w:val="24"/>
          <w:szCs w:val="24"/>
        </w:rPr>
        <w:t>The company refused to pay. It argued that the advertisement was not meant to be taken literally and that, in any case, it had no way to verify whether the product had actually been used correctly.</w:t>
      </w:r>
    </w:p>
    <w:p w14:paraId="5AF93960" w14:textId="77777777" w:rsidR="00F74185" w:rsidRPr="00783F61" w:rsidRDefault="00EF0CDE" w:rsidP="001E21ED">
      <w:pPr>
        <w:pStyle w:val="ListParagraph"/>
        <w:numPr>
          <w:ilvl w:val="0"/>
          <w:numId w:val="1"/>
        </w:numPr>
        <w:spacing w:after="100" w:line="300" w:lineRule="auto"/>
        <w:jc w:val="both"/>
        <w:rPr>
          <w:rFonts w:ascii="Times New Roman" w:hAnsi="Times New Roman" w:cs="Times New Roman"/>
          <w:color w:val="000000" w:themeColor="text1"/>
          <w:sz w:val="24"/>
          <w:szCs w:val="24"/>
        </w:rPr>
      </w:pPr>
      <w:r w:rsidRPr="00783F61">
        <w:rPr>
          <w:rFonts w:ascii="Times New Roman" w:hAnsi="Times New Roman" w:cs="Times New Roman"/>
          <w:color w:val="000000" w:themeColor="text1"/>
          <w:sz w:val="24"/>
          <w:szCs w:val="24"/>
        </w:rPr>
        <w:t>Mrs. Carlill filed a suit before Justice Hawkins, who along with a jury ruled in her favour. The company then appealed to the Court of Appeal.</w:t>
      </w:r>
    </w:p>
    <w:p w14:paraId="261B0785" w14:textId="77777777" w:rsidR="00F74185" w:rsidRPr="00783F61" w:rsidRDefault="00EF0CDE" w:rsidP="001E21ED">
      <w:pPr>
        <w:pStyle w:val="ListParagraph"/>
        <w:numPr>
          <w:ilvl w:val="0"/>
          <w:numId w:val="1"/>
        </w:numPr>
        <w:spacing w:after="100" w:line="300" w:lineRule="auto"/>
        <w:jc w:val="both"/>
        <w:rPr>
          <w:rFonts w:ascii="Times New Roman" w:hAnsi="Times New Roman" w:cs="Times New Roman"/>
          <w:color w:val="000000" w:themeColor="text1"/>
          <w:sz w:val="24"/>
          <w:szCs w:val="24"/>
        </w:rPr>
      </w:pPr>
      <w:r w:rsidRPr="00783F61">
        <w:rPr>
          <w:rFonts w:ascii="Times New Roman" w:hAnsi="Times New Roman" w:cs="Times New Roman"/>
          <w:color w:val="000000" w:themeColor="text1"/>
          <w:sz w:val="24"/>
          <w:szCs w:val="24"/>
        </w:rPr>
        <w:t>7-8 December 1892: The Court of Appeal, comprising three judges, unanimously dismissed the company's appeal and confirmed that Mrs. Carlill was entitled to the £100 reward.</w:t>
      </w:r>
    </w:p>
    <w:p w14:paraId="75FC4584" w14:textId="77777777" w:rsidR="00F74185" w:rsidRPr="00783F61" w:rsidRDefault="00EF0CDE" w:rsidP="001E21ED">
      <w:pPr>
        <w:pStyle w:val="Heading2"/>
        <w:spacing w:before="280" w:after="140"/>
        <w:jc w:val="both"/>
        <w:rPr>
          <w:rFonts w:ascii="Times New Roman" w:hAnsi="Times New Roman" w:cs="Times New Roman"/>
          <w:color w:val="000000" w:themeColor="text1"/>
          <w:sz w:val="24"/>
          <w:szCs w:val="24"/>
        </w:rPr>
      </w:pPr>
      <w:r w:rsidRPr="00783F61">
        <w:rPr>
          <w:rFonts w:ascii="Times New Roman" w:hAnsi="Times New Roman" w:cs="Times New Roman"/>
          <w:b/>
          <w:bCs/>
          <w:color w:val="000000" w:themeColor="text1"/>
          <w:sz w:val="24"/>
          <w:szCs w:val="24"/>
        </w:rPr>
        <w:t>2.2 Material Commercial Context</w:t>
      </w:r>
    </w:p>
    <w:p w14:paraId="6A03CEBD" w14:textId="77777777" w:rsidR="00F74185" w:rsidRPr="00783F61" w:rsidRDefault="00EF0CDE" w:rsidP="001E21ED">
      <w:pPr>
        <w:spacing w:after="180" w:line="300" w:lineRule="auto"/>
        <w:jc w:val="both"/>
        <w:rPr>
          <w:rFonts w:ascii="Times New Roman" w:hAnsi="Times New Roman" w:cs="Times New Roman"/>
          <w:color w:val="000000" w:themeColor="text1"/>
          <w:sz w:val="24"/>
          <w:szCs w:val="24"/>
        </w:rPr>
      </w:pPr>
      <w:r w:rsidRPr="00783F61">
        <w:rPr>
          <w:rFonts w:ascii="Times New Roman" w:hAnsi="Times New Roman" w:cs="Times New Roman"/>
          <w:color w:val="000000" w:themeColor="text1"/>
          <w:sz w:val="24"/>
          <w:szCs w:val="24"/>
        </w:rPr>
        <w:t>The underlying commercial relationship here was that of a manufacturer advertising and selling a consumer health product directly to the general public. The Carbolic Smoke Ball was a rubber ball fitted to a tube, filled with carbolic acid, which the user would insert into the nose and squeeze to release vapours. The company was, in effect, making a public health claim about its product and backing that claim with a monetary promise. This is best understood as a business-to-consumer (B2C) transaction combined with a promotional or advertising scheme. The advertisement was not a private negotiation between two known parties; it was a mass communication directed at the entire buying public, which is exactly what made the legal question in this case so interesting: could such a broad, impersonal promise still create a binding legal obligation once a specific person acted on it?</w:t>
      </w:r>
    </w:p>
    <w:p w14:paraId="2F1F172E" w14:textId="77777777" w:rsidR="00F74185" w:rsidRPr="00783F61" w:rsidRDefault="00EF0CDE" w:rsidP="001E21ED">
      <w:pPr>
        <w:pStyle w:val="Heading1"/>
        <w:pBdr>
          <w:bottom w:val="single" w:sz="6" w:space="4" w:color="1F3864"/>
        </w:pBdr>
        <w:spacing w:before="360" w:after="200"/>
        <w:jc w:val="both"/>
        <w:rPr>
          <w:rFonts w:ascii="Times New Roman" w:hAnsi="Times New Roman" w:cs="Times New Roman"/>
          <w:color w:val="000000" w:themeColor="text1"/>
          <w:sz w:val="24"/>
          <w:szCs w:val="24"/>
        </w:rPr>
      </w:pPr>
      <w:r w:rsidRPr="00783F61">
        <w:rPr>
          <w:rFonts w:ascii="Times New Roman" w:hAnsi="Times New Roman" w:cs="Times New Roman"/>
          <w:b/>
          <w:bCs/>
          <w:color w:val="000000" w:themeColor="text1"/>
          <w:sz w:val="24"/>
          <w:szCs w:val="24"/>
        </w:rPr>
        <w:t>3. Legal Issue</w:t>
      </w:r>
    </w:p>
    <w:p w14:paraId="56C9167A" w14:textId="77777777" w:rsidR="00F74185" w:rsidRPr="00783F61" w:rsidRDefault="00EF0CDE" w:rsidP="001E21ED">
      <w:pPr>
        <w:pStyle w:val="Heading2"/>
        <w:spacing w:before="280" w:after="140"/>
        <w:jc w:val="both"/>
        <w:rPr>
          <w:rFonts w:ascii="Times New Roman" w:hAnsi="Times New Roman" w:cs="Times New Roman"/>
          <w:color w:val="000000" w:themeColor="text1"/>
          <w:sz w:val="24"/>
          <w:szCs w:val="24"/>
        </w:rPr>
      </w:pPr>
      <w:r w:rsidRPr="00783F61">
        <w:rPr>
          <w:rFonts w:ascii="Times New Roman" w:hAnsi="Times New Roman" w:cs="Times New Roman"/>
          <w:b/>
          <w:bCs/>
          <w:color w:val="000000" w:themeColor="text1"/>
          <w:sz w:val="24"/>
          <w:szCs w:val="24"/>
        </w:rPr>
        <w:t>3.1 Primary Question of Law</w:t>
      </w:r>
    </w:p>
    <w:p w14:paraId="7B702D32" w14:textId="77777777" w:rsidR="00F74185" w:rsidRPr="00783F61" w:rsidRDefault="00EF0CDE" w:rsidP="001E21ED">
      <w:pPr>
        <w:spacing w:after="180" w:line="300" w:lineRule="auto"/>
        <w:jc w:val="both"/>
        <w:rPr>
          <w:rFonts w:ascii="Times New Roman" w:hAnsi="Times New Roman" w:cs="Times New Roman"/>
          <w:color w:val="000000" w:themeColor="text1"/>
          <w:sz w:val="24"/>
          <w:szCs w:val="24"/>
        </w:rPr>
      </w:pPr>
      <w:r w:rsidRPr="00783F61">
        <w:rPr>
          <w:rFonts w:ascii="Times New Roman" w:hAnsi="Times New Roman" w:cs="Times New Roman"/>
          <w:color w:val="000000" w:themeColor="text1"/>
          <w:sz w:val="24"/>
          <w:szCs w:val="24"/>
        </w:rPr>
        <w:t>The central legal question before the Court of Appeal was: Whether an advertisement offering a reward to anyone who fulfils certain stated conditions can amount to a valid, legally binding offer capable of being accepted by conduct, so as to create an enforceable unilateral contract, even without any formal communication of acceptance to the offeror.</w:t>
      </w:r>
    </w:p>
    <w:p w14:paraId="77CE5370" w14:textId="3FE60536" w:rsidR="008B50F2" w:rsidRPr="00783F61" w:rsidRDefault="00EF0CDE" w:rsidP="00772742">
      <w:pPr>
        <w:spacing w:after="180" w:line="300" w:lineRule="auto"/>
        <w:jc w:val="both"/>
        <w:rPr>
          <w:rFonts w:ascii="Times New Roman" w:hAnsi="Times New Roman" w:cs="Times New Roman"/>
          <w:color w:val="000000" w:themeColor="text1"/>
          <w:sz w:val="24"/>
          <w:szCs w:val="24"/>
        </w:rPr>
      </w:pPr>
      <w:r w:rsidRPr="00783F61">
        <w:rPr>
          <w:rFonts w:ascii="Times New Roman" w:hAnsi="Times New Roman" w:cs="Times New Roman"/>
          <w:color w:val="000000" w:themeColor="text1"/>
          <w:sz w:val="24"/>
          <w:szCs w:val="24"/>
        </w:rPr>
        <w:t>This broad question can be broken down into four smaller issues that the court actually examined:</w:t>
      </w:r>
    </w:p>
    <w:p w14:paraId="480F0B0A" w14:textId="27C626E1" w:rsidR="00F74185" w:rsidRPr="00783F61" w:rsidRDefault="00EF0CDE" w:rsidP="001E21ED">
      <w:pPr>
        <w:pStyle w:val="ListParagraph"/>
        <w:numPr>
          <w:ilvl w:val="0"/>
          <w:numId w:val="1"/>
        </w:numPr>
        <w:spacing w:after="100" w:line="300" w:lineRule="auto"/>
        <w:jc w:val="both"/>
        <w:rPr>
          <w:rFonts w:ascii="Times New Roman" w:hAnsi="Times New Roman" w:cs="Times New Roman"/>
          <w:color w:val="000000" w:themeColor="text1"/>
          <w:sz w:val="24"/>
          <w:szCs w:val="24"/>
        </w:rPr>
      </w:pPr>
      <w:r w:rsidRPr="00783F61">
        <w:rPr>
          <w:rFonts w:ascii="Times New Roman" w:hAnsi="Times New Roman" w:cs="Times New Roman"/>
          <w:color w:val="000000" w:themeColor="text1"/>
          <w:sz w:val="24"/>
          <w:szCs w:val="24"/>
        </w:rPr>
        <w:lastRenderedPageBreak/>
        <w:t>Was the advertisement a genuine offer, or was it merely 'sales talk' (often called a 'mere puff') with no intention to be legally bound?</w:t>
      </w:r>
    </w:p>
    <w:p w14:paraId="042767B0" w14:textId="77777777" w:rsidR="00F74185" w:rsidRPr="00783F61" w:rsidRDefault="00EF0CDE" w:rsidP="001E21ED">
      <w:pPr>
        <w:pStyle w:val="ListParagraph"/>
        <w:numPr>
          <w:ilvl w:val="0"/>
          <w:numId w:val="1"/>
        </w:numPr>
        <w:spacing w:after="100" w:line="300" w:lineRule="auto"/>
        <w:jc w:val="both"/>
        <w:rPr>
          <w:rFonts w:ascii="Times New Roman" w:hAnsi="Times New Roman" w:cs="Times New Roman"/>
          <w:color w:val="000000" w:themeColor="text1"/>
          <w:sz w:val="24"/>
          <w:szCs w:val="24"/>
        </w:rPr>
      </w:pPr>
      <w:r w:rsidRPr="00783F61">
        <w:rPr>
          <w:rFonts w:ascii="Times New Roman" w:hAnsi="Times New Roman" w:cs="Times New Roman"/>
          <w:color w:val="000000" w:themeColor="text1"/>
          <w:sz w:val="24"/>
          <w:szCs w:val="24"/>
        </w:rPr>
        <w:t>Was the offer too vague to be enforced, since it did not name a specific person and did not fix a time limit for catching the illness?</w:t>
      </w:r>
    </w:p>
    <w:p w14:paraId="76C1715F" w14:textId="77777777" w:rsidR="00F74185" w:rsidRPr="00783F61" w:rsidRDefault="00EF0CDE" w:rsidP="001E21ED">
      <w:pPr>
        <w:pStyle w:val="ListParagraph"/>
        <w:numPr>
          <w:ilvl w:val="0"/>
          <w:numId w:val="1"/>
        </w:numPr>
        <w:spacing w:after="100" w:line="300" w:lineRule="auto"/>
        <w:jc w:val="both"/>
        <w:rPr>
          <w:rFonts w:ascii="Times New Roman" w:hAnsi="Times New Roman" w:cs="Times New Roman"/>
          <w:color w:val="000000" w:themeColor="text1"/>
          <w:sz w:val="24"/>
          <w:szCs w:val="24"/>
        </w:rPr>
      </w:pPr>
      <w:r w:rsidRPr="00783F61">
        <w:rPr>
          <w:rFonts w:ascii="Times New Roman" w:hAnsi="Times New Roman" w:cs="Times New Roman"/>
          <w:color w:val="000000" w:themeColor="text1"/>
          <w:sz w:val="24"/>
          <w:szCs w:val="24"/>
        </w:rPr>
        <w:t>Did Mrs. Carlill need to formally notify the company of her acceptance before she could claim the reward, or was her conduct in using the product enough?</w:t>
      </w:r>
    </w:p>
    <w:p w14:paraId="762750AE" w14:textId="77777777" w:rsidR="00F74185" w:rsidRPr="00783F61" w:rsidRDefault="00EF0CDE" w:rsidP="001E21ED">
      <w:pPr>
        <w:pStyle w:val="ListParagraph"/>
        <w:numPr>
          <w:ilvl w:val="0"/>
          <w:numId w:val="1"/>
        </w:numPr>
        <w:spacing w:after="100" w:line="300" w:lineRule="auto"/>
        <w:jc w:val="both"/>
        <w:rPr>
          <w:rFonts w:ascii="Times New Roman" w:hAnsi="Times New Roman" w:cs="Times New Roman"/>
          <w:color w:val="000000" w:themeColor="text1"/>
          <w:sz w:val="24"/>
          <w:szCs w:val="24"/>
        </w:rPr>
      </w:pPr>
      <w:r w:rsidRPr="00783F61">
        <w:rPr>
          <w:rFonts w:ascii="Times New Roman" w:hAnsi="Times New Roman" w:cs="Times New Roman"/>
          <w:color w:val="000000" w:themeColor="text1"/>
          <w:sz w:val="24"/>
          <w:szCs w:val="24"/>
        </w:rPr>
        <w:t>Did Mrs. Carlill provide any 'consideration' (something of value given in return) to support the company's promise, given that she was not personally known to the company beforehand?</w:t>
      </w:r>
    </w:p>
    <w:p w14:paraId="5D4F1720" w14:textId="77777777" w:rsidR="00F74185" w:rsidRPr="00783F61" w:rsidRDefault="00EF0CDE" w:rsidP="001E21ED">
      <w:pPr>
        <w:pStyle w:val="Heading2"/>
        <w:spacing w:before="280" w:after="140"/>
        <w:jc w:val="both"/>
        <w:rPr>
          <w:rFonts w:ascii="Times New Roman" w:hAnsi="Times New Roman" w:cs="Times New Roman"/>
          <w:color w:val="000000" w:themeColor="text1"/>
          <w:sz w:val="24"/>
          <w:szCs w:val="24"/>
        </w:rPr>
      </w:pPr>
      <w:r w:rsidRPr="00783F61">
        <w:rPr>
          <w:rFonts w:ascii="Times New Roman" w:hAnsi="Times New Roman" w:cs="Times New Roman"/>
          <w:b/>
          <w:bCs/>
          <w:color w:val="000000" w:themeColor="text1"/>
          <w:sz w:val="24"/>
          <w:szCs w:val="24"/>
        </w:rPr>
        <w:t>3.2 Points of Contention</w:t>
      </w:r>
    </w:p>
    <w:p w14:paraId="3E370077" w14:textId="77777777" w:rsidR="00F74185" w:rsidRPr="00783F61" w:rsidRDefault="00EF0CDE" w:rsidP="001E21ED">
      <w:pPr>
        <w:spacing w:after="180" w:line="300" w:lineRule="auto"/>
        <w:jc w:val="both"/>
        <w:rPr>
          <w:rFonts w:ascii="Times New Roman" w:hAnsi="Times New Roman" w:cs="Times New Roman"/>
          <w:color w:val="000000" w:themeColor="text1"/>
          <w:sz w:val="24"/>
          <w:szCs w:val="24"/>
        </w:rPr>
      </w:pPr>
      <w:r w:rsidRPr="00783F61">
        <w:rPr>
          <w:rFonts w:ascii="Times New Roman" w:hAnsi="Times New Roman" w:cs="Times New Roman"/>
          <w:b/>
          <w:bCs/>
          <w:color w:val="000000" w:themeColor="text1"/>
          <w:sz w:val="24"/>
          <w:szCs w:val="24"/>
        </w:rPr>
        <w:t>Arguments on behalf of Mrs. Carlill (Plaintiff):</w:t>
      </w:r>
    </w:p>
    <w:p w14:paraId="5F19A6E7" w14:textId="77777777" w:rsidR="00F74185" w:rsidRPr="00783F61" w:rsidRDefault="00EF0CDE" w:rsidP="001E21ED">
      <w:pPr>
        <w:pStyle w:val="ListParagraph"/>
        <w:numPr>
          <w:ilvl w:val="0"/>
          <w:numId w:val="1"/>
        </w:numPr>
        <w:spacing w:after="100" w:line="300" w:lineRule="auto"/>
        <w:jc w:val="both"/>
        <w:rPr>
          <w:rFonts w:ascii="Times New Roman" w:hAnsi="Times New Roman" w:cs="Times New Roman"/>
          <w:color w:val="000000" w:themeColor="text1"/>
          <w:sz w:val="24"/>
          <w:szCs w:val="24"/>
        </w:rPr>
      </w:pPr>
      <w:r w:rsidRPr="00783F61">
        <w:rPr>
          <w:rFonts w:ascii="Times New Roman" w:hAnsi="Times New Roman" w:cs="Times New Roman"/>
          <w:color w:val="000000" w:themeColor="text1"/>
          <w:sz w:val="24"/>
          <w:szCs w:val="24"/>
        </w:rPr>
        <w:t xml:space="preserve">The wording of the advertisement was clear and specific enough to be treated as a real </w:t>
      </w:r>
      <w:proofErr w:type="gramStart"/>
      <w:r w:rsidRPr="00783F61">
        <w:rPr>
          <w:rFonts w:ascii="Times New Roman" w:hAnsi="Times New Roman" w:cs="Times New Roman"/>
          <w:color w:val="000000" w:themeColor="text1"/>
          <w:sz w:val="24"/>
          <w:szCs w:val="24"/>
        </w:rPr>
        <w:t>promise,</w:t>
      </w:r>
      <w:proofErr w:type="gramEnd"/>
      <w:r w:rsidRPr="00783F61">
        <w:rPr>
          <w:rFonts w:ascii="Times New Roman" w:hAnsi="Times New Roman" w:cs="Times New Roman"/>
          <w:color w:val="000000" w:themeColor="text1"/>
          <w:sz w:val="24"/>
          <w:szCs w:val="24"/>
        </w:rPr>
        <w:t xml:space="preserve"> not vague sales talk.</w:t>
      </w:r>
    </w:p>
    <w:p w14:paraId="7624C54E" w14:textId="77777777" w:rsidR="00F74185" w:rsidRPr="00783F61" w:rsidRDefault="00EF0CDE" w:rsidP="001E21ED">
      <w:pPr>
        <w:pStyle w:val="ListParagraph"/>
        <w:numPr>
          <w:ilvl w:val="0"/>
          <w:numId w:val="1"/>
        </w:numPr>
        <w:spacing w:after="100" w:line="300" w:lineRule="auto"/>
        <w:jc w:val="both"/>
        <w:rPr>
          <w:rFonts w:ascii="Times New Roman" w:hAnsi="Times New Roman" w:cs="Times New Roman"/>
          <w:color w:val="000000" w:themeColor="text1"/>
          <w:sz w:val="24"/>
          <w:szCs w:val="24"/>
        </w:rPr>
      </w:pPr>
      <w:r w:rsidRPr="00783F61">
        <w:rPr>
          <w:rFonts w:ascii="Times New Roman" w:hAnsi="Times New Roman" w:cs="Times New Roman"/>
          <w:color w:val="000000" w:themeColor="text1"/>
          <w:sz w:val="24"/>
          <w:szCs w:val="24"/>
        </w:rPr>
        <w:t>The company's act of depositing £1,000 with the Alliance Bank showed that it genuinely intended to be bound by its promise; this was not just a marketing trick.</w:t>
      </w:r>
    </w:p>
    <w:p w14:paraId="7BB235EC" w14:textId="77777777" w:rsidR="00F74185" w:rsidRPr="00783F61" w:rsidRDefault="00EF0CDE" w:rsidP="001E21ED">
      <w:pPr>
        <w:pStyle w:val="ListParagraph"/>
        <w:numPr>
          <w:ilvl w:val="0"/>
          <w:numId w:val="1"/>
        </w:numPr>
        <w:spacing w:after="100" w:line="300" w:lineRule="auto"/>
        <w:jc w:val="both"/>
        <w:rPr>
          <w:rFonts w:ascii="Times New Roman" w:hAnsi="Times New Roman" w:cs="Times New Roman"/>
          <w:color w:val="000000" w:themeColor="text1"/>
          <w:sz w:val="24"/>
          <w:szCs w:val="24"/>
        </w:rPr>
      </w:pPr>
      <w:r w:rsidRPr="00783F61">
        <w:rPr>
          <w:rFonts w:ascii="Times New Roman" w:hAnsi="Times New Roman" w:cs="Times New Roman"/>
          <w:color w:val="000000" w:themeColor="text1"/>
          <w:sz w:val="24"/>
          <w:szCs w:val="24"/>
        </w:rPr>
        <w:t>Since the offer was addressed to the whole world, it could be accepted by any member of the public who came forward and performed the stated conditions, without needing to separately inform the company in advance.</w:t>
      </w:r>
    </w:p>
    <w:p w14:paraId="7ECB90D9" w14:textId="77777777" w:rsidR="00F74185" w:rsidRPr="00783F61" w:rsidRDefault="00EF0CDE" w:rsidP="001E21ED">
      <w:pPr>
        <w:pStyle w:val="ListParagraph"/>
        <w:numPr>
          <w:ilvl w:val="0"/>
          <w:numId w:val="1"/>
        </w:numPr>
        <w:spacing w:after="100" w:line="300" w:lineRule="auto"/>
        <w:jc w:val="both"/>
        <w:rPr>
          <w:rFonts w:ascii="Times New Roman" w:hAnsi="Times New Roman" w:cs="Times New Roman"/>
          <w:color w:val="000000" w:themeColor="text1"/>
          <w:sz w:val="24"/>
          <w:szCs w:val="24"/>
        </w:rPr>
      </w:pPr>
      <w:r w:rsidRPr="00783F61">
        <w:rPr>
          <w:rFonts w:ascii="Times New Roman" w:hAnsi="Times New Roman" w:cs="Times New Roman"/>
          <w:color w:val="000000" w:themeColor="text1"/>
          <w:sz w:val="24"/>
          <w:szCs w:val="24"/>
        </w:rPr>
        <w:t>She had given valid consideration in two ways: first, by buying the smoke ball (a benefit to the company), and second, by taking the trouble of using it exactly as directed for two weeks (a personal inconvenience or detriment to herself).</w:t>
      </w:r>
    </w:p>
    <w:p w14:paraId="6280C73F" w14:textId="77777777" w:rsidR="00F74185" w:rsidRPr="00783F61" w:rsidRDefault="00EF0CDE" w:rsidP="001E21ED">
      <w:pPr>
        <w:spacing w:after="180" w:line="300" w:lineRule="auto"/>
        <w:jc w:val="both"/>
        <w:rPr>
          <w:rFonts w:ascii="Times New Roman" w:hAnsi="Times New Roman" w:cs="Times New Roman"/>
          <w:color w:val="000000" w:themeColor="text1"/>
          <w:sz w:val="24"/>
          <w:szCs w:val="24"/>
        </w:rPr>
      </w:pPr>
      <w:r w:rsidRPr="00783F61">
        <w:rPr>
          <w:rFonts w:ascii="Times New Roman" w:hAnsi="Times New Roman" w:cs="Times New Roman"/>
          <w:b/>
          <w:bCs/>
          <w:color w:val="000000" w:themeColor="text1"/>
          <w:sz w:val="24"/>
          <w:szCs w:val="24"/>
        </w:rPr>
        <w:t>Arguments on behalf of the Carbolic Smoke Ball Company (Defendant):</w:t>
      </w:r>
    </w:p>
    <w:p w14:paraId="0168A3D1" w14:textId="77777777" w:rsidR="00F74185" w:rsidRPr="00783F61" w:rsidRDefault="00EF0CDE" w:rsidP="001E21ED">
      <w:pPr>
        <w:pStyle w:val="ListParagraph"/>
        <w:numPr>
          <w:ilvl w:val="0"/>
          <w:numId w:val="1"/>
        </w:numPr>
        <w:spacing w:after="100" w:line="300" w:lineRule="auto"/>
        <w:jc w:val="both"/>
        <w:rPr>
          <w:rFonts w:ascii="Times New Roman" w:hAnsi="Times New Roman" w:cs="Times New Roman"/>
          <w:color w:val="000000" w:themeColor="text1"/>
          <w:sz w:val="24"/>
          <w:szCs w:val="24"/>
        </w:rPr>
      </w:pPr>
      <w:r w:rsidRPr="00783F61">
        <w:rPr>
          <w:rFonts w:ascii="Times New Roman" w:hAnsi="Times New Roman" w:cs="Times New Roman"/>
          <w:color w:val="000000" w:themeColor="text1"/>
          <w:sz w:val="24"/>
          <w:szCs w:val="24"/>
        </w:rPr>
        <w:t>The advertisement was merely an exaggerated advertising claim, or 'mere puff', never meant to be taken as a serious, legally binding promise.</w:t>
      </w:r>
    </w:p>
    <w:p w14:paraId="266139EE" w14:textId="77777777" w:rsidR="00F74185" w:rsidRPr="00783F61" w:rsidRDefault="00EF0CDE" w:rsidP="001E21ED">
      <w:pPr>
        <w:pStyle w:val="ListParagraph"/>
        <w:numPr>
          <w:ilvl w:val="0"/>
          <w:numId w:val="1"/>
        </w:numPr>
        <w:spacing w:after="100" w:line="300" w:lineRule="auto"/>
        <w:jc w:val="both"/>
        <w:rPr>
          <w:rFonts w:ascii="Times New Roman" w:hAnsi="Times New Roman" w:cs="Times New Roman"/>
          <w:color w:val="000000" w:themeColor="text1"/>
          <w:sz w:val="24"/>
          <w:szCs w:val="24"/>
        </w:rPr>
      </w:pPr>
      <w:r w:rsidRPr="00783F61">
        <w:rPr>
          <w:rFonts w:ascii="Times New Roman" w:hAnsi="Times New Roman" w:cs="Times New Roman"/>
          <w:color w:val="000000" w:themeColor="text1"/>
          <w:sz w:val="24"/>
          <w:szCs w:val="24"/>
        </w:rPr>
        <w:t>The terms of the offer were too vague: there was no fixed time limit within which a person had to catch the flu, and the company had no way of checking whether the smoke ball had actually been used correctly.</w:t>
      </w:r>
    </w:p>
    <w:p w14:paraId="7AF8315B" w14:textId="77777777" w:rsidR="00F74185" w:rsidRPr="00783F61" w:rsidRDefault="00EF0CDE" w:rsidP="001E21ED">
      <w:pPr>
        <w:pStyle w:val="ListParagraph"/>
        <w:numPr>
          <w:ilvl w:val="0"/>
          <w:numId w:val="1"/>
        </w:numPr>
        <w:spacing w:after="100" w:line="300" w:lineRule="auto"/>
        <w:jc w:val="both"/>
        <w:rPr>
          <w:rFonts w:ascii="Times New Roman" w:hAnsi="Times New Roman" w:cs="Times New Roman"/>
          <w:color w:val="000000" w:themeColor="text1"/>
          <w:sz w:val="24"/>
          <w:szCs w:val="24"/>
        </w:rPr>
      </w:pPr>
      <w:r w:rsidRPr="00783F61">
        <w:rPr>
          <w:rFonts w:ascii="Times New Roman" w:hAnsi="Times New Roman" w:cs="Times New Roman"/>
          <w:color w:val="000000" w:themeColor="text1"/>
          <w:sz w:val="24"/>
          <w:szCs w:val="24"/>
        </w:rPr>
        <w:t>No valid contract could exist because Mrs. Carlill never communicated her acceptance to the company before, during, or immediately after using the product; silent, one-sided performance could not amount to acceptance.</w:t>
      </w:r>
    </w:p>
    <w:p w14:paraId="1E8A69DB" w14:textId="77777777" w:rsidR="00F74185" w:rsidRPr="00783F61" w:rsidRDefault="00EF0CDE" w:rsidP="001E21ED">
      <w:pPr>
        <w:pStyle w:val="ListParagraph"/>
        <w:numPr>
          <w:ilvl w:val="0"/>
          <w:numId w:val="1"/>
        </w:numPr>
        <w:spacing w:after="100" w:line="300" w:lineRule="auto"/>
        <w:jc w:val="both"/>
        <w:rPr>
          <w:rFonts w:ascii="Times New Roman" w:hAnsi="Times New Roman" w:cs="Times New Roman"/>
          <w:color w:val="000000" w:themeColor="text1"/>
          <w:sz w:val="24"/>
          <w:szCs w:val="24"/>
        </w:rPr>
      </w:pPr>
      <w:r w:rsidRPr="00783F61">
        <w:rPr>
          <w:rFonts w:ascii="Times New Roman" w:hAnsi="Times New Roman" w:cs="Times New Roman"/>
          <w:color w:val="000000" w:themeColor="text1"/>
          <w:sz w:val="24"/>
          <w:szCs w:val="24"/>
        </w:rPr>
        <w:t>There was no consideration flowing from Mrs. Carlill to the company that was legally sufficient to support the company's promise.</w:t>
      </w:r>
    </w:p>
    <w:p w14:paraId="3F0BC71B" w14:textId="77777777" w:rsidR="00F74185" w:rsidRPr="00783F61" w:rsidRDefault="00EF0CDE" w:rsidP="001E21ED">
      <w:pPr>
        <w:pStyle w:val="Heading1"/>
        <w:pBdr>
          <w:bottom w:val="single" w:sz="6" w:space="4" w:color="1F3864"/>
        </w:pBdr>
        <w:spacing w:before="360" w:after="200"/>
        <w:jc w:val="both"/>
        <w:rPr>
          <w:rFonts w:ascii="Times New Roman" w:hAnsi="Times New Roman" w:cs="Times New Roman"/>
          <w:color w:val="000000" w:themeColor="text1"/>
          <w:sz w:val="24"/>
          <w:szCs w:val="24"/>
        </w:rPr>
      </w:pPr>
      <w:r w:rsidRPr="00783F61">
        <w:rPr>
          <w:rFonts w:ascii="Times New Roman" w:hAnsi="Times New Roman" w:cs="Times New Roman"/>
          <w:b/>
          <w:bCs/>
          <w:color w:val="000000" w:themeColor="text1"/>
          <w:sz w:val="24"/>
          <w:szCs w:val="24"/>
        </w:rPr>
        <w:lastRenderedPageBreak/>
        <w:t>4. Judgment</w:t>
      </w:r>
    </w:p>
    <w:p w14:paraId="41E23AC3" w14:textId="77777777" w:rsidR="00F74185" w:rsidRPr="00783F61" w:rsidRDefault="00EF0CDE" w:rsidP="001E21ED">
      <w:pPr>
        <w:pStyle w:val="Heading2"/>
        <w:spacing w:before="280" w:after="140"/>
        <w:jc w:val="both"/>
        <w:rPr>
          <w:rFonts w:ascii="Times New Roman" w:hAnsi="Times New Roman" w:cs="Times New Roman"/>
          <w:color w:val="000000" w:themeColor="text1"/>
          <w:sz w:val="24"/>
          <w:szCs w:val="24"/>
        </w:rPr>
      </w:pPr>
      <w:r w:rsidRPr="00783F61">
        <w:rPr>
          <w:rFonts w:ascii="Times New Roman" w:hAnsi="Times New Roman" w:cs="Times New Roman"/>
          <w:b/>
          <w:bCs/>
          <w:color w:val="000000" w:themeColor="text1"/>
          <w:sz w:val="24"/>
          <w:szCs w:val="24"/>
        </w:rPr>
        <w:t>4.1 Court's Decision</w:t>
      </w:r>
    </w:p>
    <w:p w14:paraId="1EF53085" w14:textId="77777777" w:rsidR="00F74185" w:rsidRPr="00783F61" w:rsidRDefault="00EF0CDE" w:rsidP="001E21ED">
      <w:pPr>
        <w:spacing w:after="180" w:line="300" w:lineRule="auto"/>
        <w:jc w:val="both"/>
        <w:rPr>
          <w:rFonts w:ascii="Times New Roman" w:hAnsi="Times New Roman" w:cs="Times New Roman"/>
          <w:color w:val="000000" w:themeColor="text1"/>
          <w:sz w:val="24"/>
          <w:szCs w:val="24"/>
        </w:rPr>
      </w:pPr>
      <w:r w:rsidRPr="00783F61">
        <w:rPr>
          <w:rFonts w:ascii="Times New Roman" w:hAnsi="Times New Roman" w:cs="Times New Roman"/>
          <w:color w:val="000000" w:themeColor="text1"/>
          <w:sz w:val="24"/>
          <w:szCs w:val="24"/>
        </w:rPr>
        <w:t>All three judges of the Court of Appeal, Lord Justice Lindley, Lord Justice Bowen, and Lord Justice A. L. Smith, delivered separate but unanimous judgments dismissing the company's appeal. The original decision of the trial court in favour of Mrs. Carlill was upheld, and she was held entitled to recover the full £100 reward.</w:t>
      </w:r>
    </w:p>
    <w:p w14:paraId="3F532473" w14:textId="77777777" w:rsidR="00F74185" w:rsidRPr="00783F61" w:rsidRDefault="00EF0CDE" w:rsidP="001E21ED">
      <w:pPr>
        <w:pStyle w:val="Heading2"/>
        <w:spacing w:before="280" w:after="140"/>
        <w:jc w:val="both"/>
        <w:rPr>
          <w:rFonts w:ascii="Times New Roman" w:hAnsi="Times New Roman" w:cs="Times New Roman"/>
          <w:color w:val="000000" w:themeColor="text1"/>
          <w:sz w:val="24"/>
          <w:szCs w:val="24"/>
        </w:rPr>
      </w:pPr>
      <w:r w:rsidRPr="00783F61">
        <w:rPr>
          <w:rFonts w:ascii="Times New Roman" w:hAnsi="Times New Roman" w:cs="Times New Roman"/>
          <w:b/>
          <w:bCs/>
          <w:color w:val="000000" w:themeColor="text1"/>
          <w:sz w:val="24"/>
          <w:szCs w:val="24"/>
        </w:rPr>
        <w:t>4.2 Ratio Decidendi (Judicial Reasoning)</w:t>
      </w:r>
    </w:p>
    <w:p w14:paraId="73AA2A37" w14:textId="77777777" w:rsidR="00F74185" w:rsidRPr="00783F61" w:rsidRDefault="00EF0CDE" w:rsidP="001E21ED">
      <w:pPr>
        <w:spacing w:after="180" w:line="300" w:lineRule="auto"/>
        <w:jc w:val="both"/>
        <w:rPr>
          <w:rFonts w:ascii="Times New Roman" w:hAnsi="Times New Roman" w:cs="Times New Roman"/>
          <w:color w:val="000000" w:themeColor="text1"/>
          <w:sz w:val="24"/>
          <w:szCs w:val="24"/>
        </w:rPr>
      </w:pPr>
      <w:r w:rsidRPr="00783F61">
        <w:rPr>
          <w:rFonts w:ascii="Times New Roman" w:hAnsi="Times New Roman" w:cs="Times New Roman"/>
          <w:color w:val="000000" w:themeColor="text1"/>
          <w:sz w:val="24"/>
          <w:szCs w:val="24"/>
        </w:rPr>
        <w:t>On the existence of a genuine offer: The court rejected the company's claim that the advertisement was 'mere puff'. The judges reasoned that the specific promise of £100, combined with the company's own act of depositing £1,000 in a named bank to meet possible claims, was clear evidence that the company seriously intended its promise to be acted upon. A reasonable person reading the advertisement would understand it as a genuine promise, not empty boasting.</w:t>
      </w:r>
    </w:p>
    <w:p w14:paraId="62226309" w14:textId="77777777" w:rsidR="00F74185" w:rsidRPr="00783F61" w:rsidRDefault="00EF0CDE" w:rsidP="001E21ED">
      <w:pPr>
        <w:spacing w:after="180" w:line="300" w:lineRule="auto"/>
        <w:jc w:val="both"/>
        <w:rPr>
          <w:rFonts w:ascii="Times New Roman" w:hAnsi="Times New Roman" w:cs="Times New Roman"/>
          <w:color w:val="000000" w:themeColor="text1"/>
          <w:sz w:val="24"/>
          <w:szCs w:val="24"/>
        </w:rPr>
      </w:pPr>
      <w:r w:rsidRPr="00783F61">
        <w:rPr>
          <w:rFonts w:ascii="Times New Roman" w:hAnsi="Times New Roman" w:cs="Times New Roman"/>
          <w:color w:val="000000" w:themeColor="text1"/>
          <w:sz w:val="24"/>
          <w:szCs w:val="24"/>
        </w:rPr>
        <w:t>On vagueness: The court held that the advertisement was not too vague to enforce. It was reasonably clear that protection was intended to last for the period of use and a reasonable time afterward, and that the smoke ball had to be used exactly as per the printed directions. Minor uncertainty about small details did not make the whole offer meaningless.</w:t>
      </w:r>
    </w:p>
    <w:p w14:paraId="5C3E2F34" w14:textId="77777777" w:rsidR="00F74185" w:rsidRPr="00783F61" w:rsidRDefault="00EF0CDE" w:rsidP="001E21ED">
      <w:pPr>
        <w:spacing w:after="180" w:line="300" w:lineRule="auto"/>
        <w:jc w:val="both"/>
        <w:rPr>
          <w:rFonts w:ascii="Times New Roman" w:hAnsi="Times New Roman" w:cs="Times New Roman"/>
          <w:color w:val="000000" w:themeColor="text1"/>
          <w:sz w:val="24"/>
          <w:szCs w:val="24"/>
        </w:rPr>
      </w:pPr>
      <w:r w:rsidRPr="00783F61">
        <w:rPr>
          <w:rFonts w:ascii="Times New Roman" w:hAnsi="Times New Roman" w:cs="Times New Roman"/>
          <w:color w:val="000000" w:themeColor="text1"/>
          <w:sz w:val="24"/>
          <w:szCs w:val="24"/>
        </w:rPr>
        <w:t>On communication of acceptance: This is the most important part of the ratio. The court held that this was a 'unilateral' offer, an offer made to the whole world, which could be accepted simply by performing the stated conditions. Lord Justice Bowen explained that while ordinary offers usually require the offeree to communicate acceptance, an offeror can waive this requirement by the way the offer is framed. Here, the advertisement itself invited people to act rather than to reply, so performance of the conditions (buying and correctly using the smoke ball) was, by itself, sufficient acceptance. There was no need for Mrs. Carlill to separately write to the company saying 'I accept'.</w:t>
      </w:r>
    </w:p>
    <w:p w14:paraId="58A5BD0C" w14:textId="77777777" w:rsidR="00F74185" w:rsidRPr="00783F61" w:rsidRDefault="00EF0CDE" w:rsidP="001E21ED">
      <w:pPr>
        <w:spacing w:after="180" w:line="300" w:lineRule="auto"/>
        <w:jc w:val="both"/>
        <w:rPr>
          <w:rFonts w:ascii="Times New Roman" w:hAnsi="Times New Roman" w:cs="Times New Roman"/>
          <w:color w:val="000000" w:themeColor="text1"/>
          <w:sz w:val="24"/>
          <w:szCs w:val="24"/>
        </w:rPr>
      </w:pPr>
      <w:r w:rsidRPr="00783F61">
        <w:rPr>
          <w:rFonts w:ascii="Times New Roman" w:hAnsi="Times New Roman" w:cs="Times New Roman"/>
          <w:color w:val="000000" w:themeColor="text1"/>
          <w:sz w:val="24"/>
          <w:szCs w:val="24"/>
        </w:rPr>
        <w:t>On consideration: The court found valid consideration on both sides. The company received a commercial benefit because the advertisement encouraged sales of the smoke ball. Mrs. Carlill, in turn, suffered a detriment because she took on the inconvenience of using the product exactly as instructed for a full two weeks. This exchange was enough to satisfy the requirement of consideration under English contract law.</w:t>
      </w:r>
    </w:p>
    <w:p w14:paraId="6952696C" w14:textId="77777777" w:rsidR="00F74185" w:rsidRPr="00783F61" w:rsidRDefault="00EF0CDE" w:rsidP="001E21ED">
      <w:pPr>
        <w:spacing w:after="180" w:line="300" w:lineRule="auto"/>
        <w:jc w:val="both"/>
        <w:rPr>
          <w:rFonts w:ascii="Times New Roman" w:hAnsi="Times New Roman" w:cs="Times New Roman"/>
          <w:color w:val="000000" w:themeColor="text1"/>
          <w:sz w:val="24"/>
          <w:szCs w:val="24"/>
        </w:rPr>
      </w:pPr>
      <w:r w:rsidRPr="00783F61">
        <w:rPr>
          <w:rFonts w:ascii="Times New Roman" w:hAnsi="Times New Roman" w:cs="Times New Roman"/>
          <w:color w:val="000000" w:themeColor="text1"/>
          <w:sz w:val="24"/>
          <w:szCs w:val="24"/>
        </w:rPr>
        <w:t>Taken together, the court concluded that the advertisement was a valid offer of a unilateral contract, that Mrs. Carlill accepted it through her conduct, and that sufficient consideration existed on both sides. All the essential elements of a binding contract were therefore present.</w:t>
      </w:r>
    </w:p>
    <w:p w14:paraId="456638B4" w14:textId="77777777" w:rsidR="00772742" w:rsidRPr="00783F61" w:rsidRDefault="00772742" w:rsidP="001E21ED">
      <w:pPr>
        <w:pStyle w:val="Heading1"/>
        <w:pBdr>
          <w:bottom w:val="single" w:sz="6" w:space="4" w:color="1F3864"/>
        </w:pBdr>
        <w:spacing w:before="360" w:after="200"/>
        <w:jc w:val="both"/>
        <w:rPr>
          <w:rFonts w:ascii="Times New Roman" w:hAnsi="Times New Roman" w:cs="Times New Roman"/>
          <w:b/>
          <w:bCs/>
          <w:color w:val="000000" w:themeColor="text1"/>
          <w:sz w:val="24"/>
          <w:szCs w:val="24"/>
        </w:rPr>
      </w:pPr>
    </w:p>
    <w:p w14:paraId="19A33BF0" w14:textId="7662BFD5" w:rsidR="00F74185" w:rsidRPr="00783F61" w:rsidRDefault="00EF0CDE" w:rsidP="001E21ED">
      <w:pPr>
        <w:pStyle w:val="Heading1"/>
        <w:pBdr>
          <w:bottom w:val="single" w:sz="6" w:space="4" w:color="1F3864"/>
        </w:pBdr>
        <w:spacing w:before="360" w:after="200"/>
        <w:jc w:val="both"/>
        <w:rPr>
          <w:rFonts w:ascii="Times New Roman" w:hAnsi="Times New Roman" w:cs="Times New Roman"/>
          <w:color w:val="000000" w:themeColor="text1"/>
          <w:sz w:val="24"/>
          <w:szCs w:val="24"/>
        </w:rPr>
      </w:pPr>
      <w:r w:rsidRPr="00783F61">
        <w:rPr>
          <w:rFonts w:ascii="Times New Roman" w:hAnsi="Times New Roman" w:cs="Times New Roman"/>
          <w:b/>
          <w:bCs/>
          <w:color w:val="000000" w:themeColor="text1"/>
          <w:sz w:val="24"/>
          <w:szCs w:val="24"/>
        </w:rPr>
        <w:lastRenderedPageBreak/>
        <w:t>5. Legal Principle: Contract Formation Analysis</w:t>
      </w:r>
    </w:p>
    <w:p w14:paraId="263F28A7" w14:textId="77777777" w:rsidR="00F74185" w:rsidRPr="00783F61" w:rsidRDefault="00EF0CDE" w:rsidP="001E21ED">
      <w:pPr>
        <w:spacing w:after="180" w:line="300" w:lineRule="auto"/>
        <w:jc w:val="both"/>
        <w:rPr>
          <w:rFonts w:ascii="Times New Roman" w:hAnsi="Times New Roman" w:cs="Times New Roman"/>
          <w:color w:val="000000" w:themeColor="text1"/>
          <w:sz w:val="24"/>
          <w:szCs w:val="24"/>
        </w:rPr>
      </w:pPr>
      <w:r w:rsidRPr="00783F61">
        <w:rPr>
          <w:rFonts w:ascii="Times New Roman" w:hAnsi="Times New Roman" w:cs="Times New Roman"/>
          <w:color w:val="000000" w:themeColor="text1"/>
          <w:sz w:val="24"/>
          <w:szCs w:val="24"/>
        </w:rPr>
        <w:t>This section applies the basic building blocks of contract formation, offer, acceptance, consideration, and intention, specifically to the facts of this case.</w:t>
      </w:r>
    </w:p>
    <w:p w14:paraId="60074690" w14:textId="77777777" w:rsidR="00F74185" w:rsidRPr="00783F61" w:rsidRDefault="00EF0CDE" w:rsidP="001E21ED">
      <w:pPr>
        <w:pStyle w:val="Heading2"/>
        <w:spacing w:before="280" w:after="140"/>
        <w:jc w:val="both"/>
        <w:rPr>
          <w:rFonts w:ascii="Times New Roman" w:hAnsi="Times New Roman" w:cs="Times New Roman"/>
          <w:color w:val="000000" w:themeColor="text1"/>
          <w:sz w:val="24"/>
          <w:szCs w:val="24"/>
        </w:rPr>
      </w:pPr>
      <w:r w:rsidRPr="00783F61">
        <w:rPr>
          <w:rFonts w:ascii="Times New Roman" w:hAnsi="Times New Roman" w:cs="Times New Roman"/>
          <w:b/>
          <w:bCs/>
          <w:color w:val="000000" w:themeColor="text1"/>
          <w:sz w:val="24"/>
          <w:szCs w:val="24"/>
        </w:rPr>
        <w:t>5.1 Evaluation of a Valid Offer</w:t>
      </w:r>
    </w:p>
    <w:p w14:paraId="122AEF7C" w14:textId="77777777" w:rsidR="00F74185" w:rsidRPr="00783F61" w:rsidRDefault="00EF0CDE" w:rsidP="001E21ED">
      <w:pPr>
        <w:spacing w:after="180" w:line="300" w:lineRule="auto"/>
        <w:jc w:val="both"/>
        <w:rPr>
          <w:rFonts w:ascii="Times New Roman" w:hAnsi="Times New Roman" w:cs="Times New Roman"/>
          <w:color w:val="000000" w:themeColor="text1"/>
          <w:sz w:val="24"/>
          <w:szCs w:val="24"/>
        </w:rPr>
      </w:pPr>
      <w:r w:rsidRPr="00783F61">
        <w:rPr>
          <w:rFonts w:ascii="Times New Roman" w:hAnsi="Times New Roman" w:cs="Times New Roman"/>
          <w:color w:val="000000" w:themeColor="text1"/>
          <w:sz w:val="24"/>
          <w:szCs w:val="24"/>
        </w:rPr>
        <w:t>A key distinction in contract law is between a true 'offer' and a mere 'invitation to treat' (an invitation to others to make an offer, such as goods displayed in a shop window). The Carbolic Smoke Ball Company argued that its advertisement was only an invitation to treat, or at best a promotional boast, and not something a customer could directly 'accept' to form a contract.</w:t>
      </w:r>
    </w:p>
    <w:p w14:paraId="1432347A" w14:textId="77777777" w:rsidR="00F74185" w:rsidRPr="00783F61" w:rsidRDefault="00EF0CDE" w:rsidP="001E21ED">
      <w:pPr>
        <w:spacing w:after="180" w:line="300" w:lineRule="auto"/>
        <w:jc w:val="both"/>
        <w:rPr>
          <w:rFonts w:ascii="Times New Roman" w:hAnsi="Times New Roman" w:cs="Times New Roman"/>
          <w:color w:val="000000" w:themeColor="text1"/>
          <w:sz w:val="24"/>
          <w:szCs w:val="24"/>
        </w:rPr>
      </w:pPr>
      <w:r w:rsidRPr="00783F61">
        <w:rPr>
          <w:rFonts w:ascii="Times New Roman" w:hAnsi="Times New Roman" w:cs="Times New Roman"/>
          <w:color w:val="000000" w:themeColor="text1"/>
          <w:sz w:val="24"/>
          <w:szCs w:val="24"/>
        </w:rPr>
        <w:t>The court disagreed. It held that when an advertisement contains a specific promise, is framed in a way that is capable of being accepted by conduct, and is backed by some visible sign of seriousness (here, the bank deposit), it crosses the line from a mere invitation into a genuine offer. This is what makes Carlill different from ordinary advertisements: most advertisements only invite customers to come and negotiate a purchase, but this advertisement went further by promising a specific reward for a specific act, making it what lawyers today call a 'general offer', open to acceptance by any member of the public who performs the conditions.</w:t>
      </w:r>
    </w:p>
    <w:p w14:paraId="6513EA49" w14:textId="77777777" w:rsidR="00F74185" w:rsidRPr="00783F61" w:rsidRDefault="00EF0CDE" w:rsidP="001E21ED">
      <w:pPr>
        <w:pStyle w:val="Heading2"/>
        <w:spacing w:before="280" w:after="140"/>
        <w:jc w:val="both"/>
        <w:rPr>
          <w:rFonts w:ascii="Times New Roman" w:hAnsi="Times New Roman" w:cs="Times New Roman"/>
          <w:color w:val="000000" w:themeColor="text1"/>
          <w:sz w:val="24"/>
          <w:szCs w:val="24"/>
        </w:rPr>
      </w:pPr>
      <w:r w:rsidRPr="00783F61">
        <w:rPr>
          <w:rFonts w:ascii="Times New Roman" w:hAnsi="Times New Roman" w:cs="Times New Roman"/>
          <w:b/>
          <w:bCs/>
          <w:color w:val="000000" w:themeColor="text1"/>
          <w:sz w:val="24"/>
          <w:szCs w:val="24"/>
        </w:rPr>
        <w:t>5.2 Mechanics of Acceptance</w:t>
      </w:r>
    </w:p>
    <w:p w14:paraId="480FD4AD" w14:textId="77777777" w:rsidR="00F74185" w:rsidRPr="00783F61" w:rsidRDefault="00EF0CDE" w:rsidP="001E21ED">
      <w:pPr>
        <w:spacing w:after="180" w:line="300" w:lineRule="auto"/>
        <w:jc w:val="both"/>
        <w:rPr>
          <w:rFonts w:ascii="Times New Roman" w:hAnsi="Times New Roman" w:cs="Times New Roman"/>
          <w:color w:val="000000" w:themeColor="text1"/>
          <w:sz w:val="24"/>
          <w:szCs w:val="24"/>
        </w:rPr>
      </w:pPr>
      <w:r w:rsidRPr="00783F61">
        <w:rPr>
          <w:rFonts w:ascii="Times New Roman" w:hAnsi="Times New Roman" w:cs="Times New Roman"/>
          <w:color w:val="000000" w:themeColor="text1"/>
          <w:sz w:val="24"/>
          <w:szCs w:val="24"/>
        </w:rPr>
        <w:t>In an ordinary two-party (bilateral) contract, acceptance usually has to be clearly communicated to the offeror before a contract is formed; this is often called the Mirror Image Rule, where the acceptance must exactly match the terms of the offer. Special rules like the Postal Rule (where acceptance is complete the moment a letter is posted) or rules for instantaneous communication (such as phone calls or emails, where acceptance is only complete once received) exist to decide the exact moment at which a bilateral contract is formed.</w:t>
      </w:r>
    </w:p>
    <w:p w14:paraId="225EC8BE" w14:textId="77777777" w:rsidR="00F74185" w:rsidRPr="00783F61" w:rsidRDefault="00EF0CDE" w:rsidP="001E21ED">
      <w:pPr>
        <w:spacing w:after="180" w:line="300" w:lineRule="auto"/>
        <w:jc w:val="both"/>
        <w:rPr>
          <w:rFonts w:ascii="Times New Roman" w:hAnsi="Times New Roman" w:cs="Times New Roman"/>
          <w:color w:val="000000" w:themeColor="text1"/>
          <w:sz w:val="24"/>
          <w:szCs w:val="24"/>
        </w:rPr>
      </w:pPr>
      <w:r w:rsidRPr="00783F61">
        <w:rPr>
          <w:rFonts w:ascii="Times New Roman" w:hAnsi="Times New Roman" w:cs="Times New Roman"/>
          <w:color w:val="000000" w:themeColor="text1"/>
          <w:sz w:val="24"/>
          <w:szCs w:val="24"/>
        </w:rPr>
        <w:t>Carlill's case, however, involved a unilateral contract, and unilateral contracts work differently. Here, the offeror (the company) only asks for an act, not a promise, in return. The court held that the offeror can expressly or impliedly waive the need for the acceptance to be separately communicated. Because the advertisement asked people to simply use the smoke ball as directed, performing that act was itself the acceptance. This is often summarised as 'acceptance by conduct'. There was no need to apply the Postal Rule or worry about instantaneous communication, because notification of acceptance was never required in the first place.</w:t>
      </w:r>
    </w:p>
    <w:p w14:paraId="2947D6F9" w14:textId="77777777" w:rsidR="00F74185" w:rsidRPr="00783F61" w:rsidRDefault="00EF0CDE" w:rsidP="001E21ED">
      <w:pPr>
        <w:pStyle w:val="Heading2"/>
        <w:spacing w:before="280" w:after="140"/>
        <w:jc w:val="both"/>
        <w:rPr>
          <w:rFonts w:ascii="Times New Roman" w:hAnsi="Times New Roman" w:cs="Times New Roman"/>
          <w:color w:val="000000" w:themeColor="text1"/>
          <w:sz w:val="24"/>
          <w:szCs w:val="24"/>
        </w:rPr>
      </w:pPr>
      <w:r w:rsidRPr="00783F61">
        <w:rPr>
          <w:rFonts w:ascii="Times New Roman" w:hAnsi="Times New Roman" w:cs="Times New Roman"/>
          <w:b/>
          <w:bCs/>
          <w:color w:val="000000" w:themeColor="text1"/>
          <w:sz w:val="24"/>
          <w:szCs w:val="24"/>
        </w:rPr>
        <w:t>5.3 Ancillary Pillars of Formation</w:t>
      </w:r>
    </w:p>
    <w:p w14:paraId="440EDFE7" w14:textId="77777777" w:rsidR="00F74185" w:rsidRPr="00783F61" w:rsidRDefault="00EF0CDE" w:rsidP="001E21ED">
      <w:pPr>
        <w:spacing w:after="180" w:line="300" w:lineRule="auto"/>
        <w:jc w:val="both"/>
        <w:rPr>
          <w:rFonts w:ascii="Times New Roman" w:hAnsi="Times New Roman" w:cs="Times New Roman"/>
          <w:color w:val="000000" w:themeColor="text1"/>
          <w:sz w:val="24"/>
          <w:szCs w:val="24"/>
        </w:rPr>
      </w:pPr>
      <w:r w:rsidRPr="00783F61">
        <w:rPr>
          <w:rFonts w:ascii="Times New Roman" w:hAnsi="Times New Roman" w:cs="Times New Roman"/>
          <w:color w:val="000000" w:themeColor="text1"/>
          <w:sz w:val="24"/>
          <w:szCs w:val="24"/>
        </w:rPr>
        <w:t xml:space="preserve">Consideration: As explained above, the court found consideration on both sides, the commercial benefit of increased sales for the company, and the personal inconvenience taken on by Mrs. Carlill </w:t>
      </w:r>
      <w:r w:rsidRPr="00783F61">
        <w:rPr>
          <w:rFonts w:ascii="Times New Roman" w:hAnsi="Times New Roman" w:cs="Times New Roman"/>
          <w:color w:val="000000" w:themeColor="text1"/>
          <w:sz w:val="24"/>
          <w:szCs w:val="24"/>
        </w:rPr>
        <w:lastRenderedPageBreak/>
        <w:t>in using the product correctly for two weeks. This shows that consideration does not have to be large or obviously valuable; even a modest act done in reliance on a promise can count.</w:t>
      </w:r>
    </w:p>
    <w:p w14:paraId="09B08BC5" w14:textId="77777777" w:rsidR="00F74185" w:rsidRPr="00783F61" w:rsidRDefault="00EF0CDE" w:rsidP="001E21ED">
      <w:pPr>
        <w:spacing w:after="180" w:line="300" w:lineRule="auto"/>
        <w:jc w:val="both"/>
        <w:rPr>
          <w:rFonts w:ascii="Times New Roman" w:hAnsi="Times New Roman" w:cs="Times New Roman"/>
          <w:color w:val="000000" w:themeColor="text1"/>
          <w:sz w:val="24"/>
          <w:szCs w:val="24"/>
        </w:rPr>
      </w:pPr>
      <w:r w:rsidRPr="00783F61">
        <w:rPr>
          <w:rFonts w:ascii="Times New Roman" w:hAnsi="Times New Roman" w:cs="Times New Roman"/>
          <w:color w:val="000000" w:themeColor="text1"/>
          <w:sz w:val="24"/>
          <w:szCs w:val="24"/>
        </w:rPr>
        <w:t>Intention to Create Legal Relations: For any agreement to be a binding contract, both sides must intend it to have legal consequences, not just be a friendly or social promise. The company argued it never intended to be legally bound. The court rejected this, pointing again to the £1,000 bank deposit, an unusual step for a company to take purely for advertising purposes. This objective, outward act was treated as strong evidence of a genuine intention to create legal relations, since courts generally judge intention by what a reasonable outsider would conclude from a party's words and conduct, not by what the party privately claims it meant.</w:t>
      </w:r>
    </w:p>
    <w:p w14:paraId="54EEB8CA" w14:textId="77777777" w:rsidR="00F74185" w:rsidRPr="00783F61" w:rsidRDefault="00EF0CDE" w:rsidP="001E21ED">
      <w:pPr>
        <w:pStyle w:val="Heading1"/>
        <w:pBdr>
          <w:bottom w:val="single" w:sz="6" w:space="4" w:color="1F3864"/>
        </w:pBdr>
        <w:spacing w:before="360" w:after="200"/>
        <w:jc w:val="both"/>
        <w:rPr>
          <w:rFonts w:ascii="Times New Roman" w:hAnsi="Times New Roman" w:cs="Times New Roman"/>
          <w:color w:val="000000" w:themeColor="text1"/>
          <w:sz w:val="24"/>
          <w:szCs w:val="24"/>
        </w:rPr>
      </w:pPr>
      <w:r w:rsidRPr="00783F61">
        <w:rPr>
          <w:rFonts w:ascii="Times New Roman" w:hAnsi="Times New Roman" w:cs="Times New Roman"/>
          <w:b/>
          <w:bCs/>
          <w:color w:val="000000" w:themeColor="text1"/>
          <w:sz w:val="24"/>
          <w:szCs w:val="24"/>
        </w:rPr>
        <w:t>6. Business Relevance</w:t>
      </w:r>
    </w:p>
    <w:p w14:paraId="65340E5F" w14:textId="77777777" w:rsidR="00F74185" w:rsidRPr="00783F61" w:rsidRDefault="00EF0CDE" w:rsidP="001E21ED">
      <w:pPr>
        <w:pStyle w:val="Heading2"/>
        <w:spacing w:before="280" w:after="140"/>
        <w:jc w:val="both"/>
        <w:rPr>
          <w:rFonts w:ascii="Times New Roman" w:hAnsi="Times New Roman" w:cs="Times New Roman"/>
          <w:color w:val="000000" w:themeColor="text1"/>
          <w:sz w:val="24"/>
          <w:szCs w:val="24"/>
        </w:rPr>
      </w:pPr>
      <w:r w:rsidRPr="00783F61">
        <w:rPr>
          <w:rFonts w:ascii="Times New Roman" w:hAnsi="Times New Roman" w:cs="Times New Roman"/>
          <w:b/>
          <w:bCs/>
          <w:color w:val="000000" w:themeColor="text1"/>
          <w:sz w:val="24"/>
          <w:szCs w:val="24"/>
        </w:rPr>
        <w:t>6.1 Application in Modern Business</w:t>
      </w:r>
    </w:p>
    <w:p w14:paraId="19184F6B" w14:textId="77777777" w:rsidR="00F74185" w:rsidRPr="00783F61" w:rsidRDefault="00EF0CDE" w:rsidP="001E21ED">
      <w:pPr>
        <w:spacing w:after="180" w:line="300" w:lineRule="auto"/>
        <w:jc w:val="both"/>
        <w:rPr>
          <w:rFonts w:ascii="Times New Roman" w:hAnsi="Times New Roman" w:cs="Times New Roman"/>
          <w:color w:val="000000" w:themeColor="text1"/>
          <w:sz w:val="24"/>
          <w:szCs w:val="24"/>
        </w:rPr>
      </w:pPr>
      <w:r w:rsidRPr="00783F61">
        <w:rPr>
          <w:rFonts w:ascii="Times New Roman" w:hAnsi="Times New Roman" w:cs="Times New Roman"/>
          <w:color w:val="000000" w:themeColor="text1"/>
          <w:sz w:val="24"/>
          <w:szCs w:val="24"/>
        </w:rPr>
        <w:t>Although this case is well over a century old, its central lesson is extremely relevant to modern, tech-driven, and financial industries. Today, companies constantly make public promises through websites, mobile apps, and social media, for example, cashback offers, referral bonuses, loyalty rewards, and 'money-back guarantees'. Carlill's principle tells us that such promises are not automatically harmless marketing lines; if they are specific, clear, and appear serious, courts can treat them as binding offers that customers accept simply by doing what is asked (such as making a purchase, referring a friend, or meeting a usage target).</w:t>
      </w:r>
    </w:p>
    <w:p w14:paraId="54AB8DD7" w14:textId="77777777" w:rsidR="00F74185" w:rsidRPr="00783F61" w:rsidRDefault="00EF0CDE" w:rsidP="001E21ED">
      <w:pPr>
        <w:spacing w:after="180" w:line="300" w:lineRule="auto"/>
        <w:jc w:val="both"/>
        <w:rPr>
          <w:rFonts w:ascii="Times New Roman" w:hAnsi="Times New Roman" w:cs="Times New Roman"/>
          <w:color w:val="000000" w:themeColor="text1"/>
          <w:sz w:val="24"/>
          <w:szCs w:val="24"/>
        </w:rPr>
      </w:pPr>
      <w:r w:rsidRPr="00783F61">
        <w:rPr>
          <w:rFonts w:ascii="Times New Roman" w:hAnsi="Times New Roman" w:cs="Times New Roman"/>
          <w:color w:val="000000" w:themeColor="text1"/>
          <w:sz w:val="24"/>
          <w:szCs w:val="24"/>
        </w:rPr>
        <w:t>In fintech and e-commerce especially, promotional schemes such as 'get ₹500 cashback if you complete five transactions this month' closely resemble the Carlill fact pattern. A customer who performs the stated act may be able to treat the company's promise as accepted, even without ever sending a formal confirmation of acceptance. The case therefore serves as an early warning for any modern business that publishes conditional promises to the public at large.</w:t>
      </w:r>
    </w:p>
    <w:p w14:paraId="546D665E" w14:textId="77777777" w:rsidR="00F74185" w:rsidRPr="00783F61" w:rsidRDefault="00EF0CDE" w:rsidP="001E21ED">
      <w:pPr>
        <w:pStyle w:val="Heading2"/>
        <w:spacing w:before="280" w:after="140"/>
        <w:jc w:val="both"/>
        <w:rPr>
          <w:rFonts w:ascii="Times New Roman" w:hAnsi="Times New Roman" w:cs="Times New Roman"/>
          <w:color w:val="000000" w:themeColor="text1"/>
          <w:sz w:val="24"/>
          <w:szCs w:val="24"/>
        </w:rPr>
      </w:pPr>
      <w:r w:rsidRPr="00783F61">
        <w:rPr>
          <w:rFonts w:ascii="Times New Roman" w:hAnsi="Times New Roman" w:cs="Times New Roman"/>
          <w:b/>
          <w:bCs/>
          <w:color w:val="000000" w:themeColor="text1"/>
          <w:sz w:val="24"/>
          <w:szCs w:val="24"/>
        </w:rPr>
        <w:t>6.2 Risk Management &amp; Operational Compliance</w:t>
      </w:r>
    </w:p>
    <w:p w14:paraId="03FD0842" w14:textId="77777777" w:rsidR="00F74185" w:rsidRPr="00783F61" w:rsidRDefault="00EF0CDE" w:rsidP="001E21ED">
      <w:pPr>
        <w:spacing w:after="180" w:line="300" w:lineRule="auto"/>
        <w:jc w:val="both"/>
        <w:rPr>
          <w:rFonts w:ascii="Times New Roman" w:hAnsi="Times New Roman" w:cs="Times New Roman"/>
          <w:color w:val="000000" w:themeColor="text1"/>
          <w:sz w:val="24"/>
          <w:szCs w:val="24"/>
        </w:rPr>
      </w:pPr>
      <w:r w:rsidRPr="00783F61">
        <w:rPr>
          <w:rFonts w:ascii="Times New Roman" w:hAnsi="Times New Roman" w:cs="Times New Roman"/>
          <w:color w:val="000000" w:themeColor="text1"/>
          <w:sz w:val="24"/>
          <w:szCs w:val="24"/>
        </w:rPr>
        <w:t>For businesses today, several practical lessons can be drawn from this case:</w:t>
      </w:r>
    </w:p>
    <w:p w14:paraId="1D3272DE" w14:textId="77777777" w:rsidR="00F74185" w:rsidRPr="00783F61" w:rsidRDefault="00EF0CDE" w:rsidP="001E21ED">
      <w:pPr>
        <w:pStyle w:val="ListParagraph"/>
        <w:numPr>
          <w:ilvl w:val="0"/>
          <w:numId w:val="1"/>
        </w:numPr>
        <w:spacing w:after="100" w:line="300" w:lineRule="auto"/>
        <w:jc w:val="both"/>
        <w:rPr>
          <w:rFonts w:ascii="Times New Roman" w:hAnsi="Times New Roman" w:cs="Times New Roman"/>
          <w:color w:val="000000" w:themeColor="text1"/>
          <w:sz w:val="24"/>
          <w:szCs w:val="24"/>
        </w:rPr>
      </w:pPr>
      <w:r w:rsidRPr="00783F61">
        <w:rPr>
          <w:rFonts w:ascii="Times New Roman" w:hAnsi="Times New Roman" w:cs="Times New Roman"/>
          <w:color w:val="000000" w:themeColor="text1"/>
          <w:sz w:val="24"/>
          <w:szCs w:val="24"/>
        </w:rPr>
        <w:t>Draft promotional offers carefully: Vague or exaggerated claims can still be read by courts as binding promises if they are specific enough and capable of being acted upon.</w:t>
      </w:r>
    </w:p>
    <w:p w14:paraId="336D6C8A" w14:textId="77777777" w:rsidR="00F74185" w:rsidRPr="00783F61" w:rsidRDefault="00EF0CDE" w:rsidP="001E21ED">
      <w:pPr>
        <w:pStyle w:val="ListParagraph"/>
        <w:numPr>
          <w:ilvl w:val="0"/>
          <w:numId w:val="1"/>
        </w:numPr>
        <w:spacing w:after="100" w:line="300" w:lineRule="auto"/>
        <w:jc w:val="both"/>
        <w:rPr>
          <w:rFonts w:ascii="Times New Roman" w:hAnsi="Times New Roman" w:cs="Times New Roman"/>
          <w:color w:val="000000" w:themeColor="text1"/>
          <w:sz w:val="24"/>
          <w:szCs w:val="24"/>
        </w:rPr>
      </w:pPr>
      <w:r w:rsidRPr="00783F61">
        <w:rPr>
          <w:rFonts w:ascii="Times New Roman" w:hAnsi="Times New Roman" w:cs="Times New Roman"/>
          <w:color w:val="000000" w:themeColor="text1"/>
          <w:sz w:val="24"/>
          <w:szCs w:val="24"/>
        </w:rPr>
        <w:t>Set clear conditions and limits: Businesses should clearly state timelines, eligibility conditions, and any caps on the offer, so as to avoid open-ended and unpredictable liability.</w:t>
      </w:r>
    </w:p>
    <w:p w14:paraId="07E9C553" w14:textId="77777777" w:rsidR="00F74185" w:rsidRPr="00783F61" w:rsidRDefault="00EF0CDE" w:rsidP="001E21ED">
      <w:pPr>
        <w:pStyle w:val="ListParagraph"/>
        <w:numPr>
          <w:ilvl w:val="0"/>
          <w:numId w:val="1"/>
        </w:numPr>
        <w:spacing w:after="100" w:line="300" w:lineRule="auto"/>
        <w:jc w:val="both"/>
        <w:rPr>
          <w:rFonts w:ascii="Times New Roman" w:hAnsi="Times New Roman" w:cs="Times New Roman"/>
          <w:color w:val="000000" w:themeColor="text1"/>
          <w:sz w:val="24"/>
          <w:szCs w:val="24"/>
        </w:rPr>
      </w:pPr>
      <w:r w:rsidRPr="00783F61">
        <w:rPr>
          <w:rFonts w:ascii="Times New Roman" w:hAnsi="Times New Roman" w:cs="Times New Roman"/>
          <w:color w:val="000000" w:themeColor="text1"/>
          <w:sz w:val="24"/>
          <w:szCs w:val="24"/>
        </w:rPr>
        <w:t>Avoid unnecessary signals of seriousness: Actions like the Carbolic Smoke Ball Company's bank deposit can be used by courts as evidence of a genuine intention to be bound; businesses should be conscious of what their own conduct signals.</w:t>
      </w:r>
    </w:p>
    <w:p w14:paraId="2E43B6CD" w14:textId="77777777" w:rsidR="00F74185" w:rsidRPr="00783F61" w:rsidRDefault="00EF0CDE" w:rsidP="001E21ED">
      <w:pPr>
        <w:pStyle w:val="ListParagraph"/>
        <w:numPr>
          <w:ilvl w:val="0"/>
          <w:numId w:val="1"/>
        </w:numPr>
        <w:spacing w:after="100" w:line="300" w:lineRule="auto"/>
        <w:jc w:val="both"/>
        <w:rPr>
          <w:rFonts w:ascii="Times New Roman" w:hAnsi="Times New Roman" w:cs="Times New Roman"/>
          <w:color w:val="000000" w:themeColor="text1"/>
          <w:sz w:val="24"/>
          <w:szCs w:val="24"/>
        </w:rPr>
      </w:pPr>
      <w:r w:rsidRPr="00783F61">
        <w:rPr>
          <w:rFonts w:ascii="Times New Roman" w:hAnsi="Times New Roman" w:cs="Times New Roman"/>
          <w:color w:val="000000" w:themeColor="text1"/>
          <w:sz w:val="24"/>
          <w:szCs w:val="24"/>
        </w:rPr>
        <w:lastRenderedPageBreak/>
        <w:t>Anticipate acceptance by conduct: In unilateral-style offers (such as reward or bonus schemes), businesses should assume that customers who meet the stated conditions can hold them to the promise, without any separate step of formal acceptance.</w:t>
      </w:r>
    </w:p>
    <w:p w14:paraId="76C8B268" w14:textId="77777777" w:rsidR="00F74185" w:rsidRPr="00783F61" w:rsidRDefault="00EF0CDE" w:rsidP="001E21ED">
      <w:pPr>
        <w:pStyle w:val="ListParagraph"/>
        <w:numPr>
          <w:ilvl w:val="0"/>
          <w:numId w:val="1"/>
        </w:numPr>
        <w:spacing w:after="100" w:line="300" w:lineRule="auto"/>
        <w:jc w:val="both"/>
        <w:rPr>
          <w:rFonts w:ascii="Times New Roman" w:hAnsi="Times New Roman" w:cs="Times New Roman"/>
          <w:color w:val="000000" w:themeColor="text1"/>
          <w:sz w:val="24"/>
          <w:szCs w:val="24"/>
        </w:rPr>
      </w:pPr>
      <w:r w:rsidRPr="00783F61">
        <w:rPr>
          <w:rFonts w:ascii="Times New Roman" w:hAnsi="Times New Roman" w:cs="Times New Roman"/>
          <w:color w:val="000000" w:themeColor="text1"/>
          <w:sz w:val="24"/>
          <w:szCs w:val="24"/>
        </w:rPr>
        <w:t>Maintain compliance review of advertisements: Marketing and legal teams should jointly review promotional material before publication, since language intended purely as marketing 'flavour' can still create real legal obligations.</w:t>
      </w:r>
    </w:p>
    <w:p w14:paraId="0C713B1E" w14:textId="77777777" w:rsidR="00F74185" w:rsidRPr="00783F61" w:rsidRDefault="00EF0CDE" w:rsidP="001E21ED">
      <w:pPr>
        <w:pStyle w:val="Heading1"/>
        <w:pBdr>
          <w:bottom w:val="single" w:sz="6" w:space="4" w:color="1F3864"/>
        </w:pBdr>
        <w:spacing w:before="360" w:after="200"/>
        <w:jc w:val="both"/>
        <w:rPr>
          <w:rFonts w:ascii="Times New Roman" w:hAnsi="Times New Roman" w:cs="Times New Roman"/>
          <w:color w:val="000000" w:themeColor="text1"/>
          <w:sz w:val="24"/>
          <w:szCs w:val="24"/>
        </w:rPr>
      </w:pPr>
      <w:r w:rsidRPr="00783F61">
        <w:rPr>
          <w:rFonts w:ascii="Times New Roman" w:hAnsi="Times New Roman" w:cs="Times New Roman"/>
          <w:b/>
          <w:bCs/>
          <w:color w:val="000000" w:themeColor="text1"/>
          <w:sz w:val="24"/>
          <w:szCs w:val="24"/>
        </w:rPr>
        <w:t>7. Conclusion</w:t>
      </w:r>
    </w:p>
    <w:p w14:paraId="6EF5A0C6" w14:textId="77777777" w:rsidR="00F74185" w:rsidRPr="00783F61" w:rsidRDefault="00EF0CDE" w:rsidP="001E21ED">
      <w:pPr>
        <w:pStyle w:val="Heading2"/>
        <w:spacing w:before="280" w:after="140"/>
        <w:jc w:val="both"/>
        <w:rPr>
          <w:rFonts w:ascii="Times New Roman" w:hAnsi="Times New Roman" w:cs="Times New Roman"/>
          <w:color w:val="000000" w:themeColor="text1"/>
          <w:sz w:val="24"/>
          <w:szCs w:val="24"/>
        </w:rPr>
      </w:pPr>
      <w:r w:rsidRPr="00783F61">
        <w:rPr>
          <w:rFonts w:ascii="Times New Roman" w:hAnsi="Times New Roman" w:cs="Times New Roman"/>
          <w:b/>
          <w:bCs/>
          <w:color w:val="000000" w:themeColor="text1"/>
          <w:sz w:val="24"/>
          <w:szCs w:val="24"/>
        </w:rPr>
        <w:t>7.1 Personal Learning and Observations</w:t>
      </w:r>
    </w:p>
    <w:p w14:paraId="6025B294" w14:textId="77777777" w:rsidR="00F74185" w:rsidRPr="00783F61" w:rsidRDefault="00EF0CDE" w:rsidP="001E21ED">
      <w:pPr>
        <w:spacing w:after="180" w:line="300" w:lineRule="auto"/>
        <w:jc w:val="both"/>
        <w:rPr>
          <w:rFonts w:ascii="Times New Roman" w:hAnsi="Times New Roman" w:cs="Times New Roman"/>
          <w:color w:val="000000" w:themeColor="text1"/>
          <w:sz w:val="24"/>
          <w:szCs w:val="24"/>
        </w:rPr>
      </w:pPr>
      <w:r w:rsidRPr="00783F61">
        <w:rPr>
          <w:rFonts w:ascii="Times New Roman" w:hAnsi="Times New Roman" w:cs="Times New Roman"/>
          <w:color w:val="000000" w:themeColor="text1"/>
          <w:sz w:val="24"/>
          <w:szCs w:val="24"/>
        </w:rPr>
        <w:t xml:space="preserve">Studying Carlill v. Carbolic Smoke Ball Company has helped me understand that contract law is not only about formal, signed agreements between two known parties; it can also arise from </w:t>
      </w:r>
      <w:proofErr w:type="spellStart"/>
      <w:r w:rsidRPr="00783F61">
        <w:rPr>
          <w:rFonts w:ascii="Times New Roman" w:hAnsi="Times New Roman" w:cs="Times New Roman"/>
          <w:color w:val="000000" w:themeColor="text1"/>
          <w:sz w:val="24"/>
          <w:szCs w:val="24"/>
        </w:rPr>
        <w:t>everyday</w:t>
      </w:r>
      <w:proofErr w:type="spellEnd"/>
      <w:r w:rsidRPr="00783F61">
        <w:rPr>
          <w:rFonts w:ascii="Times New Roman" w:hAnsi="Times New Roman" w:cs="Times New Roman"/>
          <w:color w:val="000000" w:themeColor="text1"/>
          <w:sz w:val="24"/>
          <w:szCs w:val="24"/>
        </w:rPr>
        <w:t xml:space="preserve"> public promises, such as advertisements, if those promises are specific and appear genuine. The case teaches that courts look at the substance and conduct behind a promise, not just the label a company gives it (such as calling something 'just an advertisement'). The company's own act of depositing money in a bank turned out to be more powerful evidence of its intentions than its later claim that the offer was never meant to be taken seriously.</w:t>
      </w:r>
    </w:p>
    <w:p w14:paraId="2140D247" w14:textId="77777777" w:rsidR="00F74185" w:rsidRPr="00783F61" w:rsidRDefault="00EF0CDE" w:rsidP="001E21ED">
      <w:pPr>
        <w:spacing w:after="180" w:line="300" w:lineRule="auto"/>
        <w:jc w:val="both"/>
        <w:rPr>
          <w:rFonts w:ascii="Times New Roman" w:hAnsi="Times New Roman" w:cs="Times New Roman"/>
          <w:color w:val="000000" w:themeColor="text1"/>
          <w:sz w:val="24"/>
          <w:szCs w:val="24"/>
        </w:rPr>
      </w:pPr>
      <w:r w:rsidRPr="00783F61">
        <w:rPr>
          <w:rFonts w:ascii="Times New Roman" w:hAnsi="Times New Roman" w:cs="Times New Roman"/>
          <w:color w:val="000000" w:themeColor="text1"/>
          <w:sz w:val="24"/>
          <w:szCs w:val="24"/>
        </w:rPr>
        <w:t>I also found it interesting that a contract can be accepted simply by doing something, without any formal message of acceptance being sent back to the offeror. This idea of a 'unilateral contract' feels very relevant even today, especially in the world of online offers, reward schemes, and fintech promotions, where companies frequently make conditional promises to large, undefined groups of people. As someone studying commerce and financial technology, this case reminds me that clear, careful drafting of offers and promotional terms is not just good marketing practice, it is also essential legal risk management. Overall, this case remains a foundational lesson on how ordinary business communication can create serious, enforceable legal obligations.</w:t>
      </w:r>
    </w:p>
    <w:sectPr w:rsidR="00F74185" w:rsidRPr="00783F6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E949D" w14:textId="77777777" w:rsidR="00775655" w:rsidRDefault="00775655">
      <w:r>
        <w:separator/>
      </w:r>
    </w:p>
  </w:endnote>
  <w:endnote w:type="continuationSeparator" w:id="0">
    <w:p w14:paraId="7275900B" w14:textId="77777777" w:rsidR="00775655" w:rsidRDefault="007756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83BCA" w14:textId="5F297316" w:rsidR="00F74185" w:rsidRDefault="00F74185">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82D2F" w14:textId="77777777" w:rsidR="00775655" w:rsidRDefault="00775655">
      <w:r>
        <w:separator/>
      </w:r>
    </w:p>
  </w:footnote>
  <w:footnote w:type="continuationSeparator" w:id="0">
    <w:p w14:paraId="3B76E97B" w14:textId="77777777" w:rsidR="00775655" w:rsidRDefault="007756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DF22A" w14:textId="20074913" w:rsidR="00F74185" w:rsidRPr="001E21ED" w:rsidRDefault="00F74185" w:rsidP="001E21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E4790"/>
    <w:multiLevelType w:val="hybridMultilevel"/>
    <w:tmpl w:val="2DE0368C"/>
    <w:lvl w:ilvl="0" w:tplc="18A82620">
      <w:start w:val="1"/>
      <w:numFmt w:val="bullet"/>
      <w:lvlText w:val="•"/>
      <w:lvlJc w:val="left"/>
      <w:pPr>
        <w:ind w:left="720" w:hanging="360"/>
      </w:pPr>
    </w:lvl>
    <w:lvl w:ilvl="1" w:tplc="E6DE7B32">
      <w:numFmt w:val="decimal"/>
      <w:lvlText w:val=""/>
      <w:lvlJc w:val="left"/>
    </w:lvl>
    <w:lvl w:ilvl="2" w:tplc="9460ABDC">
      <w:numFmt w:val="decimal"/>
      <w:lvlText w:val=""/>
      <w:lvlJc w:val="left"/>
    </w:lvl>
    <w:lvl w:ilvl="3" w:tplc="8528DA0A">
      <w:numFmt w:val="decimal"/>
      <w:lvlText w:val=""/>
      <w:lvlJc w:val="left"/>
    </w:lvl>
    <w:lvl w:ilvl="4" w:tplc="69346CB8">
      <w:numFmt w:val="decimal"/>
      <w:lvlText w:val=""/>
      <w:lvlJc w:val="left"/>
    </w:lvl>
    <w:lvl w:ilvl="5" w:tplc="4470129A">
      <w:numFmt w:val="decimal"/>
      <w:lvlText w:val=""/>
      <w:lvlJc w:val="left"/>
    </w:lvl>
    <w:lvl w:ilvl="6" w:tplc="F4260198">
      <w:numFmt w:val="decimal"/>
      <w:lvlText w:val=""/>
      <w:lvlJc w:val="left"/>
    </w:lvl>
    <w:lvl w:ilvl="7" w:tplc="91FCF0DC">
      <w:numFmt w:val="decimal"/>
      <w:lvlText w:val=""/>
      <w:lvlJc w:val="left"/>
    </w:lvl>
    <w:lvl w:ilvl="8" w:tplc="E27C5DD8">
      <w:numFmt w:val="decimal"/>
      <w:lvlText w:val=""/>
      <w:lvlJc w:val="left"/>
    </w:lvl>
  </w:abstractNum>
  <w:abstractNum w:abstractNumId="1" w15:restartNumberingAfterBreak="0">
    <w:nsid w:val="6A033BEA"/>
    <w:multiLevelType w:val="hybridMultilevel"/>
    <w:tmpl w:val="2CF2877C"/>
    <w:lvl w:ilvl="0" w:tplc="0FA46292">
      <w:start w:val="1"/>
      <w:numFmt w:val="bullet"/>
      <w:lvlText w:val="●"/>
      <w:lvlJc w:val="left"/>
      <w:pPr>
        <w:ind w:left="720" w:hanging="360"/>
      </w:pPr>
    </w:lvl>
    <w:lvl w:ilvl="1" w:tplc="13CA8DEE">
      <w:start w:val="1"/>
      <w:numFmt w:val="bullet"/>
      <w:lvlText w:val="○"/>
      <w:lvlJc w:val="left"/>
      <w:pPr>
        <w:ind w:left="1440" w:hanging="360"/>
      </w:pPr>
    </w:lvl>
    <w:lvl w:ilvl="2" w:tplc="827A0496">
      <w:start w:val="1"/>
      <w:numFmt w:val="bullet"/>
      <w:lvlText w:val="■"/>
      <w:lvlJc w:val="left"/>
      <w:pPr>
        <w:ind w:left="2160" w:hanging="360"/>
      </w:pPr>
    </w:lvl>
    <w:lvl w:ilvl="3" w:tplc="2ED4D020">
      <w:start w:val="1"/>
      <w:numFmt w:val="bullet"/>
      <w:lvlText w:val="●"/>
      <w:lvlJc w:val="left"/>
      <w:pPr>
        <w:ind w:left="2880" w:hanging="360"/>
      </w:pPr>
    </w:lvl>
    <w:lvl w:ilvl="4" w:tplc="F092C166">
      <w:start w:val="1"/>
      <w:numFmt w:val="bullet"/>
      <w:lvlText w:val="○"/>
      <w:lvlJc w:val="left"/>
      <w:pPr>
        <w:ind w:left="3600" w:hanging="360"/>
      </w:pPr>
    </w:lvl>
    <w:lvl w:ilvl="5" w:tplc="EB20B5EE">
      <w:start w:val="1"/>
      <w:numFmt w:val="bullet"/>
      <w:lvlText w:val="■"/>
      <w:lvlJc w:val="left"/>
      <w:pPr>
        <w:ind w:left="4320" w:hanging="360"/>
      </w:pPr>
    </w:lvl>
    <w:lvl w:ilvl="6" w:tplc="E1A64D86">
      <w:start w:val="1"/>
      <w:numFmt w:val="bullet"/>
      <w:lvlText w:val="●"/>
      <w:lvlJc w:val="left"/>
      <w:pPr>
        <w:ind w:left="5040" w:hanging="360"/>
      </w:pPr>
    </w:lvl>
    <w:lvl w:ilvl="7" w:tplc="6C243ABC">
      <w:start w:val="1"/>
      <w:numFmt w:val="bullet"/>
      <w:lvlText w:val="●"/>
      <w:lvlJc w:val="left"/>
      <w:pPr>
        <w:ind w:left="5760" w:hanging="360"/>
      </w:pPr>
    </w:lvl>
    <w:lvl w:ilvl="8" w:tplc="91AA942E">
      <w:start w:val="1"/>
      <w:numFmt w:val="bullet"/>
      <w:lvlText w:val="●"/>
      <w:lvlJc w:val="left"/>
      <w:pPr>
        <w:ind w:left="6480" w:hanging="360"/>
      </w:pPr>
    </w:lvl>
  </w:abstractNum>
  <w:num w:numId="1" w16cid:durableId="2150899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4185"/>
    <w:rsid w:val="000A1B33"/>
    <w:rsid w:val="000B09A0"/>
    <w:rsid w:val="000B10CB"/>
    <w:rsid w:val="000B7ECC"/>
    <w:rsid w:val="000C6816"/>
    <w:rsid w:val="000F7267"/>
    <w:rsid w:val="00102EFE"/>
    <w:rsid w:val="00165FE7"/>
    <w:rsid w:val="001B368D"/>
    <w:rsid w:val="001C6D53"/>
    <w:rsid w:val="001D36E6"/>
    <w:rsid w:val="001E21ED"/>
    <w:rsid w:val="00237283"/>
    <w:rsid w:val="0026105D"/>
    <w:rsid w:val="00267176"/>
    <w:rsid w:val="00272ABE"/>
    <w:rsid w:val="002E11EE"/>
    <w:rsid w:val="002F25B1"/>
    <w:rsid w:val="0040052A"/>
    <w:rsid w:val="00405AD4"/>
    <w:rsid w:val="00406843"/>
    <w:rsid w:val="00474201"/>
    <w:rsid w:val="004A4381"/>
    <w:rsid w:val="00503E3B"/>
    <w:rsid w:val="0054061C"/>
    <w:rsid w:val="00566FAE"/>
    <w:rsid w:val="005D3F07"/>
    <w:rsid w:val="005F790D"/>
    <w:rsid w:val="00641135"/>
    <w:rsid w:val="00670F18"/>
    <w:rsid w:val="00695AAA"/>
    <w:rsid w:val="0072203C"/>
    <w:rsid w:val="00725188"/>
    <w:rsid w:val="0073727B"/>
    <w:rsid w:val="00772742"/>
    <w:rsid w:val="00775655"/>
    <w:rsid w:val="00783F61"/>
    <w:rsid w:val="0078416B"/>
    <w:rsid w:val="007E6CA9"/>
    <w:rsid w:val="008465AD"/>
    <w:rsid w:val="008531B8"/>
    <w:rsid w:val="008635C4"/>
    <w:rsid w:val="008B50F2"/>
    <w:rsid w:val="008D5C74"/>
    <w:rsid w:val="008F208B"/>
    <w:rsid w:val="00942D15"/>
    <w:rsid w:val="00956A54"/>
    <w:rsid w:val="0098463A"/>
    <w:rsid w:val="00985026"/>
    <w:rsid w:val="009A5646"/>
    <w:rsid w:val="00C021A2"/>
    <w:rsid w:val="00C6372A"/>
    <w:rsid w:val="00C66E2C"/>
    <w:rsid w:val="00CB79DF"/>
    <w:rsid w:val="00CC4CD4"/>
    <w:rsid w:val="00CE0104"/>
    <w:rsid w:val="00D21D50"/>
    <w:rsid w:val="00D37364"/>
    <w:rsid w:val="00D868F1"/>
    <w:rsid w:val="00DB5FE9"/>
    <w:rsid w:val="00E26962"/>
    <w:rsid w:val="00E36D29"/>
    <w:rsid w:val="00E60F03"/>
    <w:rsid w:val="00EC67AC"/>
    <w:rsid w:val="00EF0CDE"/>
    <w:rsid w:val="00EF1B4E"/>
    <w:rsid w:val="00F15CE6"/>
    <w:rsid w:val="00F221E5"/>
    <w:rsid w:val="00F343B8"/>
    <w:rsid w:val="00F74185"/>
    <w:rsid w:val="00FA0D85"/>
    <w:rsid w:val="00FC0C7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F1D2F"/>
  <w15:docId w15:val="{FE921655-867E-4E49-822A-7E6411EC2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E21ED"/>
    <w:pPr>
      <w:tabs>
        <w:tab w:val="center" w:pos="4513"/>
        <w:tab w:val="right" w:pos="9026"/>
      </w:tabs>
    </w:pPr>
  </w:style>
  <w:style w:type="character" w:customStyle="1" w:styleId="HeaderChar">
    <w:name w:val="Header Char"/>
    <w:basedOn w:val="DefaultParagraphFont"/>
    <w:link w:val="Header"/>
    <w:uiPriority w:val="99"/>
    <w:rsid w:val="001E21ED"/>
  </w:style>
  <w:style w:type="paragraph" w:styleId="Footer">
    <w:name w:val="footer"/>
    <w:basedOn w:val="Normal"/>
    <w:link w:val="FooterChar"/>
    <w:uiPriority w:val="99"/>
    <w:unhideWhenUsed/>
    <w:rsid w:val="001E21ED"/>
    <w:pPr>
      <w:tabs>
        <w:tab w:val="center" w:pos="4513"/>
        <w:tab w:val="right" w:pos="9026"/>
      </w:tabs>
    </w:pPr>
  </w:style>
  <w:style w:type="character" w:customStyle="1" w:styleId="FooterChar">
    <w:name w:val="Footer Char"/>
    <w:basedOn w:val="DefaultParagraphFont"/>
    <w:link w:val="Footer"/>
    <w:uiPriority w:val="99"/>
    <w:rsid w:val="001E21ED"/>
  </w:style>
  <w:style w:type="table" w:styleId="TableGrid">
    <w:name w:val="Table Grid"/>
    <w:basedOn w:val="TableNormal"/>
    <w:uiPriority w:val="39"/>
    <w:rsid w:val="00F15C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15CE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TotalTime>
  <Pages>9</Pages>
  <Words>2537</Words>
  <Characters>14466</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Deenah .N</cp:lastModifiedBy>
  <cp:revision>55</cp:revision>
  <dcterms:created xsi:type="dcterms:W3CDTF">2026-07-03T07:45:00Z</dcterms:created>
  <dcterms:modified xsi:type="dcterms:W3CDTF">2026-07-14T04:48:00Z</dcterms:modified>
</cp:coreProperties>
</file>