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7C271" w14:textId="3AE25E11" w:rsidR="00862892" w:rsidRPr="0061036F" w:rsidRDefault="001C29BF">
      <w:pPr>
        <w:spacing w:before="2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k</w:t>
      </w:r>
    </w:p>
    <w:p w14:paraId="31EB5373" w14:textId="77777777" w:rsidR="00862892" w:rsidRPr="00A563D8" w:rsidRDefault="00000000">
      <w:pPr>
        <w:spacing w:after="100"/>
        <w:jc w:val="center"/>
        <w:rPr>
          <w:rFonts w:ascii="Times New Roman" w:hAnsi="Times New Roman" w:cs="Times New Roman"/>
          <w:color w:val="000000" w:themeColor="text1"/>
          <w:sz w:val="36"/>
          <w:szCs w:val="36"/>
        </w:rPr>
      </w:pPr>
      <w:r w:rsidRPr="00A563D8">
        <w:rPr>
          <w:rFonts w:ascii="Times New Roman" w:hAnsi="Times New Roman" w:cs="Times New Roman"/>
          <w:b/>
          <w:bCs/>
          <w:color w:val="000000" w:themeColor="text1"/>
          <w:sz w:val="36"/>
          <w:szCs w:val="36"/>
        </w:rPr>
        <w:t>CASE ANALYSIS REPORT</w:t>
      </w:r>
    </w:p>
    <w:p w14:paraId="46D3CFBA" w14:textId="1B47783E" w:rsidR="00862892" w:rsidRDefault="00000000" w:rsidP="00923D42">
      <w:pPr>
        <w:spacing w:after="600"/>
        <w:jc w:val="center"/>
        <w:rPr>
          <w:rFonts w:ascii="Times New Roman" w:hAnsi="Times New Roman" w:cs="Times New Roman"/>
          <w:color w:val="000000" w:themeColor="text1"/>
          <w:sz w:val="36"/>
          <w:szCs w:val="36"/>
        </w:rPr>
      </w:pPr>
      <w:r w:rsidRPr="00611833">
        <w:rPr>
          <w:rFonts w:ascii="Times New Roman" w:hAnsi="Times New Roman" w:cs="Times New Roman"/>
          <w:i/>
          <w:iCs/>
          <w:color w:val="000000" w:themeColor="text1"/>
          <w:sz w:val="36"/>
          <w:szCs w:val="36"/>
        </w:rPr>
        <w:t>Balfour v. Balfour [1919] 2 KB 571</w:t>
      </w:r>
    </w:p>
    <w:p w14:paraId="4F643A85" w14:textId="77777777" w:rsidR="00A44F13" w:rsidRPr="00923D42" w:rsidRDefault="00A44F13" w:rsidP="00923D42">
      <w:pPr>
        <w:spacing w:after="600"/>
        <w:jc w:val="center"/>
        <w:rPr>
          <w:rFonts w:ascii="Times New Roman" w:hAnsi="Times New Roman" w:cs="Times New Roman"/>
          <w:color w:val="000000" w:themeColor="text1"/>
          <w:sz w:val="36"/>
          <w:szCs w:val="36"/>
        </w:rPr>
      </w:pPr>
    </w:p>
    <w:p w14:paraId="5EF9477D" w14:textId="77777777" w:rsidR="0035663B" w:rsidRDefault="0035663B">
      <w:pPr>
        <w:spacing w:after="200"/>
        <w:jc w:val="center"/>
        <w:rPr>
          <w:rFonts w:ascii="Times New Roman" w:hAnsi="Times New Roman" w:cs="Times New Roman"/>
          <w:b/>
          <w:bCs/>
          <w:color w:val="000000" w:themeColor="text1"/>
          <w:sz w:val="28"/>
          <w:szCs w:val="28"/>
        </w:rPr>
      </w:pPr>
    </w:p>
    <w:p w14:paraId="3969CD94" w14:textId="77777777" w:rsidR="0035663B" w:rsidRDefault="0035663B">
      <w:pPr>
        <w:spacing w:after="200"/>
        <w:jc w:val="center"/>
        <w:rPr>
          <w:rFonts w:ascii="Times New Roman" w:hAnsi="Times New Roman" w:cs="Times New Roman"/>
          <w:b/>
          <w:bCs/>
          <w:color w:val="000000" w:themeColor="text1"/>
          <w:sz w:val="28"/>
          <w:szCs w:val="28"/>
        </w:rPr>
      </w:pPr>
    </w:p>
    <w:p w14:paraId="4C7DD58D" w14:textId="77777777" w:rsidR="0035663B" w:rsidRDefault="0035663B">
      <w:pPr>
        <w:spacing w:after="200"/>
        <w:jc w:val="center"/>
        <w:rPr>
          <w:rFonts w:ascii="Times New Roman" w:hAnsi="Times New Roman" w:cs="Times New Roman"/>
          <w:b/>
          <w:bCs/>
          <w:color w:val="000000" w:themeColor="text1"/>
          <w:sz w:val="28"/>
          <w:szCs w:val="28"/>
        </w:rPr>
      </w:pPr>
    </w:p>
    <w:p w14:paraId="1899F4E1" w14:textId="77777777" w:rsidR="00213FB0" w:rsidRDefault="00213FB0">
      <w:pPr>
        <w:spacing w:after="200"/>
        <w:jc w:val="center"/>
        <w:rPr>
          <w:rFonts w:ascii="Times New Roman" w:hAnsi="Times New Roman" w:cs="Times New Roman"/>
          <w:b/>
          <w:bCs/>
          <w:color w:val="000000" w:themeColor="text1"/>
          <w:sz w:val="28"/>
          <w:szCs w:val="28"/>
        </w:rPr>
      </w:pPr>
    </w:p>
    <w:p w14:paraId="70A99362" w14:textId="216D20A6" w:rsidR="00862892" w:rsidRPr="00611833" w:rsidRDefault="00000000">
      <w:pPr>
        <w:spacing w:after="200"/>
        <w:jc w:val="center"/>
        <w:rPr>
          <w:rFonts w:ascii="Times New Roman" w:hAnsi="Times New Roman" w:cs="Times New Roman"/>
          <w:color w:val="000000" w:themeColor="text1"/>
          <w:sz w:val="28"/>
          <w:szCs w:val="28"/>
        </w:rPr>
      </w:pPr>
      <w:r w:rsidRPr="00611833">
        <w:rPr>
          <w:rFonts w:ascii="Times New Roman" w:hAnsi="Times New Roman" w:cs="Times New Roman"/>
          <w:b/>
          <w:bCs/>
          <w:color w:val="000000" w:themeColor="text1"/>
          <w:sz w:val="28"/>
          <w:szCs w:val="28"/>
        </w:rPr>
        <w:t xml:space="preserve">Student Name:  </w:t>
      </w:r>
      <w:r w:rsidRPr="00611833">
        <w:rPr>
          <w:rFonts w:ascii="Times New Roman" w:hAnsi="Times New Roman" w:cs="Times New Roman"/>
          <w:color w:val="000000" w:themeColor="text1"/>
          <w:sz w:val="28"/>
          <w:szCs w:val="28"/>
        </w:rPr>
        <w:t>Deenah N</w:t>
      </w:r>
    </w:p>
    <w:p w14:paraId="34881468" w14:textId="77777777" w:rsidR="00862892" w:rsidRPr="00611833" w:rsidRDefault="00000000">
      <w:pPr>
        <w:spacing w:after="200"/>
        <w:jc w:val="center"/>
        <w:rPr>
          <w:rFonts w:ascii="Times New Roman" w:hAnsi="Times New Roman" w:cs="Times New Roman"/>
          <w:color w:val="000000" w:themeColor="text1"/>
          <w:sz w:val="28"/>
          <w:szCs w:val="28"/>
        </w:rPr>
      </w:pPr>
      <w:r w:rsidRPr="00611833">
        <w:rPr>
          <w:rFonts w:ascii="Times New Roman" w:hAnsi="Times New Roman" w:cs="Times New Roman"/>
          <w:b/>
          <w:bCs/>
          <w:color w:val="000000" w:themeColor="text1"/>
          <w:sz w:val="28"/>
          <w:szCs w:val="28"/>
        </w:rPr>
        <w:t xml:space="preserve">Register Number:  </w:t>
      </w:r>
      <w:r w:rsidRPr="00611833">
        <w:rPr>
          <w:rFonts w:ascii="Times New Roman" w:hAnsi="Times New Roman" w:cs="Times New Roman"/>
          <w:color w:val="000000" w:themeColor="text1"/>
          <w:sz w:val="28"/>
          <w:szCs w:val="28"/>
        </w:rPr>
        <w:t>5272510203</w:t>
      </w:r>
    </w:p>
    <w:p w14:paraId="6383B2B8" w14:textId="08AECC97" w:rsidR="00862892" w:rsidRPr="00611833" w:rsidRDefault="00700940">
      <w:pPr>
        <w:spacing w:after="200"/>
        <w:jc w:val="center"/>
        <w:rPr>
          <w:rFonts w:ascii="Times New Roman" w:hAnsi="Times New Roman" w:cs="Times New Roman"/>
          <w:color w:val="000000" w:themeColor="text1"/>
          <w:sz w:val="28"/>
          <w:szCs w:val="28"/>
        </w:rPr>
      </w:pPr>
      <w:r w:rsidRPr="00611833">
        <w:rPr>
          <w:rFonts w:ascii="Times New Roman" w:hAnsi="Times New Roman" w:cs="Times New Roman"/>
          <w:b/>
          <w:bCs/>
          <w:color w:val="000000" w:themeColor="text1"/>
          <w:sz w:val="28"/>
          <w:szCs w:val="28"/>
        </w:rPr>
        <w:t xml:space="preserve">Department:  </w:t>
      </w:r>
      <w:r w:rsidRPr="00611833">
        <w:rPr>
          <w:rFonts w:ascii="Times New Roman" w:hAnsi="Times New Roman" w:cs="Times New Roman"/>
          <w:color w:val="000000" w:themeColor="text1"/>
          <w:sz w:val="28"/>
          <w:szCs w:val="28"/>
        </w:rPr>
        <w:t>B.</w:t>
      </w:r>
      <w:r w:rsidR="00611833">
        <w:rPr>
          <w:rFonts w:ascii="Times New Roman" w:hAnsi="Times New Roman" w:cs="Times New Roman"/>
          <w:color w:val="000000" w:themeColor="text1"/>
          <w:sz w:val="28"/>
          <w:szCs w:val="28"/>
        </w:rPr>
        <w:t>c</w:t>
      </w:r>
      <w:r w:rsidRPr="00611833">
        <w:rPr>
          <w:rFonts w:ascii="Times New Roman" w:hAnsi="Times New Roman" w:cs="Times New Roman"/>
          <w:color w:val="000000" w:themeColor="text1"/>
          <w:sz w:val="28"/>
          <w:szCs w:val="28"/>
        </w:rPr>
        <w:t xml:space="preserve">om </w:t>
      </w:r>
      <w:r w:rsidR="00646AC2">
        <w:rPr>
          <w:rFonts w:ascii="Times New Roman" w:hAnsi="Times New Roman" w:cs="Times New Roman"/>
          <w:color w:val="000000" w:themeColor="text1"/>
          <w:sz w:val="28"/>
          <w:szCs w:val="28"/>
        </w:rPr>
        <w:t>(</w:t>
      </w:r>
      <w:r w:rsidRPr="00611833">
        <w:rPr>
          <w:rFonts w:ascii="Times New Roman" w:hAnsi="Times New Roman" w:cs="Times New Roman"/>
          <w:color w:val="000000" w:themeColor="text1"/>
          <w:sz w:val="28"/>
          <w:szCs w:val="28"/>
        </w:rPr>
        <w:t>Fintech with AI</w:t>
      </w:r>
      <w:r w:rsidR="00646AC2">
        <w:rPr>
          <w:rFonts w:ascii="Times New Roman" w:hAnsi="Times New Roman" w:cs="Times New Roman"/>
          <w:color w:val="000000" w:themeColor="text1"/>
          <w:sz w:val="28"/>
          <w:szCs w:val="28"/>
        </w:rPr>
        <w:t>)</w:t>
      </w:r>
    </w:p>
    <w:p w14:paraId="4E6C2DFC" w14:textId="77777777" w:rsidR="00862892" w:rsidRPr="0061036F" w:rsidRDefault="00862892">
      <w:pPr>
        <w:spacing w:before="2000"/>
        <w:rPr>
          <w:rFonts w:ascii="Times New Roman" w:hAnsi="Times New Roman" w:cs="Times New Roman"/>
          <w:color w:val="000000" w:themeColor="text1"/>
          <w:sz w:val="24"/>
          <w:szCs w:val="24"/>
        </w:rPr>
      </w:pPr>
    </w:p>
    <w:p w14:paraId="60A3C4B8" w14:textId="77777777" w:rsidR="00862892" w:rsidRDefault="00862892">
      <w:pPr>
        <w:rPr>
          <w:rFonts w:ascii="Times New Roman" w:hAnsi="Times New Roman" w:cs="Times New Roman"/>
          <w:color w:val="000000" w:themeColor="text1"/>
          <w:sz w:val="24"/>
          <w:szCs w:val="24"/>
        </w:rPr>
      </w:pPr>
    </w:p>
    <w:p w14:paraId="001E1493" w14:textId="77777777" w:rsidR="00042C4A" w:rsidRDefault="00042C4A">
      <w:pPr>
        <w:rPr>
          <w:rFonts w:ascii="Times New Roman" w:hAnsi="Times New Roman" w:cs="Times New Roman"/>
          <w:color w:val="000000" w:themeColor="text1"/>
          <w:sz w:val="24"/>
          <w:szCs w:val="24"/>
        </w:rPr>
      </w:pPr>
    </w:p>
    <w:p w14:paraId="537415D2" w14:textId="77777777" w:rsidR="00042C4A" w:rsidRDefault="00042C4A">
      <w:pPr>
        <w:rPr>
          <w:rFonts w:ascii="Times New Roman" w:hAnsi="Times New Roman" w:cs="Times New Roman"/>
          <w:color w:val="000000" w:themeColor="text1"/>
          <w:sz w:val="24"/>
          <w:szCs w:val="24"/>
        </w:rPr>
      </w:pPr>
    </w:p>
    <w:p w14:paraId="7486D8F1" w14:textId="77777777" w:rsidR="00042C4A" w:rsidRDefault="00042C4A">
      <w:pPr>
        <w:rPr>
          <w:rFonts w:ascii="Times New Roman" w:hAnsi="Times New Roman" w:cs="Times New Roman"/>
          <w:color w:val="000000" w:themeColor="text1"/>
          <w:sz w:val="24"/>
          <w:szCs w:val="24"/>
        </w:rPr>
      </w:pPr>
    </w:p>
    <w:p w14:paraId="7576AF2C" w14:textId="77777777" w:rsidR="00042C4A" w:rsidRDefault="00042C4A">
      <w:pPr>
        <w:rPr>
          <w:rFonts w:ascii="Times New Roman" w:hAnsi="Times New Roman" w:cs="Times New Roman"/>
          <w:color w:val="000000" w:themeColor="text1"/>
          <w:sz w:val="24"/>
          <w:szCs w:val="24"/>
        </w:rPr>
      </w:pPr>
    </w:p>
    <w:p w14:paraId="40D1C877" w14:textId="77777777" w:rsidR="00042C4A" w:rsidRDefault="00042C4A">
      <w:pPr>
        <w:rPr>
          <w:rFonts w:ascii="Times New Roman" w:hAnsi="Times New Roman" w:cs="Times New Roman"/>
          <w:color w:val="000000" w:themeColor="text1"/>
          <w:sz w:val="24"/>
          <w:szCs w:val="24"/>
        </w:rPr>
      </w:pPr>
    </w:p>
    <w:p w14:paraId="005C416A" w14:textId="77777777" w:rsidR="00042C4A" w:rsidRDefault="00042C4A">
      <w:pPr>
        <w:rPr>
          <w:rFonts w:ascii="Times New Roman" w:hAnsi="Times New Roman" w:cs="Times New Roman"/>
          <w:color w:val="000000" w:themeColor="text1"/>
          <w:sz w:val="24"/>
          <w:szCs w:val="24"/>
        </w:rPr>
      </w:pPr>
    </w:p>
    <w:p w14:paraId="150DAB82" w14:textId="77777777" w:rsidR="00042C4A" w:rsidRDefault="00042C4A">
      <w:pPr>
        <w:rPr>
          <w:rFonts w:ascii="Times New Roman" w:hAnsi="Times New Roman" w:cs="Times New Roman"/>
          <w:color w:val="000000" w:themeColor="text1"/>
          <w:sz w:val="24"/>
          <w:szCs w:val="24"/>
        </w:rPr>
      </w:pPr>
    </w:p>
    <w:p w14:paraId="401DBE8A" w14:textId="77777777" w:rsidR="0035663B" w:rsidRDefault="0035663B" w:rsidP="00042C4A">
      <w:pPr>
        <w:pStyle w:val="Heading1"/>
        <w:pBdr>
          <w:bottom w:val="single" w:sz="6" w:space="4" w:color="1F3864"/>
        </w:pBdr>
        <w:spacing w:before="360" w:after="200"/>
        <w:jc w:val="center"/>
        <w:rPr>
          <w:rFonts w:ascii="Times New Roman" w:hAnsi="Times New Roman" w:cs="Times New Roman"/>
          <w:b/>
          <w:bCs/>
          <w:color w:val="000000" w:themeColor="text1"/>
          <w:sz w:val="28"/>
          <w:szCs w:val="28"/>
        </w:rPr>
      </w:pPr>
    </w:p>
    <w:p w14:paraId="12EEEF0E" w14:textId="25C2E025" w:rsidR="00042C4A" w:rsidRPr="00985026" w:rsidRDefault="00042C4A" w:rsidP="00042C4A">
      <w:pPr>
        <w:pStyle w:val="Heading1"/>
        <w:pBdr>
          <w:bottom w:val="single" w:sz="6" w:space="4" w:color="1F3864"/>
        </w:pBdr>
        <w:spacing w:before="360" w:after="200"/>
        <w:jc w:val="center"/>
        <w:rPr>
          <w:rFonts w:ascii="Times New Roman" w:hAnsi="Times New Roman" w:cs="Times New Roman"/>
          <w:b/>
          <w:bCs/>
          <w:color w:val="000000" w:themeColor="text1"/>
          <w:sz w:val="28"/>
          <w:szCs w:val="28"/>
        </w:rPr>
      </w:pPr>
      <w:r w:rsidRPr="00985026">
        <w:rPr>
          <w:rFonts w:ascii="Times New Roman" w:hAnsi="Times New Roman" w:cs="Times New Roman"/>
          <w:b/>
          <w:bCs/>
          <w:color w:val="000000" w:themeColor="text1"/>
          <w:sz w:val="28"/>
          <w:szCs w:val="28"/>
        </w:rPr>
        <w:t>Table of content</w:t>
      </w:r>
    </w:p>
    <w:tbl>
      <w:tblPr>
        <w:tblStyle w:val="TableGrid"/>
        <w:tblW w:w="0" w:type="auto"/>
        <w:tblLook w:val="04A0" w:firstRow="1" w:lastRow="0" w:firstColumn="1" w:lastColumn="0" w:noHBand="0" w:noVBand="1"/>
      </w:tblPr>
      <w:tblGrid>
        <w:gridCol w:w="1129"/>
        <w:gridCol w:w="8221"/>
      </w:tblGrid>
      <w:tr w:rsidR="00042C4A" w14:paraId="7FC234BA" w14:textId="77777777" w:rsidTr="008B607F">
        <w:trPr>
          <w:trHeight w:val="1077"/>
        </w:trPr>
        <w:tc>
          <w:tcPr>
            <w:tcW w:w="1129" w:type="dxa"/>
          </w:tcPr>
          <w:p w14:paraId="7355A9C0" w14:textId="77777777" w:rsidR="00042C4A" w:rsidRDefault="00042C4A" w:rsidP="008B607F">
            <w:pPr>
              <w:pStyle w:val="Heading1"/>
              <w:spacing w:before="360" w:after="200"/>
              <w:jc w:val="both"/>
              <w:rPr>
                <w:rFonts w:ascii="Times New Roman" w:hAnsi="Times New Roman" w:cs="Times New Roman"/>
                <w:b/>
                <w:bCs/>
                <w:color w:val="000000" w:themeColor="text1"/>
                <w:sz w:val="24"/>
                <w:szCs w:val="24"/>
              </w:rPr>
            </w:pPr>
          </w:p>
          <w:p w14:paraId="385E1766" w14:textId="77777777" w:rsidR="00042C4A" w:rsidRDefault="00042C4A" w:rsidP="008B607F">
            <w:pPr>
              <w:pStyle w:val="Heading1"/>
              <w:spacing w:before="360" w:after="20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S.NO</w:t>
            </w:r>
          </w:p>
        </w:tc>
        <w:tc>
          <w:tcPr>
            <w:tcW w:w="8221" w:type="dxa"/>
          </w:tcPr>
          <w:p w14:paraId="0CB46638" w14:textId="77777777" w:rsidR="00042C4A" w:rsidRDefault="00042C4A" w:rsidP="008B607F">
            <w:pPr>
              <w:pStyle w:val="Heading1"/>
              <w:spacing w:before="3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Topics</w:t>
            </w:r>
          </w:p>
        </w:tc>
      </w:tr>
      <w:tr w:rsidR="00042C4A" w14:paraId="16EF40ED" w14:textId="77777777" w:rsidTr="008B607F">
        <w:trPr>
          <w:trHeight w:val="569"/>
        </w:trPr>
        <w:tc>
          <w:tcPr>
            <w:tcW w:w="1129" w:type="dxa"/>
          </w:tcPr>
          <w:p w14:paraId="586DC139" w14:textId="77777777" w:rsidR="00042C4A" w:rsidRPr="00267176" w:rsidRDefault="00042C4A" w:rsidP="008B607F">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1</w:t>
            </w:r>
          </w:p>
        </w:tc>
        <w:tc>
          <w:tcPr>
            <w:tcW w:w="8221" w:type="dxa"/>
          </w:tcPr>
          <w:p w14:paraId="059A9914" w14:textId="77777777" w:rsidR="00042C4A" w:rsidRPr="00267176" w:rsidRDefault="00042C4A" w:rsidP="008B607F">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Introduction</w:t>
            </w:r>
          </w:p>
        </w:tc>
      </w:tr>
      <w:tr w:rsidR="00042C4A" w14:paraId="165F9003" w14:textId="77777777" w:rsidTr="008B607F">
        <w:tc>
          <w:tcPr>
            <w:tcW w:w="1129" w:type="dxa"/>
          </w:tcPr>
          <w:p w14:paraId="739A8176" w14:textId="77777777" w:rsidR="00042C4A" w:rsidRPr="00267176" w:rsidRDefault="00042C4A" w:rsidP="008B607F">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2</w:t>
            </w:r>
          </w:p>
        </w:tc>
        <w:tc>
          <w:tcPr>
            <w:tcW w:w="8221" w:type="dxa"/>
          </w:tcPr>
          <w:p w14:paraId="09658302" w14:textId="77777777" w:rsidR="00042C4A" w:rsidRPr="00267176" w:rsidRDefault="00042C4A" w:rsidP="008B607F">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Facts of the case</w:t>
            </w:r>
          </w:p>
        </w:tc>
      </w:tr>
      <w:tr w:rsidR="00042C4A" w14:paraId="4769BC3A" w14:textId="77777777" w:rsidTr="008B607F">
        <w:tc>
          <w:tcPr>
            <w:tcW w:w="1129" w:type="dxa"/>
          </w:tcPr>
          <w:p w14:paraId="6B2483FA" w14:textId="77777777" w:rsidR="00042C4A" w:rsidRPr="00267176" w:rsidRDefault="00042C4A" w:rsidP="008B607F">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3</w:t>
            </w:r>
          </w:p>
        </w:tc>
        <w:tc>
          <w:tcPr>
            <w:tcW w:w="8221" w:type="dxa"/>
          </w:tcPr>
          <w:p w14:paraId="72E7F332" w14:textId="77777777" w:rsidR="00042C4A" w:rsidRPr="00267176" w:rsidRDefault="00042C4A" w:rsidP="008B607F">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Legal Issue</w:t>
            </w:r>
          </w:p>
        </w:tc>
      </w:tr>
      <w:tr w:rsidR="00042C4A" w14:paraId="4DD1B797" w14:textId="77777777" w:rsidTr="008B607F">
        <w:tc>
          <w:tcPr>
            <w:tcW w:w="1129" w:type="dxa"/>
          </w:tcPr>
          <w:p w14:paraId="3E66C8AC" w14:textId="77777777" w:rsidR="00042C4A" w:rsidRPr="00267176" w:rsidRDefault="00042C4A" w:rsidP="008B607F">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4</w:t>
            </w:r>
          </w:p>
        </w:tc>
        <w:tc>
          <w:tcPr>
            <w:tcW w:w="8221" w:type="dxa"/>
          </w:tcPr>
          <w:p w14:paraId="082D52E4" w14:textId="77777777" w:rsidR="00042C4A" w:rsidRPr="00267176" w:rsidRDefault="00042C4A" w:rsidP="008B607F">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Judgement</w:t>
            </w:r>
          </w:p>
        </w:tc>
      </w:tr>
      <w:tr w:rsidR="00042C4A" w14:paraId="27DC5E7E" w14:textId="77777777" w:rsidTr="008B607F">
        <w:tc>
          <w:tcPr>
            <w:tcW w:w="1129" w:type="dxa"/>
          </w:tcPr>
          <w:p w14:paraId="017CEFA1" w14:textId="77777777" w:rsidR="00042C4A" w:rsidRPr="00267176" w:rsidRDefault="00042C4A" w:rsidP="008B607F">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5</w:t>
            </w:r>
          </w:p>
        </w:tc>
        <w:tc>
          <w:tcPr>
            <w:tcW w:w="8221" w:type="dxa"/>
          </w:tcPr>
          <w:p w14:paraId="3101A9D0" w14:textId="77777777" w:rsidR="00042C4A" w:rsidRPr="00267176" w:rsidRDefault="00042C4A" w:rsidP="008B607F">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Legal Principle: Contract Formation Analysis</w:t>
            </w:r>
          </w:p>
        </w:tc>
      </w:tr>
      <w:tr w:rsidR="00042C4A" w14:paraId="6A53758D" w14:textId="77777777" w:rsidTr="008B607F">
        <w:tc>
          <w:tcPr>
            <w:tcW w:w="1129" w:type="dxa"/>
          </w:tcPr>
          <w:p w14:paraId="4C21C327" w14:textId="77777777" w:rsidR="00042C4A" w:rsidRPr="00267176" w:rsidRDefault="00042C4A" w:rsidP="008B607F">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6</w:t>
            </w:r>
          </w:p>
        </w:tc>
        <w:tc>
          <w:tcPr>
            <w:tcW w:w="8221" w:type="dxa"/>
          </w:tcPr>
          <w:p w14:paraId="46489A47" w14:textId="77777777" w:rsidR="00042C4A" w:rsidRPr="00267176" w:rsidRDefault="00042C4A" w:rsidP="008B607F">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Business Relevance</w:t>
            </w:r>
          </w:p>
        </w:tc>
      </w:tr>
      <w:tr w:rsidR="00042C4A" w14:paraId="3817B9C9" w14:textId="77777777" w:rsidTr="008B607F">
        <w:tc>
          <w:tcPr>
            <w:tcW w:w="1129" w:type="dxa"/>
          </w:tcPr>
          <w:p w14:paraId="1ED1814F" w14:textId="77777777" w:rsidR="00042C4A" w:rsidRPr="00267176" w:rsidRDefault="00042C4A" w:rsidP="008B607F">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7</w:t>
            </w:r>
          </w:p>
        </w:tc>
        <w:tc>
          <w:tcPr>
            <w:tcW w:w="8221" w:type="dxa"/>
          </w:tcPr>
          <w:p w14:paraId="665A7A6E" w14:textId="77777777" w:rsidR="00042C4A" w:rsidRPr="00267176" w:rsidRDefault="00042C4A" w:rsidP="008B607F">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Conclusion</w:t>
            </w:r>
          </w:p>
        </w:tc>
      </w:tr>
    </w:tbl>
    <w:p w14:paraId="272D0107" w14:textId="77777777" w:rsidR="00042C4A" w:rsidRPr="0061036F" w:rsidRDefault="00042C4A">
      <w:pPr>
        <w:rPr>
          <w:rFonts w:ascii="Times New Roman" w:hAnsi="Times New Roman" w:cs="Times New Roman"/>
          <w:color w:val="000000" w:themeColor="text1"/>
          <w:sz w:val="24"/>
          <w:szCs w:val="24"/>
        </w:rPr>
        <w:sectPr w:rsidR="00042C4A" w:rsidRPr="0061036F">
          <w:pgSz w:w="12240" w:h="15840"/>
          <w:pgMar w:top="1440" w:right="1440" w:bottom="1440" w:left="1440" w:header="708" w:footer="708" w:gutter="0"/>
          <w:cols w:space="720"/>
          <w:docGrid w:linePitch="360"/>
        </w:sectPr>
      </w:pPr>
    </w:p>
    <w:p w14:paraId="74CC64D6" w14:textId="77777777" w:rsidR="00862892" w:rsidRPr="0061036F" w:rsidRDefault="00000000">
      <w:pPr>
        <w:pStyle w:val="Heading1"/>
        <w:pBdr>
          <w:bottom w:val="single" w:sz="6" w:space="4" w:color="1F3864"/>
        </w:pBdr>
        <w:spacing w:before="360" w:after="200"/>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lastRenderedPageBreak/>
        <w:t>1. Introduction</w:t>
      </w:r>
    </w:p>
    <w:p w14:paraId="60455529" w14:textId="77777777" w:rsidR="00862892" w:rsidRPr="0061036F" w:rsidRDefault="00000000">
      <w:pPr>
        <w:pStyle w:val="Heading2"/>
        <w:spacing w:before="280" w:after="140"/>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t>1.1 Case Citation &amp; Jurisdiction</w:t>
      </w:r>
    </w:p>
    <w:p w14:paraId="5EE0E3A1" w14:textId="77777777" w:rsidR="00862892" w:rsidRPr="0061036F" w:rsidRDefault="00000000">
      <w:pPr>
        <w:spacing w:after="180" w:line="300" w:lineRule="auto"/>
        <w:jc w:val="both"/>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Case Name: Balfour v. Balfour</w:t>
      </w:r>
    </w:p>
    <w:p w14:paraId="74897A3E" w14:textId="77777777" w:rsidR="00862892" w:rsidRPr="0061036F" w:rsidRDefault="00000000">
      <w:pPr>
        <w:spacing w:after="180" w:line="300" w:lineRule="auto"/>
        <w:jc w:val="both"/>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Citation: [1919] 2 KB 571.</w:t>
      </w:r>
    </w:p>
    <w:p w14:paraId="592385CC" w14:textId="77777777" w:rsidR="00862892" w:rsidRPr="0061036F" w:rsidRDefault="00000000">
      <w:pPr>
        <w:spacing w:after="180" w:line="300" w:lineRule="auto"/>
        <w:jc w:val="both"/>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Court: Court of Appeal, England and Wales (Bench: Warrington LJ, Duke LJ, and Atkin LJ).</w:t>
      </w:r>
    </w:p>
    <w:p w14:paraId="42D0C4E4" w14:textId="77777777" w:rsidR="00862892" w:rsidRPr="0061036F" w:rsidRDefault="00000000">
      <w:pPr>
        <w:spacing w:after="180" w:line="300" w:lineRule="auto"/>
        <w:jc w:val="both"/>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Year of Judgment: 1919.</w:t>
      </w:r>
    </w:p>
    <w:p w14:paraId="5E1E3A3D" w14:textId="77777777" w:rsidR="00862892" w:rsidRPr="0061036F" w:rsidRDefault="00000000">
      <w:pPr>
        <w:pStyle w:val="Heading2"/>
        <w:spacing w:before="280" w:after="140"/>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t>1.2 Brief Introduction to the Case</w:t>
      </w:r>
    </w:p>
    <w:p w14:paraId="48AD2714" w14:textId="77777777" w:rsidR="00862892" w:rsidRPr="0061036F" w:rsidRDefault="00000000">
      <w:pPr>
        <w:spacing w:after="180" w:line="300" w:lineRule="auto"/>
        <w:jc w:val="both"/>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Balfour v. Balfour is one of the most important and most frequently cited cases in English contract law. It deals with a question that sounds simple but is actually quite deep: if a husband makes a promise to his wife to pay her a fixed sum of money every month, can that promise be enforced in a court of law like an ordinary business contract? The case involved Mr. and Mrs. Balfour, a married couple. Before Mr. Balfour returned abroad for work, he promised to send his wife £30 every month for her maintenance while she stayed back in England for health reasons. When their marriage later broke down and the payments stopped, Mrs. Balfour tried to sue her husband to enforce the promise. The Court of Appeal had to decide whether this everyday domestic promise between spouses could be treated as a binding contract. The answer given by the court, through the judgment of Atkin LJ, created one of the foundational rules of contract law: that domestic and social agreements are presumed not to carry any intention to create legal relations, unless there is clear evidence to the contrary.</w:t>
      </w:r>
    </w:p>
    <w:p w14:paraId="35C0F9D7" w14:textId="77777777" w:rsidR="00862892" w:rsidRPr="0061036F" w:rsidRDefault="00000000">
      <w:pPr>
        <w:pStyle w:val="Heading1"/>
        <w:pBdr>
          <w:bottom w:val="single" w:sz="6" w:space="4" w:color="1F3864"/>
        </w:pBdr>
        <w:spacing w:before="360" w:after="200"/>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t>2. Facts of the Case</w:t>
      </w:r>
    </w:p>
    <w:p w14:paraId="473D8333" w14:textId="77777777" w:rsidR="00862892" w:rsidRPr="0061036F" w:rsidRDefault="00000000">
      <w:pPr>
        <w:pStyle w:val="Heading2"/>
        <w:spacing w:before="280" w:after="140"/>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t>2.1 Chronological Summary of Events</w:t>
      </w:r>
    </w:p>
    <w:p w14:paraId="1DDF0A0E" w14:textId="77777777" w:rsidR="00862892" w:rsidRPr="0061036F"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1900: Mr. Balfour and Mrs. Balfour got married. Mr. Balfour worked as a civil servant in Ceylon (present-day Sri Lanka), and the couple lived there together for many years.</w:t>
      </w:r>
    </w:p>
    <w:p w14:paraId="10917C5A" w14:textId="77777777" w:rsidR="00862892" w:rsidRPr="0061036F"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1915: The couple travelled together from Ceylon to England, originally intending this to be a vacation while Mr. Balfour was on leave from his job.</w:t>
      </w:r>
    </w:p>
    <w:p w14:paraId="385C4430" w14:textId="77777777" w:rsidR="00862892" w:rsidRPr="0061036F"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While in England, Mrs. Balfour fell ill and was diagnosed with rheumatic arthritis. Her doctors advised that she should not return to the tropical climate of Ceylon and should instead remain in England for treatment and recovery.</w:t>
      </w:r>
    </w:p>
    <w:p w14:paraId="46B0C7D1" w14:textId="77777777" w:rsidR="00862892" w:rsidRPr="0061036F"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1916: When Mr. Balfour's leave came to an end, he had to travel back to Ceylon alone to resume his job, while Mrs. Balfour stayed behind in England for her health.</w:t>
      </w:r>
    </w:p>
    <w:p w14:paraId="06EE89BA" w14:textId="77777777" w:rsidR="00862892" w:rsidRPr="0061036F"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lastRenderedPageBreak/>
        <w:t>Before leaving, Mr. Balfour verbally promised his wife that he would pay her £30 a month as maintenance to cover her living expenses until he was able to return to England or send for her.</w:t>
      </w:r>
    </w:p>
    <w:p w14:paraId="08264E29" w14:textId="77777777" w:rsidR="00862892" w:rsidRPr="0061036F"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Over the following months, the relationship between the couple grew strained, and significant differences arose between them.</w:t>
      </w:r>
    </w:p>
    <w:p w14:paraId="4091271A" w14:textId="77777777" w:rsidR="00862892" w:rsidRPr="0061036F"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Mr. Balfour eventually wrote to his wife suggesting that they remain permanently separated. He also stopped sending the promised £30 monthly payments.</w:t>
      </w:r>
    </w:p>
    <w:p w14:paraId="1B95F0BB" w14:textId="77777777" w:rsidR="00862892" w:rsidRPr="0061036F"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1918: The couple's marriage broke down completely, and divorce proceedings followed.</w:t>
      </w:r>
    </w:p>
    <w:p w14:paraId="6240F911" w14:textId="77777777" w:rsidR="00862892" w:rsidRPr="0061036F"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Mrs. Balfour sued her husband to legally enforce the earlier promise and recover the unpaid monthly maintenance. The trial court initially ruled in her favour, holding that a binding contract existed between them.</w:t>
      </w:r>
    </w:p>
    <w:p w14:paraId="719FF7C9" w14:textId="77777777" w:rsidR="00862892" w:rsidRPr="0061036F"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Mr. Balfour appealed this decision to the Court of Appeal, which delivered its judgment in 1919.</w:t>
      </w:r>
    </w:p>
    <w:p w14:paraId="20F1C877" w14:textId="77777777" w:rsidR="00862892" w:rsidRPr="0061036F" w:rsidRDefault="00000000">
      <w:pPr>
        <w:pStyle w:val="Heading2"/>
        <w:spacing w:before="280" w:after="140"/>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t>2.2 Material Domestic Context</w:t>
      </w:r>
    </w:p>
    <w:p w14:paraId="76A44D2D" w14:textId="77777777" w:rsidR="00862892" w:rsidRPr="0061036F" w:rsidRDefault="00000000">
      <w:pPr>
        <w:spacing w:after="180" w:line="300" w:lineRule="auto"/>
        <w:jc w:val="both"/>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Unlike typical contract law cases that arise out of business dealings, this case arose entirely out of a personal, domestic relationship between a husband and wife. The 'transaction' in question was not a sale, service, or commercial bargain; it was a private arrangement about household maintenance, made informally between spouses living together as a married couple. This domestic setting is central to the case, because English courts have traditionally treated agreements made within a family or marriage very differently from agreements made in the marketplace. The underlying relationship here was one of mutual trust, affection, and shared domestic life, not an arm's-length commercial negotiation between two independent parties bargaining for their own separate interests. This distinction between the domestic sphere and the commercial sphere became the very heart of the court's reasoning.</w:t>
      </w:r>
    </w:p>
    <w:p w14:paraId="1831B049" w14:textId="77777777" w:rsidR="00862892" w:rsidRPr="0061036F" w:rsidRDefault="00000000">
      <w:pPr>
        <w:pStyle w:val="Heading1"/>
        <w:pBdr>
          <w:bottom w:val="single" w:sz="6" w:space="4" w:color="1F3864"/>
        </w:pBdr>
        <w:spacing w:before="360" w:after="200"/>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t>3. Legal Issue</w:t>
      </w:r>
    </w:p>
    <w:p w14:paraId="45449A97" w14:textId="77777777" w:rsidR="00862892" w:rsidRPr="0061036F" w:rsidRDefault="00000000">
      <w:pPr>
        <w:pStyle w:val="Heading2"/>
        <w:spacing w:before="280" w:after="140"/>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t>3.1 Primary Question of Law</w:t>
      </w:r>
    </w:p>
    <w:p w14:paraId="73EB63ED" w14:textId="77777777" w:rsidR="00862892" w:rsidRPr="0061036F" w:rsidRDefault="00000000">
      <w:pPr>
        <w:spacing w:after="180" w:line="300" w:lineRule="auto"/>
        <w:jc w:val="both"/>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The central legal question before the Court of Appeal was: Whether a promise made by a husband to his wife, to pay her a fixed monthly sum for her maintenance while they lived apart, amounted to a legally binding contract, or whether it was merely a domestic arrangement lacking the necessary intention to create legal relations.</w:t>
      </w:r>
    </w:p>
    <w:p w14:paraId="28656978" w14:textId="77777777" w:rsidR="00862892" w:rsidRPr="0061036F" w:rsidRDefault="00000000">
      <w:pPr>
        <w:spacing w:after="180" w:line="300" w:lineRule="auto"/>
        <w:jc w:val="both"/>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This broad question can be broken down into smaller issues that the court actually examined:</w:t>
      </w:r>
    </w:p>
    <w:p w14:paraId="558BE97F" w14:textId="77777777" w:rsidR="00862892" w:rsidRPr="0061036F"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lastRenderedPageBreak/>
        <w:t>Did Mr. Balfour's promise contain the basic elements of a contract, namely offer, acceptance, and consideration?</w:t>
      </w:r>
    </w:p>
    <w:p w14:paraId="7389A339" w14:textId="77777777" w:rsidR="00862892" w:rsidRPr="0061036F"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Even if those elements were technically present, did both parties intend for the promise to have legal consequences, that is, did they intend to be bound by law if the promise was broken?</w:t>
      </w:r>
    </w:p>
    <w:p w14:paraId="0247A5BE" w14:textId="77777777" w:rsidR="00862892" w:rsidRPr="0061036F"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 xml:space="preserve">Should agreements </w:t>
      </w:r>
      <w:proofErr w:type="gramStart"/>
      <w:r w:rsidRPr="0061036F">
        <w:rPr>
          <w:rFonts w:ascii="Times New Roman" w:hAnsi="Times New Roman" w:cs="Times New Roman"/>
          <w:color w:val="000000" w:themeColor="text1"/>
          <w:sz w:val="24"/>
          <w:szCs w:val="24"/>
        </w:rPr>
        <w:t>made</w:t>
      </w:r>
      <w:proofErr w:type="gramEnd"/>
      <w:r w:rsidRPr="0061036F">
        <w:rPr>
          <w:rFonts w:ascii="Times New Roman" w:hAnsi="Times New Roman" w:cs="Times New Roman"/>
          <w:color w:val="000000" w:themeColor="text1"/>
          <w:sz w:val="24"/>
          <w:szCs w:val="24"/>
        </w:rPr>
        <w:t xml:space="preserve"> between spouses living together in a domestic setting be treated differently from ordinary commercial agreements when deciding whether a contract exists?</w:t>
      </w:r>
    </w:p>
    <w:p w14:paraId="11AE0A05" w14:textId="77777777" w:rsidR="00862892" w:rsidRPr="0061036F" w:rsidRDefault="00000000">
      <w:pPr>
        <w:pStyle w:val="Heading2"/>
        <w:spacing w:before="280" w:after="140"/>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t>3.2 Points of Contention</w:t>
      </w:r>
    </w:p>
    <w:p w14:paraId="5CC32ACC" w14:textId="77777777" w:rsidR="00862892" w:rsidRPr="0061036F" w:rsidRDefault="00000000">
      <w:pPr>
        <w:spacing w:after="180" w:line="300" w:lineRule="auto"/>
        <w:jc w:val="both"/>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t>Arguments on behalf of Mrs. Balfour (Plaintiff/Respondent):</w:t>
      </w:r>
    </w:p>
    <w:p w14:paraId="464DC1CE" w14:textId="77777777" w:rsidR="00862892" w:rsidRPr="0061036F"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Mr. Balfour had made a clear and specific promise to pay a fixed sum of £30 every month, and she had relied on this promise in agreeing to remain behind in England for her treatment.</w:t>
      </w:r>
    </w:p>
    <w:p w14:paraId="3010D2AE" w14:textId="77777777" w:rsidR="00862892" w:rsidRPr="0061036F"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The trial court had already found in her favour, treating the arrangement as an enforceable contract with proper consideration.</w:t>
      </w:r>
    </w:p>
    <w:p w14:paraId="106F24B2" w14:textId="77777777" w:rsidR="00862892" w:rsidRPr="0061036F"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She had given up the comfort and companionship of living with her husband and had arranged her life in England around the promised monthly support.</w:t>
      </w:r>
    </w:p>
    <w:p w14:paraId="12DF7F15" w14:textId="77777777" w:rsidR="00862892" w:rsidRPr="0061036F" w:rsidRDefault="00000000">
      <w:pPr>
        <w:spacing w:after="180" w:line="300" w:lineRule="auto"/>
        <w:jc w:val="both"/>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t>Arguments on behalf of Mr. Balfour (Defendant/Appellant):</w:t>
      </w:r>
    </w:p>
    <w:p w14:paraId="231B07DF" w14:textId="77777777" w:rsidR="00862892" w:rsidRPr="0061036F"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The promise was made purely in the context of a marriage, as an ordinary domestic arrangement between husband and wife, not as a formal business agreement.</w:t>
      </w:r>
    </w:p>
    <w:p w14:paraId="5F09B52D" w14:textId="77777777" w:rsidR="00862892" w:rsidRPr="0061036F"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Such promises are made out of natural love, affection, and a sense of moral duty, not with any intention that they be enforced in a court of law.</w:t>
      </w:r>
    </w:p>
    <w:p w14:paraId="12785DE9" w14:textId="77777777" w:rsidR="00862892" w:rsidRPr="0061036F"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If every domestic promise made between spouses about household money or maintenance were treated as a legally binding contract, courts would be flooded with disputes over ordinary family arrangements, which was never the intention of contract law.</w:t>
      </w:r>
    </w:p>
    <w:p w14:paraId="2EB76FF7" w14:textId="77777777" w:rsidR="00862892"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There was no real intention, on either side, to create a legally enforceable obligation at the time the promise was made, since the couple was still happily married and living together as husband and wife when it was made.</w:t>
      </w:r>
    </w:p>
    <w:p w14:paraId="30FC3CBB" w14:textId="77777777" w:rsidR="0035663B" w:rsidRDefault="0035663B" w:rsidP="0035663B">
      <w:pPr>
        <w:spacing w:after="100" w:line="300" w:lineRule="auto"/>
        <w:rPr>
          <w:rFonts w:ascii="Times New Roman" w:hAnsi="Times New Roman" w:cs="Times New Roman"/>
          <w:color w:val="000000" w:themeColor="text1"/>
          <w:sz w:val="24"/>
          <w:szCs w:val="24"/>
        </w:rPr>
      </w:pPr>
    </w:p>
    <w:p w14:paraId="039DB22C" w14:textId="77777777" w:rsidR="0035663B" w:rsidRPr="0035663B" w:rsidRDefault="0035663B" w:rsidP="0035663B">
      <w:pPr>
        <w:spacing w:after="100" w:line="300" w:lineRule="auto"/>
        <w:rPr>
          <w:rFonts w:ascii="Times New Roman" w:hAnsi="Times New Roman" w:cs="Times New Roman"/>
          <w:color w:val="000000" w:themeColor="text1"/>
          <w:sz w:val="24"/>
          <w:szCs w:val="24"/>
        </w:rPr>
      </w:pPr>
    </w:p>
    <w:p w14:paraId="4E4F12AC" w14:textId="77777777" w:rsidR="00862892" w:rsidRPr="0061036F" w:rsidRDefault="00000000">
      <w:pPr>
        <w:pStyle w:val="Heading1"/>
        <w:pBdr>
          <w:bottom w:val="single" w:sz="6" w:space="4" w:color="1F3864"/>
        </w:pBdr>
        <w:spacing w:before="360" w:after="200"/>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lastRenderedPageBreak/>
        <w:t>4. Judgment</w:t>
      </w:r>
    </w:p>
    <w:p w14:paraId="4A8C3650" w14:textId="77777777" w:rsidR="00862892" w:rsidRPr="0061036F" w:rsidRDefault="00000000">
      <w:pPr>
        <w:pStyle w:val="Heading2"/>
        <w:spacing w:before="280" w:after="140"/>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t>4.1 Court's Decision</w:t>
      </w:r>
    </w:p>
    <w:p w14:paraId="000C6F23" w14:textId="77777777" w:rsidR="00862892" w:rsidRPr="0061036F" w:rsidRDefault="00000000">
      <w:pPr>
        <w:spacing w:after="180" w:line="300" w:lineRule="auto"/>
        <w:jc w:val="both"/>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The Court of Appeal, in a unanimous judgment, held that there was no binding contract between Mr. and Mrs. Balfour. Mr. Balfour's appeal was allowed, and the earlier decision of the trial court in favour of Mrs. Balfour was overturned. The court ruled that the promise to pay £30 a month was not legally enforceable.</w:t>
      </w:r>
    </w:p>
    <w:p w14:paraId="78103D8B" w14:textId="77777777" w:rsidR="00862892" w:rsidRPr="0061036F" w:rsidRDefault="00000000">
      <w:pPr>
        <w:pStyle w:val="Heading2"/>
        <w:spacing w:before="280" w:after="140"/>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t>4.2 Ratio Decidendi (Judicial Reasoning)</w:t>
      </w:r>
    </w:p>
    <w:p w14:paraId="221607AB" w14:textId="77777777" w:rsidR="00862892" w:rsidRPr="0061036F" w:rsidRDefault="00000000">
      <w:pPr>
        <w:spacing w:after="180" w:line="300" w:lineRule="auto"/>
        <w:jc w:val="both"/>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The leading judgment was delivered by Atkin LJ, and his reasoning has become one of the most quoted passages in the whole of English contract law.</w:t>
      </w:r>
    </w:p>
    <w:p w14:paraId="4230EA49" w14:textId="77777777" w:rsidR="00862892" w:rsidRPr="0061036F" w:rsidRDefault="00000000">
      <w:pPr>
        <w:spacing w:after="180" w:line="300" w:lineRule="auto"/>
        <w:jc w:val="both"/>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On domestic and social agreements: Atkin LJ explained that agreements made in a domestic or social setting, such as between husband and wife, parent and child, or close friends, are presumed not to carry any intention to create legal relations. People living together as a family constantly make arrangements and promises about money, chores, and daily life, but they do not usually intend for these everyday understandings to be enforceable in a court of law.</w:t>
      </w:r>
    </w:p>
    <w:p w14:paraId="6998D114" w14:textId="77777777" w:rsidR="00862892" w:rsidRPr="0061036F" w:rsidRDefault="00000000">
      <w:pPr>
        <w:spacing w:after="180" w:line="300" w:lineRule="auto"/>
        <w:jc w:val="both"/>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On the nature of the promise: The court found that Mr. Balfour's promise to pay £30 a month arose out of natural love and affection between spouses, and out of a moral or personal sense of duty to support his wife, not out of any intention to enter into a formal legal obligation. The judges reasoned that at the time the promise was made, the couple was still on good terms, living as a normal married couple, and there was nothing to suggest either party thought they were creating a legally binding contract.</w:t>
      </w:r>
    </w:p>
    <w:p w14:paraId="2699CEF3" w14:textId="77777777" w:rsidR="00862892" w:rsidRPr="0061036F" w:rsidRDefault="00000000">
      <w:pPr>
        <w:spacing w:after="180" w:line="300" w:lineRule="auto"/>
        <w:jc w:val="both"/>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On the necessary elements of a contract: Atkin LJ noted that for a valid contract to exist, there must be an offer, an acceptance, and consideration, but there must also be an intention on both sides to create legal relations. This last requirement, intention to create legal relations, was found to be missing in this case, even though the other elements might technically have appeared to be present.</w:t>
      </w:r>
    </w:p>
    <w:p w14:paraId="75A4FC38" w14:textId="77777777" w:rsidR="00862892" w:rsidRPr="0061036F" w:rsidRDefault="00000000">
      <w:pPr>
        <w:pBdr>
          <w:left w:val="single" w:sz="16" w:space="8" w:color="8C6D1F"/>
        </w:pBdr>
        <w:spacing w:before="120" w:after="200" w:line="280" w:lineRule="auto"/>
        <w:ind w:left="500" w:right="500"/>
        <w:rPr>
          <w:rFonts w:ascii="Times New Roman" w:hAnsi="Times New Roman" w:cs="Times New Roman"/>
          <w:color w:val="000000" w:themeColor="text1"/>
          <w:sz w:val="24"/>
          <w:szCs w:val="24"/>
        </w:rPr>
      </w:pPr>
      <w:r w:rsidRPr="0061036F">
        <w:rPr>
          <w:rFonts w:ascii="Times New Roman" w:hAnsi="Times New Roman" w:cs="Times New Roman"/>
          <w:i/>
          <w:iCs/>
          <w:color w:val="000000" w:themeColor="text1"/>
          <w:sz w:val="24"/>
          <w:szCs w:val="24"/>
        </w:rPr>
        <w:t>"Agreements such as these are outside the realm of contracts altogether... they are not contracts because the parties did not intend that they should be attended by legal consequences."</w:t>
      </w:r>
    </w:p>
    <w:p w14:paraId="556CD62C" w14:textId="77777777" w:rsidR="00862892" w:rsidRPr="0061036F" w:rsidRDefault="00000000">
      <w:pPr>
        <w:spacing w:after="180" w:line="300" w:lineRule="auto"/>
        <w:jc w:val="both"/>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Taken together, the court concluded that even though Mr. Balfour had made a genuine promise, and even though Mrs. Balfour may have relied on it, the promise could not be enforced as a contract, because it lacked the essential ingredient of an intention, shared by both spouses, to create a legally binding and enforceable obligation.</w:t>
      </w:r>
    </w:p>
    <w:p w14:paraId="4B612A21" w14:textId="77777777" w:rsidR="00862892" w:rsidRPr="0061036F" w:rsidRDefault="00000000">
      <w:pPr>
        <w:pStyle w:val="Heading1"/>
        <w:pBdr>
          <w:bottom w:val="single" w:sz="6" w:space="4" w:color="1F3864"/>
        </w:pBdr>
        <w:spacing w:before="360" w:after="200"/>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lastRenderedPageBreak/>
        <w:t>5. Legal Principle: Intention to Create Legal Relations</w:t>
      </w:r>
    </w:p>
    <w:p w14:paraId="699A0D27" w14:textId="77777777" w:rsidR="00862892" w:rsidRPr="0061036F" w:rsidRDefault="00000000">
      <w:pPr>
        <w:spacing w:after="180" w:line="300" w:lineRule="auto"/>
        <w:jc w:val="both"/>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This section breaks down the key legal principle established in Balfour v. Balfour by applying it to the specific requirement of intention to create legal relations, which is one of the four essential elements of a valid contract, alongside offer, acceptance, and consideration.</w:t>
      </w:r>
    </w:p>
    <w:p w14:paraId="55F770DA" w14:textId="77777777" w:rsidR="00862892" w:rsidRPr="0061036F" w:rsidRDefault="00000000">
      <w:pPr>
        <w:pStyle w:val="Heading2"/>
        <w:spacing w:before="280" w:after="140"/>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t>5.1 Presumption in Domestic Agreements</w:t>
      </w:r>
    </w:p>
    <w:p w14:paraId="10B13350" w14:textId="77777777" w:rsidR="00862892" w:rsidRPr="0061036F" w:rsidRDefault="00000000">
      <w:pPr>
        <w:spacing w:after="180" w:line="300" w:lineRule="auto"/>
        <w:jc w:val="both"/>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The most important contribution of this case to contract law is the creation of a rebuttable presumption: in agreements made between family members, spouses, or close friends in a purely domestic or social setting, the law presumes that the parties did NOT intend to create a legally binding contract. This is a presumption, not an absolute rule, which means it can be challenged and overturned if there is clear evidence showing that the parties genuinely did intend their arrangement to have legal force. In Balfour's case, there was no such evidence; the promise looked, on its face, like an ordinary act of spousal support, made while the marriage was intact and affectionate, which is exactly the kind of situation the presumption is meant to cover.</w:t>
      </w:r>
    </w:p>
    <w:p w14:paraId="790A4EEA" w14:textId="77777777" w:rsidR="00862892" w:rsidRPr="0061036F" w:rsidRDefault="00000000">
      <w:pPr>
        <w:pStyle w:val="Heading2"/>
        <w:spacing w:before="280" w:after="140"/>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t>5.2 Distinction from Commercial Agreements</w:t>
      </w:r>
    </w:p>
    <w:p w14:paraId="1B825275" w14:textId="77777777" w:rsidR="00862892" w:rsidRPr="0061036F" w:rsidRDefault="00000000">
      <w:pPr>
        <w:spacing w:after="180" w:line="300" w:lineRule="auto"/>
        <w:jc w:val="both"/>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The court's reasoning draws a sharp line between domestic and social agreements on one hand, and commercial or business agreements on the other. In commercial dealings, where parties are bargaining at arm's length for their own separate interests, such as a supplier agreeing to deliver goods to a buyer, the law presumes exactly the opposite: that the parties DO intend to be legally bound, since business is conducted on the basis that promises will be kept and can be enforced if broken. This is well illustrated by the later case of Edwards v. Skyways [1964], where a promise made by an employer to an employee in a work-related context was treated as legally binding, because it arose from a commercial relationship rather than a domestic one. Balfour v. Balfour therefore stands as the domestic counterpart to this commercial presumption, showing that the same four ingredients of a contract can lead to opposite outcomes depending on the setting in which the promise is made.</w:t>
      </w:r>
    </w:p>
    <w:p w14:paraId="71A21842" w14:textId="77777777" w:rsidR="00862892" w:rsidRPr="0061036F" w:rsidRDefault="00000000">
      <w:pPr>
        <w:pStyle w:val="Heading2"/>
        <w:spacing w:before="280" w:after="140"/>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t>5.3 Ancillary Pillars &amp; Later Case Law</w:t>
      </w:r>
    </w:p>
    <w:p w14:paraId="7289A04C" w14:textId="77777777" w:rsidR="00862892" w:rsidRPr="0061036F" w:rsidRDefault="00000000">
      <w:pPr>
        <w:spacing w:after="180" w:line="300" w:lineRule="auto"/>
        <w:jc w:val="both"/>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Later cases have refined and tested the boundaries of the Balfour presumption, showing that it is not rigid and can be rebutted depending on the surrounding circumstances.</w:t>
      </w:r>
    </w:p>
    <w:p w14:paraId="24D77B6C" w14:textId="77777777" w:rsidR="00862892" w:rsidRPr="0061036F"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 xml:space="preserve">Merritt v. Merritt [1970]: Here, a husband and wife had already separated when the husband promised, in writing, to transfer the house to his wife if she paid off the remaining mortgage. The Court of Appeal held this agreement WAS enforceable, distinguishing it from Balfour, because the couple's relationship had already broken down </w:t>
      </w:r>
      <w:r w:rsidRPr="0061036F">
        <w:rPr>
          <w:rFonts w:ascii="Times New Roman" w:hAnsi="Times New Roman" w:cs="Times New Roman"/>
          <w:color w:val="000000" w:themeColor="text1"/>
          <w:sz w:val="24"/>
          <w:szCs w:val="24"/>
        </w:rPr>
        <w:lastRenderedPageBreak/>
        <w:t>by the time the promise was made, and the arrangement was reduced to writing, both of which pointed to a genuine intention to create legal relations.</w:t>
      </w:r>
    </w:p>
    <w:p w14:paraId="79A6A2CA" w14:textId="77777777" w:rsidR="00862892" w:rsidRPr="0061036F"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Criticism of the rule: Modern legal commentators have criticised the Balfour presumption as being somewhat rigid and old-fashioned, arguing that courts today look more flexibly at the actual context, wording, and surrounding circumstances of a promise, rather than applying a fixed presumption purely based on whether the parties happen to be married or related.</w:t>
      </w:r>
    </w:p>
    <w:p w14:paraId="08C0274E" w14:textId="77777777" w:rsidR="00862892" w:rsidRPr="0061036F" w:rsidRDefault="00000000">
      <w:pPr>
        <w:spacing w:after="180" w:line="300" w:lineRule="auto"/>
        <w:jc w:val="both"/>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Despite this criticism, Balfour v. Balfour remains good law and continues to be the starting point for any discussion of intention to create legal relations in a domestic setting.</w:t>
      </w:r>
    </w:p>
    <w:p w14:paraId="4EB0A1FE" w14:textId="77777777" w:rsidR="00862892" w:rsidRPr="0061036F" w:rsidRDefault="00000000">
      <w:pPr>
        <w:pStyle w:val="Heading1"/>
        <w:pBdr>
          <w:bottom w:val="single" w:sz="6" w:space="4" w:color="1F3864"/>
        </w:pBdr>
        <w:spacing w:before="360" w:after="200"/>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t>6. Business Relevance</w:t>
      </w:r>
    </w:p>
    <w:p w14:paraId="69437220" w14:textId="77777777" w:rsidR="00862892" w:rsidRPr="0061036F" w:rsidRDefault="00000000">
      <w:pPr>
        <w:pStyle w:val="Heading2"/>
        <w:spacing w:before="280" w:after="140"/>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t>6.1 Application in Modern Business</w:t>
      </w:r>
    </w:p>
    <w:p w14:paraId="5B7E2232" w14:textId="77777777" w:rsidR="00862892" w:rsidRPr="0061036F" w:rsidRDefault="00000000">
      <w:pPr>
        <w:spacing w:after="180" w:line="300" w:lineRule="auto"/>
        <w:jc w:val="both"/>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Although Balfour v. Balfour is a family law dispute at heart, its underlying principle, that legal enforceability depends on a genuine shared intention to be bound, has wide relevance for modern businesses and financial services. Many informal understandings inside companies, such as verbal assurances between colleagues, informal promises of bonuses made in a friendly or social context, or family-run business dealings conducted on trust rather than paperwork, can run into exactly the same problem that arose in Balfour: a party may later find that a promise they relied upon is not legally enforceable because it was never intended to create formal legal obligations.</w:t>
      </w:r>
    </w:p>
    <w:p w14:paraId="10F2B993" w14:textId="77777777" w:rsidR="00862892" w:rsidRPr="0061036F" w:rsidRDefault="00000000">
      <w:pPr>
        <w:spacing w:after="180" w:line="300" w:lineRule="auto"/>
        <w:jc w:val="both"/>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This is particularly relevant in family-owned businesses and fintech start-ups founded by friends or relatives, where financial arrangements are sometimes made casually, in a spirit of trust rather than formal contracting. Balfour's principle reminds such businesses that courts will look closely at whether an arrangement was truly meant to be legally binding, and that closeness between the parties can work against enforceability unless the arrangement is clearly documented.</w:t>
      </w:r>
    </w:p>
    <w:p w14:paraId="4AC5F4F9" w14:textId="77777777" w:rsidR="00862892" w:rsidRPr="0061036F" w:rsidRDefault="00000000">
      <w:pPr>
        <w:pStyle w:val="Heading2"/>
        <w:spacing w:before="280" w:after="140"/>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t>6.2 Risk Management &amp; Operational Compliance</w:t>
      </w:r>
    </w:p>
    <w:p w14:paraId="2753D39E" w14:textId="77777777" w:rsidR="00862892" w:rsidRPr="0061036F" w:rsidRDefault="00000000">
      <w:pPr>
        <w:spacing w:after="180" w:line="300" w:lineRule="auto"/>
        <w:jc w:val="both"/>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For businesses and professionals today, several practical lessons can be drawn from this case:</w:t>
      </w:r>
    </w:p>
    <w:p w14:paraId="55EA2219" w14:textId="77777777" w:rsidR="00862892" w:rsidRPr="0061036F"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Put important financial promises in writing: Reducing an agreement to a signed, written document, as was done in Merritt v. Merritt, is strong evidence of an intention to create legal relations, and helps avoid disputes later.</w:t>
      </w:r>
    </w:p>
    <w:p w14:paraId="122B00C9" w14:textId="77777777" w:rsidR="00862892" w:rsidRPr="0061036F"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Be cautious with informal or family-based arrangements: Promises made casually between family members, friends, or trusted colleagues may not be enforceable later, even if a genuine financial commitment was intended.</w:t>
      </w:r>
    </w:p>
    <w:p w14:paraId="16C9E17C" w14:textId="77777777" w:rsidR="00862892" w:rsidRPr="0061036F"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lastRenderedPageBreak/>
        <w:t>Use clear contractual language: Businesses should avoid vague, socially-worded promises and instead use precise contractual language, such as 'the parties intend to be legally bound', when a genuine legal commitment is meant.</w:t>
      </w:r>
    </w:p>
    <w:p w14:paraId="59DC09F1" w14:textId="77777777" w:rsidR="00862892" w:rsidRPr="0061036F"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Document context and circumstances: Since courts look at the full surrounding context (as seen in the shift from Balfour to Merritt), businesses should keep records of the circumstances in which a promise was made, especially where the relationship between the parties might later be seen as personal rather than commercial.</w:t>
      </w:r>
    </w:p>
    <w:p w14:paraId="69764FB8" w14:textId="77777777" w:rsidR="00862892" w:rsidRPr="0061036F"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Separate personal and professional dealings: Especially in family businesses, keeping personal financial support separate from formal business contracts helps avoid the kind of uncertainty that arose in this case.</w:t>
      </w:r>
    </w:p>
    <w:p w14:paraId="7ADD38A1" w14:textId="77777777" w:rsidR="00862892" w:rsidRPr="0061036F" w:rsidRDefault="00000000">
      <w:pPr>
        <w:pStyle w:val="Heading1"/>
        <w:pBdr>
          <w:bottom w:val="single" w:sz="6" w:space="4" w:color="1F3864"/>
        </w:pBdr>
        <w:spacing w:before="360" w:after="200"/>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t>7. Conclusion</w:t>
      </w:r>
    </w:p>
    <w:p w14:paraId="13D2832F" w14:textId="77777777" w:rsidR="00862892" w:rsidRPr="0061036F" w:rsidRDefault="00000000">
      <w:pPr>
        <w:pStyle w:val="Heading2"/>
        <w:spacing w:before="280" w:after="140"/>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t>7.1 Personal Learning and Observations</w:t>
      </w:r>
    </w:p>
    <w:p w14:paraId="0DFF5DF2" w14:textId="77777777" w:rsidR="00862892" w:rsidRPr="0061036F" w:rsidRDefault="00000000">
      <w:pPr>
        <w:spacing w:after="180" w:line="300" w:lineRule="auto"/>
        <w:jc w:val="both"/>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Studying Balfour v. Balfour has helped me understand that a contract is not just about the presence of an offer, acceptance, and consideration; there is also a fourth, often overlooked, requirement, the intention to create legal relations, without which no agreement can become a binding contract. This case shows that the law treats the same kind of promise very differently depending on the relationship between the people making it. A promise to pay money made in a business context is presumed to be legally binding, but the very same kind of promise made between a husband and wife, in the ordinary course of married life, is presumed not to be, unless there is strong evidence to the contrary.</w:t>
      </w:r>
    </w:p>
    <w:p w14:paraId="18C3C56A" w14:textId="77777777" w:rsidR="00862892" w:rsidRPr="0061036F" w:rsidRDefault="00000000">
      <w:pPr>
        <w:spacing w:after="180" w:line="300" w:lineRule="auto"/>
        <w:jc w:val="both"/>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I also found it interesting that this presumption is not fixed forever; later cases like Merritt v. Merritt show that once a marriage has broken down, or once an agreement is put into writing, courts are willing to treat even a husband-wife promise as enforceable. This teaches me that context and evidence matter more than labels; it is not simply about who the parties are, but about what the surrounding circumstances reveal about their true intentions. As someone studying commerce and financial technology, I think this case is a useful reminder that trust-based, informal arrangements, whether in families or in casual business dealings, carry real legal risk, and that clear documentation is often the only way to ensure that a promise, however genuinely made, can actually be enforced if things go wrong.</w:t>
      </w:r>
    </w:p>
    <w:p w14:paraId="29792556" w14:textId="77777777" w:rsidR="00862892" w:rsidRPr="0061036F" w:rsidRDefault="00000000">
      <w:pPr>
        <w:pStyle w:val="Heading1"/>
        <w:pBdr>
          <w:bottom w:val="single" w:sz="6" w:space="4" w:color="1F3864"/>
        </w:pBdr>
        <w:spacing w:before="360" w:after="200"/>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t>Annexure: IRAC Summary</w:t>
      </w:r>
    </w:p>
    <w:p w14:paraId="279A2611" w14:textId="77777777" w:rsidR="00862892" w:rsidRPr="0061036F" w:rsidRDefault="00000000">
      <w:pPr>
        <w:spacing w:after="180" w:line="300" w:lineRule="auto"/>
        <w:jc w:val="both"/>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The following table summarises the case using the IRAC (Issue, Rule, Application, Conclusion) method commonly used in legal case analysis:</w:t>
      </w:r>
    </w:p>
    <w:tbl>
      <w:tblPr>
        <w:tblW w:w="9350" w:type="dxa"/>
        <w:tblBorders>
          <w:top w:val="single" w:sz="4" w:space="0" w:color="8C8C8C"/>
          <w:left w:val="single" w:sz="4" w:space="0" w:color="8C8C8C"/>
          <w:bottom w:val="single" w:sz="4" w:space="0" w:color="8C8C8C"/>
          <w:right w:val="single" w:sz="4" w:space="0" w:color="8C8C8C"/>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800"/>
        <w:gridCol w:w="7550"/>
      </w:tblGrid>
      <w:tr w:rsidR="00862892" w:rsidRPr="0061036F" w14:paraId="269A0451" w14:textId="77777777">
        <w:trPr>
          <w:tblHeader/>
        </w:trPr>
        <w:tc>
          <w:tcPr>
            <w:tcW w:w="1800" w:type="dxa"/>
            <w:shd w:val="clear" w:color="auto" w:fill="1F3864"/>
            <w:tcMar>
              <w:top w:w="100" w:type="dxa"/>
              <w:left w:w="150" w:type="dxa"/>
              <w:bottom w:w="100" w:type="dxa"/>
              <w:right w:w="150" w:type="dxa"/>
            </w:tcMar>
            <w:vAlign w:val="center"/>
          </w:tcPr>
          <w:p w14:paraId="5FB31B23" w14:textId="77777777" w:rsidR="00862892" w:rsidRPr="0061036F" w:rsidRDefault="00000000">
            <w:pPr>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lastRenderedPageBreak/>
              <w:t>Element</w:t>
            </w:r>
          </w:p>
        </w:tc>
        <w:tc>
          <w:tcPr>
            <w:tcW w:w="7550" w:type="dxa"/>
            <w:shd w:val="clear" w:color="auto" w:fill="1F3864"/>
            <w:tcMar>
              <w:top w:w="100" w:type="dxa"/>
              <w:left w:w="150" w:type="dxa"/>
              <w:bottom w:w="100" w:type="dxa"/>
              <w:right w:w="150" w:type="dxa"/>
            </w:tcMar>
            <w:vAlign w:val="center"/>
          </w:tcPr>
          <w:p w14:paraId="7524FA0F" w14:textId="77777777" w:rsidR="00862892" w:rsidRPr="0061036F" w:rsidRDefault="00000000">
            <w:pPr>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t>Application to Balfour v Balfour</w:t>
            </w:r>
          </w:p>
        </w:tc>
      </w:tr>
      <w:tr w:rsidR="00862892" w:rsidRPr="0061036F" w14:paraId="78D5B1A8" w14:textId="77777777">
        <w:tc>
          <w:tcPr>
            <w:tcW w:w="1800" w:type="dxa"/>
            <w:shd w:val="clear" w:color="auto" w:fill="F2F2F2"/>
            <w:tcMar>
              <w:top w:w="100" w:type="dxa"/>
              <w:left w:w="150" w:type="dxa"/>
              <w:bottom w:w="100" w:type="dxa"/>
              <w:right w:w="150" w:type="dxa"/>
            </w:tcMar>
            <w:vAlign w:val="center"/>
          </w:tcPr>
          <w:p w14:paraId="7DA45C6E" w14:textId="77777777" w:rsidR="00862892" w:rsidRPr="0061036F" w:rsidRDefault="00000000">
            <w:pPr>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t>Issue</w:t>
            </w:r>
          </w:p>
        </w:tc>
        <w:tc>
          <w:tcPr>
            <w:tcW w:w="7550" w:type="dxa"/>
            <w:shd w:val="clear" w:color="auto" w:fill="F2F2F2"/>
            <w:tcMar>
              <w:top w:w="100" w:type="dxa"/>
              <w:left w:w="150" w:type="dxa"/>
              <w:bottom w:w="100" w:type="dxa"/>
              <w:right w:w="150" w:type="dxa"/>
            </w:tcMar>
            <w:vAlign w:val="center"/>
          </w:tcPr>
          <w:p w14:paraId="257AF354" w14:textId="77777777" w:rsidR="00862892" w:rsidRPr="0061036F" w:rsidRDefault="00000000">
            <w:pPr>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Was there an intention to create legal relations between Mr. and Mrs. Balfour when he promised to pay her £30 a month?</w:t>
            </w:r>
          </w:p>
        </w:tc>
      </w:tr>
      <w:tr w:rsidR="00862892" w:rsidRPr="0061036F" w14:paraId="12F7D8B6" w14:textId="77777777">
        <w:tc>
          <w:tcPr>
            <w:tcW w:w="1800" w:type="dxa"/>
            <w:shd w:val="clear" w:color="auto" w:fill="FFFFFF"/>
            <w:tcMar>
              <w:top w:w="100" w:type="dxa"/>
              <w:left w:w="150" w:type="dxa"/>
              <w:bottom w:w="100" w:type="dxa"/>
              <w:right w:w="150" w:type="dxa"/>
            </w:tcMar>
            <w:vAlign w:val="center"/>
          </w:tcPr>
          <w:p w14:paraId="390D798F" w14:textId="77777777" w:rsidR="00862892" w:rsidRPr="0061036F" w:rsidRDefault="00000000">
            <w:pPr>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t>Rule</w:t>
            </w:r>
          </w:p>
        </w:tc>
        <w:tc>
          <w:tcPr>
            <w:tcW w:w="7550" w:type="dxa"/>
            <w:shd w:val="clear" w:color="auto" w:fill="FFFFFF"/>
            <w:tcMar>
              <w:top w:w="100" w:type="dxa"/>
              <w:left w:w="150" w:type="dxa"/>
              <w:bottom w:w="100" w:type="dxa"/>
              <w:right w:w="150" w:type="dxa"/>
            </w:tcMar>
            <w:vAlign w:val="center"/>
          </w:tcPr>
          <w:p w14:paraId="54FD42C8" w14:textId="77777777" w:rsidR="00862892" w:rsidRPr="0061036F" w:rsidRDefault="00000000">
            <w:pPr>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Domestic and social agreements between family members are presumed not to be legally binding, unless this presumption is rebutted by clear evidence of contrary intent.</w:t>
            </w:r>
          </w:p>
        </w:tc>
      </w:tr>
      <w:tr w:rsidR="00862892" w:rsidRPr="0061036F" w14:paraId="670B8321" w14:textId="77777777">
        <w:tc>
          <w:tcPr>
            <w:tcW w:w="1800" w:type="dxa"/>
            <w:shd w:val="clear" w:color="auto" w:fill="F2F2F2"/>
            <w:tcMar>
              <w:top w:w="100" w:type="dxa"/>
              <w:left w:w="150" w:type="dxa"/>
              <w:bottom w:w="100" w:type="dxa"/>
              <w:right w:w="150" w:type="dxa"/>
            </w:tcMar>
            <w:vAlign w:val="center"/>
          </w:tcPr>
          <w:p w14:paraId="494180BA" w14:textId="77777777" w:rsidR="00862892" w:rsidRPr="0061036F" w:rsidRDefault="00000000">
            <w:pPr>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t>Application</w:t>
            </w:r>
          </w:p>
        </w:tc>
        <w:tc>
          <w:tcPr>
            <w:tcW w:w="7550" w:type="dxa"/>
            <w:shd w:val="clear" w:color="auto" w:fill="F2F2F2"/>
            <w:tcMar>
              <w:top w:w="100" w:type="dxa"/>
              <w:left w:w="150" w:type="dxa"/>
              <w:bottom w:w="100" w:type="dxa"/>
              <w:right w:w="150" w:type="dxa"/>
            </w:tcMar>
            <w:vAlign w:val="center"/>
          </w:tcPr>
          <w:p w14:paraId="70F44BC4" w14:textId="77777777" w:rsidR="00862892" w:rsidRPr="0061036F" w:rsidRDefault="00000000">
            <w:pPr>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The promise was made between husband and wife, during an intact and affectionate marriage, purely for her maintenance. There was no writing, no separation at the time, and no other evidence showing an intention to be legally bound.</w:t>
            </w:r>
          </w:p>
        </w:tc>
      </w:tr>
      <w:tr w:rsidR="00862892" w:rsidRPr="0061036F" w14:paraId="1AA4F3B8" w14:textId="77777777">
        <w:tc>
          <w:tcPr>
            <w:tcW w:w="1800" w:type="dxa"/>
            <w:shd w:val="clear" w:color="auto" w:fill="FFFFFF"/>
            <w:tcMar>
              <w:top w:w="100" w:type="dxa"/>
              <w:left w:w="150" w:type="dxa"/>
              <w:bottom w:w="100" w:type="dxa"/>
              <w:right w:w="150" w:type="dxa"/>
            </w:tcMar>
            <w:vAlign w:val="center"/>
          </w:tcPr>
          <w:p w14:paraId="3FB27C9A" w14:textId="77777777" w:rsidR="00862892" w:rsidRPr="0061036F" w:rsidRDefault="00000000">
            <w:pPr>
              <w:rPr>
                <w:rFonts w:ascii="Times New Roman" w:hAnsi="Times New Roman" w:cs="Times New Roman"/>
                <w:color w:val="000000" w:themeColor="text1"/>
                <w:sz w:val="24"/>
                <w:szCs w:val="24"/>
              </w:rPr>
            </w:pPr>
            <w:r w:rsidRPr="0061036F">
              <w:rPr>
                <w:rFonts w:ascii="Times New Roman" w:hAnsi="Times New Roman" w:cs="Times New Roman"/>
                <w:b/>
                <w:bCs/>
                <w:color w:val="000000" w:themeColor="text1"/>
                <w:sz w:val="24"/>
                <w:szCs w:val="24"/>
              </w:rPr>
              <w:t>Conclusion</w:t>
            </w:r>
          </w:p>
        </w:tc>
        <w:tc>
          <w:tcPr>
            <w:tcW w:w="7550" w:type="dxa"/>
            <w:shd w:val="clear" w:color="auto" w:fill="FFFFFF"/>
            <w:tcMar>
              <w:top w:w="100" w:type="dxa"/>
              <w:left w:w="150" w:type="dxa"/>
              <w:bottom w:w="100" w:type="dxa"/>
              <w:right w:w="150" w:type="dxa"/>
            </w:tcMar>
            <w:vAlign w:val="center"/>
          </w:tcPr>
          <w:p w14:paraId="3D630433" w14:textId="77777777" w:rsidR="00862892" w:rsidRPr="0061036F" w:rsidRDefault="00000000">
            <w:pPr>
              <w:rPr>
                <w:rFonts w:ascii="Times New Roman" w:hAnsi="Times New Roman" w:cs="Times New Roman"/>
                <w:color w:val="000000" w:themeColor="text1"/>
                <w:sz w:val="24"/>
                <w:szCs w:val="24"/>
              </w:rPr>
            </w:pPr>
            <w:r w:rsidRPr="0061036F">
              <w:rPr>
                <w:rFonts w:ascii="Times New Roman" w:hAnsi="Times New Roman" w:cs="Times New Roman"/>
                <w:color w:val="000000" w:themeColor="text1"/>
                <w:sz w:val="24"/>
                <w:szCs w:val="24"/>
              </w:rPr>
              <w:t>No binding contract existed. The promise was unenforceable, and Mr. Balfour was not legally obliged to continue the payments.</w:t>
            </w:r>
          </w:p>
        </w:tc>
      </w:tr>
    </w:tbl>
    <w:p w14:paraId="45268F7E" w14:textId="77777777" w:rsidR="00DC1B04" w:rsidRPr="0061036F" w:rsidRDefault="00DC1B04">
      <w:pPr>
        <w:rPr>
          <w:rFonts w:ascii="Times New Roman" w:hAnsi="Times New Roman" w:cs="Times New Roman"/>
          <w:color w:val="000000" w:themeColor="text1"/>
          <w:sz w:val="24"/>
          <w:szCs w:val="24"/>
        </w:rPr>
      </w:pPr>
    </w:p>
    <w:sectPr w:rsidR="00DC1B04" w:rsidRPr="0061036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2AC23" w14:textId="77777777" w:rsidR="008B089B" w:rsidRDefault="008B089B">
      <w:r>
        <w:separator/>
      </w:r>
    </w:p>
  </w:endnote>
  <w:endnote w:type="continuationSeparator" w:id="0">
    <w:p w14:paraId="7CBFC881" w14:textId="77777777" w:rsidR="008B089B" w:rsidRDefault="008B0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B3C82" w14:textId="70C69C19" w:rsidR="00862892"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491EC1">
      <w:rPr>
        <w:noProof/>
        <w:color w:val="595959"/>
        <w:sz w:val="18"/>
        <w:szCs w:val="18"/>
      </w:rPr>
      <w:t>3</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491EC1">
      <w:rPr>
        <w:noProof/>
        <w:color w:val="595959"/>
        <w:sz w:val="18"/>
        <w:szCs w:val="18"/>
      </w:rPr>
      <w:t>4</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1F4FA" w14:textId="77777777" w:rsidR="008B089B" w:rsidRDefault="008B089B">
      <w:r>
        <w:separator/>
      </w:r>
    </w:p>
  </w:footnote>
  <w:footnote w:type="continuationSeparator" w:id="0">
    <w:p w14:paraId="513E1E13" w14:textId="77777777" w:rsidR="008B089B" w:rsidRDefault="008B08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3DF3" w14:textId="78E6C586" w:rsidR="00862892" w:rsidRPr="0035663B" w:rsidRDefault="00862892" w:rsidP="003566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57118"/>
    <w:multiLevelType w:val="hybridMultilevel"/>
    <w:tmpl w:val="E5769D78"/>
    <w:lvl w:ilvl="0" w:tplc="A118B6FA">
      <w:start w:val="1"/>
      <w:numFmt w:val="bullet"/>
      <w:lvlText w:val="•"/>
      <w:lvlJc w:val="left"/>
      <w:pPr>
        <w:ind w:left="720" w:hanging="360"/>
      </w:pPr>
    </w:lvl>
    <w:lvl w:ilvl="1" w:tplc="0ABACEBE">
      <w:numFmt w:val="decimal"/>
      <w:lvlText w:val=""/>
      <w:lvlJc w:val="left"/>
    </w:lvl>
    <w:lvl w:ilvl="2" w:tplc="C9681124">
      <w:numFmt w:val="decimal"/>
      <w:lvlText w:val=""/>
      <w:lvlJc w:val="left"/>
    </w:lvl>
    <w:lvl w:ilvl="3" w:tplc="FF46C4C4">
      <w:numFmt w:val="decimal"/>
      <w:lvlText w:val=""/>
      <w:lvlJc w:val="left"/>
    </w:lvl>
    <w:lvl w:ilvl="4" w:tplc="0F6E4138">
      <w:numFmt w:val="decimal"/>
      <w:lvlText w:val=""/>
      <w:lvlJc w:val="left"/>
    </w:lvl>
    <w:lvl w:ilvl="5" w:tplc="599E83D4">
      <w:numFmt w:val="decimal"/>
      <w:lvlText w:val=""/>
      <w:lvlJc w:val="left"/>
    </w:lvl>
    <w:lvl w:ilvl="6" w:tplc="EB78D81C">
      <w:numFmt w:val="decimal"/>
      <w:lvlText w:val=""/>
      <w:lvlJc w:val="left"/>
    </w:lvl>
    <w:lvl w:ilvl="7" w:tplc="43D6F904">
      <w:numFmt w:val="decimal"/>
      <w:lvlText w:val=""/>
      <w:lvlJc w:val="left"/>
    </w:lvl>
    <w:lvl w:ilvl="8" w:tplc="B7A6E4B2">
      <w:numFmt w:val="decimal"/>
      <w:lvlText w:val=""/>
      <w:lvlJc w:val="left"/>
    </w:lvl>
  </w:abstractNum>
  <w:abstractNum w:abstractNumId="1" w15:restartNumberingAfterBreak="0">
    <w:nsid w:val="41186DFF"/>
    <w:multiLevelType w:val="hybridMultilevel"/>
    <w:tmpl w:val="258CE5D6"/>
    <w:lvl w:ilvl="0" w:tplc="D2D0299A">
      <w:start w:val="1"/>
      <w:numFmt w:val="bullet"/>
      <w:lvlText w:val="●"/>
      <w:lvlJc w:val="left"/>
      <w:pPr>
        <w:ind w:left="720" w:hanging="360"/>
      </w:pPr>
    </w:lvl>
    <w:lvl w:ilvl="1" w:tplc="4962B590">
      <w:start w:val="1"/>
      <w:numFmt w:val="bullet"/>
      <w:lvlText w:val="○"/>
      <w:lvlJc w:val="left"/>
      <w:pPr>
        <w:ind w:left="1440" w:hanging="360"/>
      </w:pPr>
    </w:lvl>
    <w:lvl w:ilvl="2" w:tplc="E946DFDE">
      <w:start w:val="1"/>
      <w:numFmt w:val="bullet"/>
      <w:lvlText w:val="■"/>
      <w:lvlJc w:val="left"/>
      <w:pPr>
        <w:ind w:left="2160" w:hanging="360"/>
      </w:pPr>
    </w:lvl>
    <w:lvl w:ilvl="3" w:tplc="0A92E1AC">
      <w:start w:val="1"/>
      <w:numFmt w:val="bullet"/>
      <w:lvlText w:val="●"/>
      <w:lvlJc w:val="left"/>
      <w:pPr>
        <w:ind w:left="2880" w:hanging="360"/>
      </w:pPr>
    </w:lvl>
    <w:lvl w:ilvl="4" w:tplc="37122308">
      <w:start w:val="1"/>
      <w:numFmt w:val="bullet"/>
      <w:lvlText w:val="○"/>
      <w:lvlJc w:val="left"/>
      <w:pPr>
        <w:ind w:left="3600" w:hanging="360"/>
      </w:pPr>
    </w:lvl>
    <w:lvl w:ilvl="5" w:tplc="3CD4D968">
      <w:start w:val="1"/>
      <w:numFmt w:val="bullet"/>
      <w:lvlText w:val="■"/>
      <w:lvlJc w:val="left"/>
      <w:pPr>
        <w:ind w:left="4320" w:hanging="360"/>
      </w:pPr>
    </w:lvl>
    <w:lvl w:ilvl="6" w:tplc="1DE68306">
      <w:start w:val="1"/>
      <w:numFmt w:val="bullet"/>
      <w:lvlText w:val="●"/>
      <w:lvlJc w:val="left"/>
      <w:pPr>
        <w:ind w:left="5040" w:hanging="360"/>
      </w:pPr>
    </w:lvl>
    <w:lvl w:ilvl="7" w:tplc="F7C4E746">
      <w:start w:val="1"/>
      <w:numFmt w:val="bullet"/>
      <w:lvlText w:val="●"/>
      <w:lvlJc w:val="left"/>
      <w:pPr>
        <w:ind w:left="5760" w:hanging="360"/>
      </w:pPr>
    </w:lvl>
    <w:lvl w:ilvl="8" w:tplc="FFB448EA">
      <w:start w:val="1"/>
      <w:numFmt w:val="bullet"/>
      <w:lvlText w:val="●"/>
      <w:lvlJc w:val="left"/>
      <w:pPr>
        <w:ind w:left="6480" w:hanging="360"/>
      </w:pPr>
    </w:lvl>
  </w:abstractNum>
  <w:num w:numId="1" w16cid:durableId="679694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892"/>
    <w:rsid w:val="00042C4A"/>
    <w:rsid w:val="001C29BF"/>
    <w:rsid w:val="001F4F4D"/>
    <w:rsid w:val="00213FB0"/>
    <w:rsid w:val="0026509E"/>
    <w:rsid w:val="0035663B"/>
    <w:rsid w:val="003A4850"/>
    <w:rsid w:val="00491EC1"/>
    <w:rsid w:val="004E1ADA"/>
    <w:rsid w:val="00553209"/>
    <w:rsid w:val="005D5EC6"/>
    <w:rsid w:val="0061036F"/>
    <w:rsid w:val="00611833"/>
    <w:rsid w:val="00646AC2"/>
    <w:rsid w:val="006866B3"/>
    <w:rsid w:val="00700940"/>
    <w:rsid w:val="00862892"/>
    <w:rsid w:val="008B089B"/>
    <w:rsid w:val="008F2149"/>
    <w:rsid w:val="00923D42"/>
    <w:rsid w:val="009A352E"/>
    <w:rsid w:val="00A44F13"/>
    <w:rsid w:val="00A563D8"/>
    <w:rsid w:val="00AD2CD1"/>
    <w:rsid w:val="00B35B53"/>
    <w:rsid w:val="00B72954"/>
    <w:rsid w:val="00DC1B04"/>
    <w:rsid w:val="00E033BE"/>
    <w:rsid w:val="00E26962"/>
    <w:rsid w:val="5621D9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16754"/>
  <w15:docId w15:val="{53ED7F08-324E-44AA-A979-72349E997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042C4A"/>
    <w:rPr>
      <w:color w:val="2E74B5"/>
      <w:sz w:val="32"/>
      <w:szCs w:val="32"/>
    </w:rPr>
  </w:style>
  <w:style w:type="table" w:styleId="TableGrid">
    <w:name w:val="Table Grid"/>
    <w:basedOn w:val="TableNormal"/>
    <w:uiPriority w:val="39"/>
    <w:rsid w:val="00042C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2CD1"/>
    <w:pPr>
      <w:tabs>
        <w:tab w:val="center" w:pos="4513"/>
        <w:tab w:val="right" w:pos="9026"/>
      </w:tabs>
    </w:pPr>
  </w:style>
  <w:style w:type="character" w:customStyle="1" w:styleId="HeaderChar">
    <w:name w:val="Header Char"/>
    <w:basedOn w:val="DefaultParagraphFont"/>
    <w:link w:val="Header"/>
    <w:uiPriority w:val="99"/>
    <w:rsid w:val="00AD2CD1"/>
  </w:style>
  <w:style w:type="paragraph" w:styleId="Footer">
    <w:name w:val="footer"/>
    <w:basedOn w:val="Normal"/>
    <w:link w:val="FooterChar"/>
    <w:uiPriority w:val="99"/>
    <w:unhideWhenUsed/>
    <w:rsid w:val="00AD2CD1"/>
    <w:pPr>
      <w:tabs>
        <w:tab w:val="center" w:pos="4513"/>
        <w:tab w:val="right" w:pos="9026"/>
      </w:tabs>
    </w:pPr>
  </w:style>
  <w:style w:type="character" w:customStyle="1" w:styleId="FooterChar">
    <w:name w:val="Footer Char"/>
    <w:basedOn w:val="DefaultParagraphFont"/>
    <w:link w:val="Footer"/>
    <w:uiPriority w:val="99"/>
    <w:rsid w:val="00AD2C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10</Pages>
  <Words>2599</Words>
  <Characters>14818</Characters>
  <Application>Microsoft Office Word</Application>
  <DocSecurity>0</DocSecurity>
  <Lines>123</Lines>
  <Paragraphs>34</Paragraphs>
  <ScaleCrop>false</ScaleCrop>
  <Company/>
  <LinksUpToDate>false</LinksUpToDate>
  <CharactersWithSpaces>17383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Deenah .N</cp:lastModifiedBy>
  <cp:revision>22</cp:revision>
  <dcterms:created xsi:type="dcterms:W3CDTF">2026-07-14T04:46:00Z</dcterms:created>
  <dcterms:modified xsi:type="dcterms:W3CDTF">2026-07-17T06:17:00Z</dcterms:modified>
</cp:coreProperties>
</file>