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11F75" w14:textId="77777777" w:rsidR="00B26D1F" w:rsidRPr="00F6743D" w:rsidRDefault="00B26D1F">
      <w:pPr>
        <w:spacing w:before="2200"/>
        <w:rPr>
          <w:rFonts w:ascii="Times New Roman" w:hAnsi="Times New Roman" w:cs="Times New Roman"/>
          <w:color w:val="000000" w:themeColor="text1"/>
          <w:sz w:val="24"/>
          <w:szCs w:val="24"/>
        </w:rPr>
      </w:pPr>
    </w:p>
    <w:p w14:paraId="7990BED1" w14:textId="77777777" w:rsidR="00B26D1F" w:rsidRPr="002A6F94" w:rsidRDefault="00000000">
      <w:pPr>
        <w:spacing w:after="100"/>
        <w:jc w:val="center"/>
        <w:rPr>
          <w:rFonts w:ascii="Times New Roman" w:hAnsi="Times New Roman" w:cs="Times New Roman"/>
          <w:color w:val="000000" w:themeColor="text1"/>
          <w:sz w:val="36"/>
          <w:szCs w:val="36"/>
        </w:rPr>
      </w:pPr>
      <w:r w:rsidRPr="002A6F94">
        <w:rPr>
          <w:rFonts w:ascii="Times New Roman" w:hAnsi="Times New Roman" w:cs="Times New Roman"/>
          <w:b/>
          <w:bCs/>
          <w:color w:val="000000" w:themeColor="text1"/>
          <w:sz w:val="36"/>
          <w:szCs w:val="36"/>
        </w:rPr>
        <w:t>CASE ANALYSIS REPORT</w:t>
      </w:r>
    </w:p>
    <w:p w14:paraId="1CA4F9F2" w14:textId="53B48AF6" w:rsidR="00B26D1F" w:rsidRDefault="00000000" w:rsidP="00F335A6">
      <w:pPr>
        <w:spacing w:after="600"/>
        <w:jc w:val="center"/>
        <w:rPr>
          <w:rFonts w:ascii="Times New Roman" w:hAnsi="Times New Roman" w:cs="Times New Roman"/>
          <w:color w:val="000000" w:themeColor="text1"/>
          <w:sz w:val="36"/>
          <w:szCs w:val="36"/>
        </w:rPr>
      </w:pPr>
      <w:proofErr w:type="spellStart"/>
      <w:r w:rsidRPr="00957EA0">
        <w:rPr>
          <w:rFonts w:ascii="Times New Roman" w:hAnsi="Times New Roman" w:cs="Times New Roman"/>
          <w:i/>
          <w:iCs/>
          <w:color w:val="000000" w:themeColor="text1"/>
          <w:sz w:val="36"/>
          <w:szCs w:val="36"/>
        </w:rPr>
        <w:t>Mohori</w:t>
      </w:r>
      <w:proofErr w:type="spellEnd"/>
      <w:r w:rsidRPr="00957EA0">
        <w:rPr>
          <w:rFonts w:ascii="Times New Roman" w:hAnsi="Times New Roman" w:cs="Times New Roman"/>
          <w:i/>
          <w:iCs/>
          <w:color w:val="000000" w:themeColor="text1"/>
          <w:sz w:val="36"/>
          <w:szCs w:val="36"/>
        </w:rPr>
        <w:t xml:space="preserve"> Bibee v. </w:t>
      </w:r>
      <w:proofErr w:type="spellStart"/>
      <w:r w:rsidRPr="00957EA0">
        <w:rPr>
          <w:rFonts w:ascii="Times New Roman" w:hAnsi="Times New Roman" w:cs="Times New Roman"/>
          <w:i/>
          <w:iCs/>
          <w:color w:val="000000" w:themeColor="text1"/>
          <w:sz w:val="36"/>
          <w:szCs w:val="36"/>
        </w:rPr>
        <w:t>Dharmodas</w:t>
      </w:r>
      <w:proofErr w:type="spellEnd"/>
      <w:r w:rsidRPr="00957EA0">
        <w:rPr>
          <w:rFonts w:ascii="Times New Roman" w:hAnsi="Times New Roman" w:cs="Times New Roman"/>
          <w:i/>
          <w:iCs/>
          <w:color w:val="000000" w:themeColor="text1"/>
          <w:sz w:val="36"/>
          <w:szCs w:val="36"/>
        </w:rPr>
        <w:t xml:space="preserve"> Ghose (1903) ILR 30 Cal 539 (PC)</w:t>
      </w:r>
    </w:p>
    <w:p w14:paraId="5746A889" w14:textId="77777777" w:rsidR="00F335A6" w:rsidRPr="00F335A6" w:rsidRDefault="00F335A6" w:rsidP="00F335A6">
      <w:pPr>
        <w:spacing w:after="600"/>
        <w:jc w:val="center"/>
        <w:rPr>
          <w:rFonts w:ascii="Times New Roman" w:hAnsi="Times New Roman" w:cs="Times New Roman"/>
          <w:color w:val="000000" w:themeColor="text1"/>
          <w:sz w:val="36"/>
          <w:szCs w:val="36"/>
        </w:rPr>
      </w:pPr>
    </w:p>
    <w:p w14:paraId="00157B01" w14:textId="73CE4E6A" w:rsidR="00B26D1F" w:rsidRPr="00F6743D" w:rsidRDefault="00B26D1F">
      <w:pPr>
        <w:spacing w:after="200"/>
        <w:jc w:val="center"/>
        <w:rPr>
          <w:rFonts w:ascii="Times New Roman" w:hAnsi="Times New Roman" w:cs="Times New Roman"/>
          <w:color w:val="000000" w:themeColor="text1"/>
          <w:sz w:val="24"/>
          <w:szCs w:val="24"/>
        </w:rPr>
      </w:pPr>
    </w:p>
    <w:p w14:paraId="531C90C8" w14:textId="77777777" w:rsidR="00B26D1F" w:rsidRPr="009A5D6D" w:rsidRDefault="00000000">
      <w:pPr>
        <w:spacing w:after="200"/>
        <w:jc w:val="center"/>
        <w:rPr>
          <w:rFonts w:ascii="Times New Roman" w:hAnsi="Times New Roman" w:cs="Times New Roman"/>
          <w:color w:val="000000" w:themeColor="text1"/>
          <w:sz w:val="28"/>
          <w:szCs w:val="28"/>
        </w:rPr>
      </w:pPr>
      <w:r w:rsidRPr="009A5D6D">
        <w:rPr>
          <w:rFonts w:ascii="Times New Roman" w:hAnsi="Times New Roman" w:cs="Times New Roman"/>
          <w:b/>
          <w:bCs/>
          <w:color w:val="000000" w:themeColor="text1"/>
          <w:sz w:val="28"/>
          <w:szCs w:val="28"/>
        </w:rPr>
        <w:t xml:space="preserve">Student Name:  </w:t>
      </w:r>
      <w:r w:rsidRPr="009A5D6D">
        <w:rPr>
          <w:rFonts w:ascii="Times New Roman" w:hAnsi="Times New Roman" w:cs="Times New Roman"/>
          <w:color w:val="000000" w:themeColor="text1"/>
          <w:sz w:val="28"/>
          <w:szCs w:val="28"/>
        </w:rPr>
        <w:t>Deenah N</w:t>
      </w:r>
    </w:p>
    <w:p w14:paraId="09EB2413" w14:textId="77777777" w:rsidR="00B26D1F" w:rsidRPr="009A5D6D" w:rsidRDefault="00000000">
      <w:pPr>
        <w:spacing w:after="200"/>
        <w:jc w:val="center"/>
        <w:rPr>
          <w:rFonts w:ascii="Times New Roman" w:hAnsi="Times New Roman" w:cs="Times New Roman"/>
          <w:color w:val="000000" w:themeColor="text1"/>
          <w:sz w:val="28"/>
          <w:szCs w:val="28"/>
        </w:rPr>
      </w:pPr>
      <w:r w:rsidRPr="009A5D6D">
        <w:rPr>
          <w:rFonts w:ascii="Times New Roman" w:hAnsi="Times New Roman" w:cs="Times New Roman"/>
          <w:b/>
          <w:bCs/>
          <w:color w:val="000000" w:themeColor="text1"/>
          <w:sz w:val="28"/>
          <w:szCs w:val="28"/>
        </w:rPr>
        <w:t xml:space="preserve">Register Number:  </w:t>
      </w:r>
      <w:r w:rsidRPr="009A5D6D">
        <w:rPr>
          <w:rFonts w:ascii="Times New Roman" w:hAnsi="Times New Roman" w:cs="Times New Roman"/>
          <w:color w:val="000000" w:themeColor="text1"/>
          <w:sz w:val="28"/>
          <w:szCs w:val="28"/>
        </w:rPr>
        <w:t>5272510203</w:t>
      </w:r>
    </w:p>
    <w:p w14:paraId="1CD39EBB" w14:textId="2C9E119F" w:rsidR="00B26D1F" w:rsidRPr="009A5D6D" w:rsidRDefault="00000000">
      <w:pPr>
        <w:spacing w:after="200"/>
        <w:jc w:val="center"/>
        <w:rPr>
          <w:rFonts w:ascii="Times New Roman" w:hAnsi="Times New Roman" w:cs="Times New Roman"/>
          <w:color w:val="000000" w:themeColor="text1"/>
          <w:sz w:val="28"/>
          <w:szCs w:val="28"/>
        </w:rPr>
      </w:pPr>
      <w:r w:rsidRPr="009A5D6D">
        <w:rPr>
          <w:rFonts w:ascii="Times New Roman" w:hAnsi="Times New Roman" w:cs="Times New Roman"/>
          <w:b/>
          <w:bCs/>
          <w:color w:val="000000" w:themeColor="text1"/>
          <w:sz w:val="28"/>
          <w:szCs w:val="28"/>
        </w:rPr>
        <w:t xml:space="preserve">Course:  </w:t>
      </w:r>
      <w:r w:rsidRPr="009A5D6D">
        <w:rPr>
          <w:rFonts w:ascii="Times New Roman" w:hAnsi="Times New Roman" w:cs="Times New Roman"/>
          <w:color w:val="000000" w:themeColor="text1"/>
          <w:sz w:val="28"/>
          <w:szCs w:val="28"/>
        </w:rPr>
        <w:t>B.</w:t>
      </w:r>
      <w:r w:rsidR="009A5D6D">
        <w:rPr>
          <w:rFonts w:ascii="Times New Roman" w:hAnsi="Times New Roman" w:cs="Times New Roman"/>
          <w:color w:val="000000" w:themeColor="text1"/>
          <w:sz w:val="28"/>
          <w:szCs w:val="28"/>
        </w:rPr>
        <w:t>c</w:t>
      </w:r>
      <w:r w:rsidRPr="009A5D6D">
        <w:rPr>
          <w:rFonts w:ascii="Times New Roman" w:hAnsi="Times New Roman" w:cs="Times New Roman"/>
          <w:color w:val="000000" w:themeColor="text1"/>
          <w:sz w:val="28"/>
          <w:szCs w:val="28"/>
        </w:rPr>
        <w:t>om Fintech with AI</w:t>
      </w:r>
    </w:p>
    <w:p w14:paraId="7D7D3DC0" w14:textId="77777777" w:rsidR="00B26D1F" w:rsidRPr="00F6743D" w:rsidRDefault="00B26D1F">
      <w:pPr>
        <w:spacing w:before="2000"/>
        <w:rPr>
          <w:rFonts w:ascii="Times New Roman" w:hAnsi="Times New Roman" w:cs="Times New Roman"/>
          <w:color w:val="000000" w:themeColor="text1"/>
          <w:sz w:val="24"/>
          <w:szCs w:val="24"/>
        </w:rPr>
      </w:pPr>
    </w:p>
    <w:p w14:paraId="48B6FC70" w14:textId="77777777" w:rsidR="00B26D1F" w:rsidRPr="00F6743D" w:rsidRDefault="00B26D1F">
      <w:pPr>
        <w:rPr>
          <w:rFonts w:ascii="Times New Roman" w:hAnsi="Times New Roman" w:cs="Times New Roman"/>
          <w:color w:val="000000" w:themeColor="text1"/>
          <w:sz w:val="24"/>
          <w:szCs w:val="24"/>
        </w:rPr>
        <w:sectPr w:rsidR="00B26D1F" w:rsidRPr="00F6743D">
          <w:pgSz w:w="12240" w:h="15840"/>
          <w:pgMar w:top="1440" w:right="1440" w:bottom="1440" w:left="1440" w:header="708" w:footer="708" w:gutter="0"/>
          <w:cols w:space="720"/>
          <w:docGrid w:linePitch="360"/>
        </w:sectPr>
      </w:pPr>
    </w:p>
    <w:p w14:paraId="2EFF411C" w14:textId="77777777" w:rsidR="00B26D1F" w:rsidRPr="00F6743D" w:rsidRDefault="00000000">
      <w:pPr>
        <w:pBdr>
          <w:bottom w:val="single" w:sz="6" w:space="4" w:color="1F3864"/>
        </w:pBdr>
        <w:spacing w:after="300"/>
        <w:rPr>
          <w:rFonts w:ascii="Times New Roman" w:hAnsi="Times New Roman" w:cs="Times New Roman"/>
          <w:color w:val="000000" w:themeColor="text1"/>
          <w:sz w:val="24"/>
          <w:szCs w:val="24"/>
        </w:rPr>
      </w:pPr>
      <w:r w:rsidRPr="00F6743D">
        <w:rPr>
          <w:rFonts w:ascii="Times New Roman" w:hAnsi="Times New Roman" w:cs="Times New Roman"/>
          <w:b/>
          <w:bCs/>
          <w:color w:val="000000" w:themeColor="text1"/>
          <w:sz w:val="24"/>
          <w:szCs w:val="24"/>
        </w:rPr>
        <w:lastRenderedPageBreak/>
        <w:t>Table of Contents</w:t>
      </w:r>
    </w:p>
    <w:p w14:paraId="35016829" w14:textId="77777777" w:rsidR="00B26D1F" w:rsidRDefault="00B26D1F">
      <w:pPr>
        <w:rPr>
          <w:rFonts w:ascii="Times New Roman" w:hAnsi="Times New Roman" w:cs="Times New Roman"/>
          <w:color w:val="000000" w:themeColor="text1"/>
          <w:sz w:val="24"/>
          <w:szCs w:val="24"/>
        </w:rPr>
      </w:pPr>
    </w:p>
    <w:p w14:paraId="1120B04B" w14:textId="0E1CFB82" w:rsidR="00D4587B" w:rsidRPr="00985026" w:rsidRDefault="00D4587B" w:rsidP="00D4587B">
      <w:pPr>
        <w:pStyle w:val="Heading1"/>
        <w:pBdr>
          <w:bottom w:val="single" w:sz="6" w:space="4" w:color="1F3864"/>
        </w:pBdr>
        <w:spacing w:before="360" w:after="200"/>
        <w:jc w:val="center"/>
        <w:rPr>
          <w:rFonts w:ascii="Times New Roman" w:hAnsi="Times New Roman" w:cs="Times New Roman"/>
          <w:b/>
          <w:bCs/>
          <w:color w:val="000000" w:themeColor="text1"/>
          <w:sz w:val="28"/>
          <w:szCs w:val="28"/>
        </w:rPr>
      </w:pPr>
    </w:p>
    <w:tbl>
      <w:tblPr>
        <w:tblStyle w:val="TableGrid"/>
        <w:tblW w:w="0" w:type="auto"/>
        <w:tblLook w:val="04A0" w:firstRow="1" w:lastRow="0" w:firstColumn="1" w:lastColumn="0" w:noHBand="0" w:noVBand="1"/>
      </w:tblPr>
      <w:tblGrid>
        <w:gridCol w:w="1129"/>
        <w:gridCol w:w="8221"/>
      </w:tblGrid>
      <w:tr w:rsidR="00D4587B" w14:paraId="11DF4396" w14:textId="77777777" w:rsidTr="00AF025D">
        <w:trPr>
          <w:trHeight w:val="1077"/>
        </w:trPr>
        <w:tc>
          <w:tcPr>
            <w:tcW w:w="1129" w:type="dxa"/>
          </w:tcPr>
          <w:p w14:paraId="2E17E54B" w14:textId="77777777" w:rsidR="00D4587B" w:rsidRDefault="00D4587B" w:rsidP="00AF025D">
            <w:pPr>
              <w:pStyle w:val="Heading1"/>
              <w:spacing w:before="360" w:after="200"/>
              <w:jc w:val="both"/>
              <w:rPr>
                <w:rFonts w:ascii="Times New Roman" w:hAnsi="Times New Roman" w:cs="Times New Roman"/>
                <w:b/>
                <w:bCs/>
                <w:color w:val="000000" w:themeColor="text1"/>
                <w:sz w:val="24"/>
                <w:szCs w:val="24"/>
              </w:rPr>
            </w:pPr>
          </w:p>
          <w:p w14:paraId="65C442FD" w14:textId="77777777" w:rsidR="00D4587B" w:rsidRDefault="00D4587B" w:rsidP="00AF025D">
            <w:pPr>
              <w:pStyle w:val="Heading1"/>
              <w:spacing w:before="360" w:after="20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S.NO</w:t>
            </w:r>
          </w:p>
        </w:tc>
        <w:tc>
          <w:tcPr>
            <w:tcW w:w="8221" w:type="dxa"/>
          </w:tcPr>
          <w:p w14:paraId="354ACE76" w14:textId="77777777" w:rsidR="00D4587B" w:rsidRDefault="00D4587B" w:rsidP="00AF025D">
            <w:pPr>
              <w:pStyle w:val="Heading1"/>
              <w:spacing w:before="360" w:after="20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Topics</w:t>
            </w:r>
          </w:p>
        </w:tc>
      </w:tr>
      <w:tr w:rsidR="00D4587B" w14:paraId="12CD13BD" w14:textId="77777777" w:rsidTr="00AF025D">
        <w:trPr>
          <w:trHeight w:val="569"/>
        </w:trPr>
        <w:tc>
          <w:tcPr>
            <w:tcW w:w="1129" w:type="dxa"/>
          </w:tcPr>
          <w:p w14:paraId="3D30863E" w14:textId="77777777" w:rsidR="00D4587B" w:rsidRPr="00267176" w:rsidRDefault="00D4587B" w:rsidP="00AF025D">
            <w:pPr>
              <w:pStyle w:val="Heading1"/>
              <w:spacing w:before="360" w:after="200"/>
              <w:jc w:val="both"/>
              <w:rPr>
                <w:rFonts w:ascii="Times New Roman" w:hAnsi="Times New Roman" w:cs="Times New Roman"/>
                <w:color w:val="000000" w:themeColor="text1"/>
                <w:sz w:val="24"/>
                <w:szCs w:val="24"/>
              </w:rPr>
            </w:pPr>
            <w:r w:rsidRPr="00267176">
              <w:rPr>
                <w:rFonts w:ascii="Times New Roman" w:hAnsi="Times New Roman" w:cs="Times New Roman"/>
                <w:color w:val="000000" w:themeColor="text1"/>
                <w:sz w:val="24"/>
                <w:szCs w:val="24"/>
              </w:rPr>
              <w:t>1</w:t>
            </w:r>
          </w:p>
        </w:tc>
        <w:tc>
          <w:tcPr>
            <w:tcW w:w="8221" w:type="dxa"/>
          </w:tcPr>
          <w:p w14:paraId="099ACD92" w14:textId="77777777" w:rsidR="00D4587B" w:rsidRPr="00267176" w:rsidRDefault="00D4587B" w:rsidP="00AF025D">
            <w:pPr>
              <w:pStyle w:val="Heading1"/>
              <w:spacing w:before="360" w:after="200"/>
              <w:jc w:val="both"/>
              <w:rPr>
                <w:rFonts w:ascii="Times New Roman" w:hAnsi="Times New Roman" w:cs="Times New Roman"/>
                <w:color w:val="000000" w:themeColor="text1"/>
                <w:sz w:val="24"/>
                <w:szCs w:val="24"/>
              </w:rPr>
            </w:pPr>
            <w:r w:rsidRPr="00267176">
              <w:rPr>
                <w:rFonts w:ascii="Times New Roman" w:hAnsi="Times New Roman" w:cs="Times New Roman"/>
                <w:color w:val="000000" w:themeColor="text1"/>
                <w:sz w:val="24"/>
                <w:szCs w:val="24"/>
              </w:rPr>
              <w:t>Introduction</w:t>
            </w:r>
          </w:p>
        </w:tc>
      </w:tr>
      <w:tr w:rsidR="00D4587B" w14:paraId="4C47A002" w14:textId="77777777" w:rsidTr="00AF025D">
        <w:tc>
          <w:tcPr>
            <w:tcW w:w="1129" w:type="dxa"/>
          </w:tcPr>
          <w:p w14:paraId="607AE7E4" w14:textId="77777777" w:rsidR="00D4587B" w:rsidRPr="00267176" w:rsidRDefault="00D4587B" w:rsidP="00AF025D">
            <w:pPr>
              <w:pStyle w:val="Heading1"/>
              <w:spacing w:before="360" w:after="200"/>
              <w:jc w:val="both"/>
              <w:rPr>
                <w:rFonts w:ascii="Times New Roman" w:hAnsi="Times New Roman" w:cs="Times New Roman"/>
                <w:color w:val="000000" w:themeColor="text1"/>
                <w:sz w:val="24"/>
                <w:szCs w:val="24"/>
              </w:rPr>
            </w:pPr>
            <w:r w:rsidRPr="00267176">
              <w:rPr>
                <w:rFonts w:ascii="Times New Roman" w:hAnsi="Times New Roman" w:cs="Times New Roman"/>
                <w:color w:val="000000" w:themeColor="text1"/>
                <w:sz w:val="24"/>
                <w:szCs w:val="24"/>
              </w:rPr>
              <w:t>2</w:t>
            </w:r>
          </w:p>
        </w:tc>
        <w:tc>
          <w:tcPr>
            <w:tcW w:w="8221" w:type="dxa"/>
          </w:tcPr>
          <w:p w14:paraId="661EF270" w14:textId="77777777" w:rsidR="00D4587B" w:rsidRPr="00267176" w:rsidRDefault="00D4587B" w:rsidP="00AF025D">
            <w:pPr>
              <w:pStyle w:val="Heading1"/>
              <w:spacing w:before="360" w:after="200"/>
              <w:jc w:val="both"/>
              <w:rPr>
                <w:rFonts w:ascii="Times New Roman" w:hAnsi="Times New Roman" w:cs="Times New Roman"/>
                <w:color w:val="000000" w:themeColor="text1"/>
                <w:sz w:val="24"/>
                <w:szCs w:val="24"/>
              </w:rPr>
            </w:pPr>
            <w:r w:rsidRPr="00267176">
              <w:rPr>
                <w:rFonts w:ascii="Times New Roman" w:hAnsi="Times New Roman" w:cs="Times New Roman"/>
                <w:color w:val="000000" w:themeColor="text1"/>
                <w:sz w:val="24"/>
                <w:szCs w:val="24"/>
              </w:rPr>
              <w:t>Facts of the case</w:t>
            </w:r>
          </w:p>
        </w:tc>
      </w:tr>
      <w:tr w:rsidR="00D4587B" w14:paraId="3A22E708" w14:textId="77777777" w:rsidTr="00AF025D">
        <w:tc>
          <w:tcPr>
            <w:tcW w:w="1129" w:type="dxa"/>
          </w:tcPr>
          <w:p w14:paraId="72D24716" w14:textId="77777777" w:rsidR="00D4587B" w:rsidRPr="00267176" w:rsidRDefault="00D4587B" w:rsidP="00AF025D">
            <w:pPr>
              <w:pStyle w:val="Heading1"/>
              <w:spacing w:before="360" w:after="200"/>
              <w:jc w:val="both"/>
              <w:rPr>
                <w:rFonts w:ascii="Times New Roman" w:hAnsi="Times New Roman" w:cs="Times New Roman"/>
                <w:color w:val="000000" w:themeColor="text1"/>
                <w:sz w:val="24"/>
                <w:szCs w:val="24"/>
              </w:rPr>
            </w:pPr>
            <w:r w:rsidRPr="00267176">
              <w:rPr>
                <w:rFonts w:ascii="Times New Roman" w:hAnsi="Times New Roman" w:cs="Times New Roman"/>
                <w:color w:val="000000" w:themeColor="text1"/>
                <w:sz w:val="24"/>
                <w:szCs w:val="24"/>
              </w:rPr>
              <w:t>3</w:t>
            </w:r>
          </w:p>
        </w:tc>
        <w:tc>
          <w:tcPr>
            <w:tcW w:w="8221" w:type="dxa"/>
          </w:tcPr>
          <w:p w14:paraId="07FE1972" w14:textId="77777777" w:rsidR="00D4587B" w:rsidRPr="00267176" w:rsidRDefault="00D4587B" w:rsidP="00AF025D">
            <w:pPr>
              <w:pStyle w:val="Heading1"/>
              <w:spacing w:before="360" w:after="200"/>
              <w:jc w:val="both"/>
              <w:rPr>
                <w:rFonts w:ascii="Times New Roman" w:hAnsi="Times New Roman" w:cs="Times New Roman"/>
                <w:color w:val="000000" w:themeColor="text1"/>
                <w:sz w:val="24"/>
                <w:szCs w:val="24"/>
              </w:rPr>
            </w:pPr>
            <w:r w:rsidRPr="00267176">
              <w:rPr>
                <w:rFonts w:ascii="Times New Roman" w:hAnsi="Times New Roman" w:cs="Times New Roman"/>
                <w:color w:val="000000" w:themeColor="text1"/>
                <w:sz w:val="24"/>
                <w:szCs w:val="24"/>
              </w:rPr>
              <w:t>Legal Issue</w:t>
            </w:r>
          </w:p>
        </w:tc>
      </w:tr>
      <w:tr w:rsidR="00D4587B" w14:paraId="5B7FE9CA" w14:textId="77777777" w:rsidTr="00AF025D">
        <w:tc>
          <w:tcPr>
            <w:tcW w:w="1129" w:type="dxa"/>
          </w:tcPr>
          <w:p w14:paraId="6805F5B8" w14:textId="77777777" w:rsidR="00D4587B" w:rsidRPr="00267176" w:rsidRDefault="00D4587B" w:rsidP="00AF025D">
            <w:pPr>
              <w:pStyle w:val="Heading1"/>
              <w:spacing w:before="360" w:after="200"/>
              <w:jc w:val="both"/>
              <w:rPr>
                <w:rFonts w:ascii="Times New Roman" w:hAnsi="Times New Roman" w:cs="Times New Roman"/>
                <w:color w:val="000000" w:themeColor="text1"/>
                <w:sz w:val="24"/>
                <w:szCs w:val="24"/>
              </w:rPr>
            </w:pPr>
            <w:r w:rsidRPr="00267176">
              <w:rPr>
                <w:rFonts w:ascii="Times New Roman" w:hAnsi="Times New Roman" w:cs="Times New Roman"/>
                <w:color w:val="000000" w:themeColor="text1"/>
                <w:sz w:val="24"/>
                <w:szCs w:val="24"/>
              </w:rPr>
              <w:t>4</w:t>
            </w:r>
          </w:p>
        </w:tc>
        <w:tc>
          <w:tcPr>
            <w:tcW w:w="8221" w:type="dxa"/>
          </w:tcPr>
          <w:p w14:paraId="47B08F8D" w14:textId="77777777" w:rsidR="00D4587B" w:rsidRPr="00267176" w:rsidRDefault="00D4587B" w:rsidP="00AF025D">
            <w:pPr>
              <w:pStyle w:val="Heading1"/>
              <w:spacing w:before="360" w:after="200"/>
              <w:jc w:val="both"/>
              <w:rPr>
                <w:rFonts w:ascii="Times New Roman" w:hAnsi="Times New Roman" w:cs="Times New Roman"/>
                <w:color w:val="000000" w:themeColor="text1"/>
                <w:sz w:val="24"/>
                <w:szCs w:val="24"/>
              </w:rPr>
            </w:pPr>
            <w:r w:rsidRPr="00267176">
              <w:rPr>
                <w:rFonts w:ascii="Times New Roman" w:hAnsi="Times New Roman" w:cs="Times New Roman"/>
                <w:color w:val="000000" w:themeColor="text1"/>
                <w:sz w:val="24"/>
                <w:szCs w:val="24"/>
              </w:rPr>
              <w:t>Judgement</w:t>
            </w:r>
          </w:p>
        </w:tc>
      </w:tr>
      <w:tr w:rsidR="00D4587B" w14:paraId="4CDB865B" w14:textId="77777777" w:rsidTr="00AF025D">
        <w:tc>
          <w:tcPr>
            <w:tcW w:w="1129" w:type="dxa"/>
          </w:tcPr>
          <w:p w14:paraId="5538D4DB" w14:textId="77777777" w:rsidR="00D4587B" w:rsidRPr="00267176" w:rsidRDefault="00D4587B" w:rsidP="00AF025D">
            <w:pPr>
              <w:pStyle w:val="Heading1"/>
              <w:spacing w:before="360" w:after="200"/>
              <w:jc w:val="both"/>
              <w:rPr>
                <w:rFonts w:ascii="Times New Roman" w:hAnsi="Times New Roman" w:cs="Times New Roman"/>
                <w:color w:val="000000" w:themeColor="text1"/>
                <w:sz w:val="24"/>
                <w:szCs w:val="24"/>
              </w:rPr>
            </w:pPr>
            <w:r w:rsidRPr="00267176">
              <w:rPr>
                <w:rFonts w:ascii="Times New Roman" w:hAnsi="Times New Roman" w:cs="Times New Roman"/>
                <w:color w:val="000000" w:themeColor="text1"/>
                <w:sz w:val="24"/>
                <w:szCs w:val="24"/>
              </w:rPr>
              <w:t>5</w:t>
            </w:r>
          </w:p>
        </w:tc>
        <w:tc>
          <w:tcPr>
            <w:tcW w:w="8221" w:type="dxa"/>
          </w:tcPr>
          <w:p w14:paraId="004AB3AC" w14:textId="77777777" w:rsidR="00D4587B" w:rsidRPr="00267176" w:rsidRDefault="00D4587B" w:rsidP="00AF025D">
            <w:pPr>
              <w:pStyle w:val="Heading1"/>
              <w:spacing w:before="360" w:after="200"/>
              <w:jc w:val="both"/>
              <w:rPr>
                <w:rFonts w:ascii="Times New Roman" w:hAnsi="Times New Roman" w:cs="Times New Roman"/>
                <w:color w:val="000000" w:themeColor="text1"/>
                <w:sz w:val="24"/>
                <w:szCs w:val="24"/>
              </w:rPr>
            </w:pPr>
            <w:r w:rsidRPr="00267176">
              <w:rPr>
                <w:rFonts w:ascii="Times New Roman" w:hAnsi="Times New Roman" w:cs="Times New Roman"/>
                <w:color w:val="000000" w:themeColor="text1"/>
                <w:sz w:val="24"/>
                <w:szCs w:val="24"/>
              </w:rPr>
              <w:t>Legal Principle: Contract Formation Analysis</w:t>
            </w:r>
          </w:p>
        </w:tc>
      </w:tr>
      <w:tr w:rsidR="00D4587B" w14:paraId="1597662D" w14:textId="77777777" w:rsidTr="00AF025D">
        <w:tc>
          <w:tcPr>
            <w:tcW w:w="1129" w:type="dxa"/>
          </w:tcPr>
          <w:p w14:paraId="1CBE25BB" w14:textId="77777777" w:rsidR="00D4587B" w:rsidRPr="00267176" w:rsidRDefault="00D4587B" w:rsidP="00AF025D">
            <w:pPr>
              <w:pStyle w:val="Heading1"/>
              <w:spacing w:before="360" w:after="200"/>
              <w:jc w:val="both"/>
              <w:rPr>
                <w:rFonts w:ascii="Times New Roman" w:hAnsi="Times New Roman" w:cs="Times New Roman"/>
                <w:color w:val="000000" w:themeColor="text1"/>
                <w:sz w:val="24"/>
                <w:szCs w:val="24"/>
              </w:rPr>
            </w:pPr>
            <w:r w:rsidRPr="00267176">
              <w:rPr>
                <w:rFonts w:ascii="Times New Roman" w:hAnsi="Times New Roman" w:cs="Times New Roman"/>
                <w:color w:val="000000" w:themeColor="text1"/>
                <w:sz w:val="24"/>
                <w:szCs w:val="24"/>
              </w:rPr>
              <w:t>6</w:t>
            </w:r>
          </w:p>
        </w:tc>
        <w:tc>
          <w:tcPr>
            <w:tcW w:w="8221" w:type="dxa"/>
          </w:tcPr>
          <w:p w14:paraId="45BA4289" w14:textId="77777777" w:rsidR="00D4587B" w:rsidRPr="00267176" w:rsidRDefault="00D4587B" w:rsidP="00AF025D">
            <w:pPr>
              <w:pStyle w:val="Heading1"/>
              <w:spacing w:before="360" w:after="200"/>
              <w:jc w:val="both"/>
              <w:rPr>
                <w:rFonts w:ascii="Times New Roman" w:hAnsi="Times New Roman" w:cs="Times New Roman"/>
                <w:color w:val="000000" w:themeColor="text1"/>
                <w:sz w:val="24"/>
                <w:szCs w:val="24"/>
              </w:rPr>
            </w:pPr>
            <w:r w:rsidRPr="00267176">
              <w:rPr>
                <w:rFonts w:ascii="Times New Roman" w:hAnsi="Times New Roman" w:cs="Times New Roman"/>
                <w:color w:val="000000" w:themeColor="text1"/>
                <w:sz w:val="24"/>
                <w:szCs w:val="24"/>
              </w:rPr>
              <w:t>Business Relevance</w:t>
            </w:r>
          </w:p>
        </w:tc>
      </w:tr>
      <w:tr w:rsidR="00D4587B" w14:paraId="24501264" w14:textId="77777777" w:rsidTr="00AF025D">
        <w:tc>
          <w:tcPr>
            <w:tcW w:w="1129" w:type="dxa"/>
          </w:tcPr>
          <w:p w14:paraId="6C378F1B" w14:textId="77777777" w:rsidR="00D4587B" w:rsidRPr="00267176" w:rsidRDefault="00D4587B" w:rsidP="00AF025D">
            <w:pPr>
              <w:pStyle w:val="Heading1"/>
              <w:spacing w:before="360" w:after="200"/>
              <w:jc w:val="both"/>
              <w:rPr>
                <w:rFonts w:ascii="Times New Roman" w:hAnsi="Times New Roman" w:cs="Times New Roman"/>
                <w:color w:val="000000" w:themeColor="text1"/>
                <w:sz w:val="24"/>
                <w:szCs w:val="24"/>
              </w:rPr>
            </w:pPr>
            <w:r w:rsidRPr="00267176">
              <w:rPr>
                <w:rFonts w:ascii="Times New Roman" w:hAnsi="Times New Roman" w:cs="Times New Roman"/>
                <w:color w:val="000000" w:themeColor="text1"/>
                <w:sz w:val="24"/>
                <w:szCs w:val="24"/>
              </w:rPr>
              <w:t>7</w:t>
            </w:r>
          </w:p>
        </w:tc>
        <w:tc>
          <w:tcPr>
            <w:tcW w:w="8221" w:type="dxa"/>
          </w:tcPr>
          <w:p w14:paraId="2A79F8F2" w14:textId="77777777" w:rsidR="00D4587B" w:rsidRPr="00267176" w:rsidRDefault="00D4587B" w:rsidP="00AF025D">
            <w:pPr>
              <w:pStyle w:val="Heading1"/>
              <w:spacing w:before="360" w:after="200"/>
              <w:jc w:val="both"/>
              <w:rPr>
                <w:rFonts w:ascii="Times New Roman" w:hAnsi="Times New Roman" w:cs="Times New Roman"/>
                <w:color w:val="000000" w:themeColor="text1"/>
                <w:sz w:val="24"/>
                <w:szCs w:val="24"/>
              </w:rPr>
            </w:pPr>
            <w:r w:rsidRPr="00267176">
              <w:rPr>
                <w:rFonts w:ascii="Times New Roman" w:hAnsi="Times New Roman" w:cs="Times New Roman"/>
                <w:color w:val="000000" w:themeColor="text1"/>
                <w:sz w:val="24"/>
                <w:szCs w:val="24"/>
              </w:rPr>
              <w:t>Conclusion</w:t>
            </w:r>
          </w:p>
        </w:tc>
      </w:tr>
    </w:tbl>
    <w:p w14:paraId="06030279" w14:textId="77777777" w:rsidR="00C30CE6" w:rsidRPr="00F6743D" w:rsidRDefault="00C30CE6">
      <w:pPr>
        <w:rPr>
          <w:rFonts w:ascii="Times New Roman" w:hAnsi="Times New Roman" w:cs="Times New Roman"/>
          <w:color w:val="000000" w:themeColor="text1"/>
          <w:sz w:val="24"/>
          <w:szCs w:val="24"/>
        </w:rPr>
        <w:sectPr w:rsidR="00C30CE6" w:rsidRPr="00F6743D">
          <w:pgSz w:w="12240" w:h="15840"/>
          <w:pgMar w:top="1440" w:right="1440" w:bottom="1440" w:left="1440" w:header="708" w:footer="708" w:gutter="0"/>
          <w:cols w:space="720"/>
          <w:docGrid w:linePitch="360"/>
        </w:sectPr>
      </w:pPr>
    </w:p>
    <w:p w14:paraId="3C82937B" w14:textId="77777777" w:rsidR="00B26D1F" w:rsidRPr="00F6743D" w:rsidRDefault="00000000">
      <w:pPr>
        <w:pStyle w:val="Heading1"/>
        <w:pBdr>
          <w:bottom w:val="single" w:sz="6" w:space="4" w:color="1F3864"/>
        </w:pBdr>
        <w:spacing w:before="360" w:after="200"/>
        <w:rPr>
          <w:rFonts w:ascii="Times New Roman" w:hAnsi="Times New Roman" w:cs="Times New Roman"/>
          <w:color w:val="000000" w:themeColor="text1"/>
          <w:sz w:val="24"/>
          <w:szCs w:val="24"/>
        </w:rPr>
      </w:pPr>
      <w:r w:rsidRPr="00F6743D">
        <w:rPr>
          <w:rFonts w:ascii="Times New Roman" w:hAnsi="Times New Roman" w:cs="Times New Roman"/>
          <w:b/>
          <w:bCs/>
          <w:color w:val="000000" w:themeColor="text1"/>
          <w:sz w:val="24"/>
          <w:szCs w:val="24"/>
        </w:rPr>
        <w:lastRenderedPageBreak/>
        <w:t>1. Introduction</w:t>
      </w:r>
    </w:p>
    <w:p w14:paraId="7860A002" w14:textId="77777777" w:rsidR="00B26D1F" w:rsidRPr="00F6743D" w:rsidRDefault="00000000">
      <w:pPr>
        <w:pStyle w:val="Heading2"/>
        <w:spacing w:before="280" w:after="140"/>
        <w:rPr>
          <w:rFonts w:ascii="Times New Roman" w:hAnsi="Times New Roman" w:cs="Times New Roman"/>
          <w:color w:val="000000" w:themeColor="text1"/>
          <w:sz w:val="24"/>
          <w:szCs w:val="24"/>
        </w:rPr>
      </w:pPr>
      <w:r w:rsidRPr="00F6743D">
        <w:rPr>
          <w:rFonts w:ascii="Times New Roman" w:hAnsi="Times New Roman" w:cs="Times New Roman"/>
          <w:b/>
          <w:bCs/>
          <w:color w:val="000000" w:themeColor="text1"/>
          <w:sz w:val="24"/>
          <w:szCs w:val="24"/>
        </w:rPr>
        <w:t>1.1 Case Citation &amp; Jurisdiction</w:t>
      </w:r>
    </w:p>
    <w:p w14:paraId="2DE77420" w14:textId="77777777" w:rsidR="00B26D1F" w:rsidRPr="00F6743D" w:rsidRDefault="00000000">
      <w:pPr>
        <w:spacing w:after="180" w:line="300" w:lineRule="auto"/>
        <w:jc w:val="both"/>
        <w:rPr>
          <w:rFonts w:ascii="Times New Roman" w:hAnsi="Times New Roman" w:cs="Times New Roman"/>
          <w:color w:val="000000" w:themeColor="text1"/>
          <w:sz w:val="24"/>
          <w:szCs w:val="24"/>
        </w:rPr>
      </w:pPr>
      <w:r w:rsidRPr="00F6743D">
        <w:rPr>
          <w:rFonts w:ascii="Times New Roman" w:hAnsi="Times New Roman" w:cs="Times New Roman"/>
          <w:color w:val="000000" w:themeColor="text1"/>
          <w:sz w:val="24"/>
          <w:szCs w:val="24"/>
        </w:rPr>
        <w:t xml:space="preserve">Case Name: </w:t>
      </w:r>
      <w:proofErr w:type="spellStart"/>
      <w:r w:rsidRPr="00F6743D">
        <w:rPr>
          <w:rFonts w:ascii="Times New Roman" w:hAnsi="Times New Roman" w:cs="Times New Roman"/>
          <w:color w:val="000000" w:themeColor="text1"/>
          <w:sz w:val="24"/>
          <w:szCs w:val="24"/>
        </w:rPr>
        <w:t>Mohori</w:t>
      </w:r>
      <w:proofErr w:type="spellEnd"/>
      <w:r w:rsidRPr="00F6743D">
        <w:rPr>
          <w:rFonts w:ascii="Times New Roman" w:hAnsi="Times New Roman" w:cs="Times New Roman"/>
          <w:color w:val="000000" w:themeColor="text1"/>
          <w:sz w:val="24"/>
          <w:szCs w:val="24"/>
        </w:rPr>
        <w:t xml:space="preserve"> Bibee v. </w:t>
      </w:r>
      <w:proofErr w:type="spellStart"/>
      <w:r w:rsidRPr="00F6743D">
        <w:rPr>
          <w:rFonts w:ascii="Times New Roman" w:hAnsi="Times New Roman" w:cs="Times New Roman"/>
          <w:color w:val="000000" w:themeColor="text1"/>
          <w:sz w:val="24"/>
          <w:szCs w:val="24"/>
        </w:rPr>
        <w:t>Dharmodas</w:t>
      </w:r>
      <w:proofErr w:type="spellEnd"/>
      <w:r w:rsidRPr="00F6743D">
        <w:rPr>
          <w:rFonts w:ascii="Times New Roman" w:hAnsi="Times New Roman" w:cs="Times New Roman"/>
          <w:color w:val="000000" w:themeColor="text1"/>
          <w:sz w:val="24"/>
          <w:szCs w:val="24"/>
        </w:rPr>
        <w:t xml:space="preserve"> Ghose</w:t>
      </w:r>
    </w:p>
    <w:p w14:paraId="235EABCB" w14:textId="77777777" w:rsidR="00B26D1F" w:rsidRPr="00F6743D" w:rsidRDefault="00000000">
      <w:pPr>
        <w:spacing w:after="180" w:line="300" w:lineRule="auto"/>
        <w:jc w:val="both"/>
        <w:rPr>
          <w:rFonts w:ascii="Times New Roman" w:hAnsi="Times New Roman" w:cs="Times New Roman"/>
          <w:color w:val="000000" w:themeColor="text1"/>
          <w:sz w:val="24"/>
          <w:szCs w:val="24"/>
        </w:rPr>
      </w:pPr>
      <w:r w:rsidRPr="00F6743D">
        <w:rPr>
          <w:rFonts w:ascii="Times New Roman" w:hAnsi="Times New Roman" w:cs="Times New Roman"/>
          <w:color w:val="000000" w:themeColor="text1"/>
          <w:sz w:val="24"/>
          <w:szCs w:val="24"/>
        </w:rPr>
        <w:t>Citation: (1903) ILR 30 Cal 539 (PC).</w:t>
      </w:r>
    </w:p>
    <w:p w14:paraId="01F15F1F" w14:textId="77777777" w:rsidR="00B26D1F" w:rsidRPr="00F6743D" w:rsidRDefault="00000000">
      <w:pPr>
        <w:spacing w:after="180" w:line="300" w:lineRule="auto"/>
        <w:jc w:val="both"/>
        <w:rPr>
          <w:rFonts w:ascii="Times New Roman" w:hAnsi="Times New Roman" w:cs="Times New Roman"/>
          <w:color w:val="000000" w:themeColor="text1"/>
          <w:sz w:val="24"/>
          <w:szCs w:val="24"/>
        </w:rPr>
      </w:pPr>
      <w:r w:rsidRPr="00F6743D">
        <w:rPr>
          <w:rFonts w:ascii="Times New Roman" w:hAnsi="Times New Roman" w:cs="Times New Roman"/>
          <w:color w:val="000000" w:themeColor="text1"/>
          <w:sz w:val="24"/>
          <w:szCs w:val="24"/>
        </w:rPr>
        <w:t>Court: Privy Council, London (at the time, the highest court of appeal for cases arising in British India).</w:t>
      </w:r>
    </w:p>
    <w:p w14:paraId="23DAC99B" w14:textId="77777777" w:rsidR="00B26D1F" w:rsidRPr="00F6743D" w:rsidRDefault="00000000">
      <w:pPr>
        <w:spacing w:after="180" w:line="300" w:lineRule="auto"/>
        <w:jc w:val="both"/>
        <w:rPr>
          <w:rFonts w:ascii="Times New Roman" w:hAnsi="Times New Roman" w:cs="Times New Roman"/>
          <w:color w:val="000000" w:themeColor="text1"/>
          <w:sz w:val="24"/>
          <w:szCs w:val="24"/>
        </w:rPr>
      </w:pPr>
      <w:r w:rsidRPr="00F6743D">
        <w:rPr>
          <w:rFonts w:ascii="Times New Roman" w:hAnsi="Times New Roman" w:cs="Times New Roman"/>
          <w:color w:val="000000" w:themeColor="text1"/>
          <w:sz w:val="24"/>
          <w:szCs w:val="24"/>
        </w:rPr>
        <w:t>Relevant Legislation: Section 11 of the Indian Contract Act, 1872.</w:t>
      </w:r>
    </w:p>
    <w:p w14:paraId="1B7512A2" w14:textId="77777777" w:rsidR="00B26D1F" w:rsidRPr="00F6743D" w:rsidRDefault="00000000">
      <w:pPr>
        <w:spacing w:after="180" w:line="300" w:lineRule="auto"/>
        <w:jc w:val="both"/>
        <w:rPr>
          <w:rFonts w:ascii="Times New Roman" w:hAnsi="Times New Roman" w:cs="Times New Roman"/>
          <w:color w:val="000000" w:themeColor="text1"/>
          <w:sz w:val="24"/>
          <w:szCs w:val="24"/>
        </w:rPr>
      </w:pPr>
      <w:r w:rsidRPr="00F6743D">
        <w:rPr>
          <w:rFonts w:ascii="Times New Roman" w:hAnsi="Times New Roman" w:cs="Times New Roman"/>
          <w:color w:val="000000" w:themeColor="text1"/>
          <w:sz w:val="24"/>
          <w:szCs w:val="24"/>
        </w:rPr>
        <w:t>Year of Judgment: 1903.</w:t>
      </w:r>
    </w:p>
    <w:p w14:paraId="75589ABA" w14:textId="77777777" w:rsidR="00B26D1F" w:rsidRPr="00F6743D" w:rsidRDefault="00000000">
      <w:pPr>
        <w:pStyle w:val="Heading2"/>
        <w:spacing w:before="280" w:after="140"/>
        <w:rPr>
          <w:rFonts w:ascii="Times New Roman" w:hAnsi="Times New Roman" w:cs="Times New Roman"/>
          <w:color w:val="000000" w:themeColor="text1"/>
          <w:sz w:val="24"/>
          <w:szCs w:val="24"/>
        </w:rPr>
      </w:pPr>
      <w:r w:rsidRPr="00F6743D">
        <w:rPr>
          <w:rFonts w:ascii="Times New Roman" w:hAnsi="Times New Roman" w:cs="Times New Roman"/>
          <w:b/>
          <w:bCs/>
          <w:color w:val="000000" w:themeColor="text1"/>
          <w:sz w:val="24"/>
          <w:szCs w:val="24"/>
        </w:rPr>
        <w:t>1.2 Brief Introduction to the Case</w:t>
      </w:r>
    </w:p>
    <w:p w14:paraId="6334D584" w14:textId="77777777" w:rsidR="00B26D1F" w:rsidRPr="00F6743D" w:rsidRDefault="00000000">
      <w:pPr>
        <w:spacing w:after="180" w:line="300" w:lineRule="auto"/>
        <w:jc w:val="both"/>
        <w:rPr>
          <w:rFonts w:ascii="Times New Roman" w:hAnsi="Times New Roman" w:cs="Times New Roman"/>
          <w:color w:val="000000" w:themeColor="text1"/>
          <w:sz w:val="24"/>
          <w:szCs w:val="24"/>
        </w:rPr>
      </w:pPr>
      <w:proofErr w:type="spellStart"/>
      <w:r w:rsidRPr="00F6743D">
        <w:rPr>
          <w:rFonts w:ascii="Times New Roman" w:hAnsi="Times New Roman" w:cs="Times New Roman"/>
          <w:color w:val="000000" w:themeColor="text1"/>
          <w:sz w:val="24"/>
          <w:szCs w:val="24"/>
        </w:rPr>
        <w:t>Mohori</w:t>
      </w:r>
      <w:proofErr w:type="spellEnd"/>
      <w:r w:rsidRPr="00F6743D">
        <w:rPr>
          <w:rFonts w:ascii="Times New Roman" w:hAnsi="Times New Roman" w:cs="Times New Roman"/>
          <w:color w:val="000000" w:themeColor="text1"/>
          <w:sz w:val="24"/>
          <w:szCs w:val="24"/>
        </w:rPr>
        <w:t xml:space="preserve"> Bibee v. </w:t>
      </w:r>
      <w:proofErr w:type="spellStart"/>
      <w:r w:rsidRPr="00F6743D">
        <w:rPr>
          <w:rFonts w:ascii="Times New Roman" w:hAnsi="Times New Roman" w:cs="Times New Roman"/>
          <w:color w:val="000000" w:themeColor="text1"/>
          <w:sz w:val="24"/>
          <w:szCs w:val="24"/>
        </w:rPr>
        <w:t>Dharmodas</w:t>
      </w:r>
      <w:proofErr w:type="spellEnd"/>
      <w:r w:rsidRPr="00F6743D">
        <w:rPr>
          <w:rFonts w:ascii="Times New Roman" w:hAnsi="Times New Roman" w:cs="Times New Roman"/>
          <w:color w:val="000000" w:themeColor="text1"/>
          <w:sz w:val="24"/>
          <w:szCs w:val="24"/>
        </w:rPr>
        <w:t xml:space="preserve"> Ghose is the most important Indian case on the question of whether a minor, a person below the legal age of majority, can enter into a valid and enforceable contract. The dispute arose when </w:t>
      </w:r>
      <w:proofErr w:type="spellStart"/>
      <w:r w:rsidRPr="00F6743D">
        <w:rPr>
          <w:rFonts w:ascii="Times New Roman" w:hAnsi="Times New Roman" w:cs="Times New Roman"/>
          <w:color w:val="000000" w:themeColor="text1"/>
          <w:sz w:val="24"/>
          <w:szCs w:val="24"/>
        </w:rPr>
        <w:t>Dharmodas</w:t>
      </w:r>
      <w:proofErr w:type="spellEnd"/>
      <w:r w:rsidRPr="00F6743D">
        <w:rPr>
          <w:rFonts w:ascii="Times New Roman" w:hAnsi="Times New Roman" w:cs="Times New Roman"/>
          <w:color w:val="000000" w:themeColor="text1"/>
          <w:sz w:val="24"/>
          <w:szCs w:val="24"/>
        </w:rPr>
        <w:t xml:space="preserve"> Ghose, who was still a minor, mortgaged his own property to a moneylender named Brahmo Dutt in order to secure a loan. What made the case especially significant was that the moneylender's own agent had been clearly informed, before the transaction, that </w:t>
      </w:r>
      <w:proofErr w:type="spellStart"/>
      <w:r w:rsidRPr="00F6743D">
        <w:rPr>
          <w:rFonts w:ascii="Times New Roman" w:hAnsi="Times New Roman" w:cs="Times New Roman"/>
          <w:color w:val="000000" w:themeColor="text1"/>
          <w:sz w:val="24"/>
          <w:szCs w:val="24"/>
        </w:rPr>
        <w:t>Dharmodas</w:t>
      </w:r>
      <w:proofErr w:type="spellEnd"/>
      <w:r w:rsidRPr="00F6743D">
        <w:rPr>
          <w:rFonts w:ascii="Times New Roman" w:hAnsi="Times New Roman" w:cs="Times New Roman"/>
          <w:color w:val="000000" w:themeColor="text1"/>
          <w:sz w:val="24"/>
          <w:szCs w:val="24"/>
        </w:rPr>
        <w:t xml:space="preserve"> was a minor, and yet the loan was advanced and the mortgage deed was signed anyway. When the moneylender later tried to enforce the mortgage and recover the money, </w:t>
      </w:r>
      <w:proofErr w:type="spellStart"/>
      <w:r w:rsidRPr="00F6743D">
        <w:rPr>
          <w:rFonts w:ascii="Times New Roman" w:hAnsi="Times New Roman" w:cs="Times New Roman"/>
          <w:color w:val="000000" w:themeColor="text1"/>
          <w:sz w:val="24"/>
          <w:szCs w:val="24"/>
        </w:rPr>
        <w:t>Dharmodas</w:t>
      </w:r>
      <w:proofErr w:type="spellEnd"/>
      <w:r w:rsidRPr="00F6743D">
        <w:rPr>
          <w:rFonts w:ascii="Times New Roman" w:hAnsi="Times New Roman" w:cs="Times New Roman"/>
          <w:color w:val="000000" w:themeColor="text1"/>
          <w:sz w:val="24"/>
          <w:szCs w:val="24"/>
        </w:rPr>
        <w:t>, through his mother acting as his guardian, went to court to have the mortgage declared void. The Privy Council's decision in this case settled, once and for all, that agreements made by minors in India are void from the very beginning, and it continues to be the leading authority on capacity to contract under the Indian Contract Act, 1872.</w:t>
      </w:r>
    </w:p>
    <w:p w14:paraId="7CF02435" w14:textId="77777777" w:rsidR="00B26D1F" w:rsidRPr="00F6743D" w:rsidRDefault="00000000">
      <w:pPr>
        <w:pStyle w:val="Heading1"/>
        <w:pBdr>
          <w:bottom w:val="single" w:sz="6" w:space="4" w:color="1F3864"/>
        </w:pBdr>
        <w:spacing w:before="360" w:after="200"/>
        <w:rPr>
          <w:rFonts w:ascii="Times New Roman" w:hAnsi="Times New Roman" w:cs="Times New Roman"/>
          <w:color w:val="000000" w:themeColor="text1"/>
          <w:sz w:val="24"/>
          <w:szCs w:val="24"/>
        </w:rPr>
      </w:pPr>
      <w:r w:rsidRPr="00F6743D">
        <w:rPr>
          <w:rFonts w:ascii="Times New Roman" w:hAnsi="Times New Roman" w:cs="Times New Roman"/>
          <w:b/>
          <w:bCs/>
          <w:color w:val="000000" w:themeColor="text1"/>
          <w:sz w:val="24"/>
          <w:szCs w:val="24"/>
        </w:rPr>
        <w:t>2. Facts of the Case</w:t>
      </w:r>
    </w:p>
    <w:p w14:paraId="23A9FDBE" w14:textId="77777777" w:rsidR="00B26D1F" w:rsidRPr="00F6743D" w:rsidRDefault="00000000">
      <w:pPr>
        <w:pStyle w:val="Heading2"/>
        <w:spacing w:before="280" w:after="140"/>
        <w:rPr>
          <w:rFonts w:ascii="Times New Roman" w:hAnsi="Times New Roman" w:cs="Times New Roman"/>
          <w:color w:val="000000" w:themeColor="text1"/>
          <w:sz w:val="24"/>
          <w:szCs w:val="24"/>
        </w:rPr>
      </w:pPr>
      <w:r w:rsidRPr="00F6743D">
        <w:rPr>
          <w:rFonts w:ascii="Times New Roman" w:hAnsi="Times New Roman" w:cs="Times New Roman"/>
          <w:b/>
          <w:bCs/>
          <w:color w:val="000000" w:themeColor="text1"/>
          <w:sz w:val="24"/>
          <w:szCs w:val="24"/>
        </w:rPr>
        <w:t>2.1 Chronological Summary of Events</w:t>
      </w:r>
    </w:p>
    <w:p w14:paraId="4B78187F" w14:textId="77777777" w:rsidR="00B26D1F" w:rsidRPr="00F6743D" w:rsidRDefault="00000000">
      <w:pPr>
        <w:pStyle w:val="ListParagraph"/>
        <w:numPr>
          <w:ilvl w:val="0"/>
          <w:numId w:val="1"/>
        </w:numPr>
        <w:spacing w:after="100" w:line="300" w:lineRule="auto"/>
        <w:rPr>
          <w:rFonts w:ascii="Times New Roman" w:hAnsi="Times New Roman" w:cs="Times New Roman"/>
          <w:color w:val="000000" w:themeColor="text1"/>
          <w:sz w:val="24"/>
          <w:szCs w:val="24"/>
        </w:rPr>
      </w:pPr>
      <w:r w:rsidRPr="00F6743D">
        <w:rPr>
          <w:rFonts w:ascii="Times New Roman" w:hAnsi="Times New Roman" w:cs="Times New Roman"/>
          <w:color w:val="000000" w:themeColor="text1"/>
          <w:sz w:val="24"/>
          <w:szCs w:val="24"/>
        </w:rPr>
        <w:t xml:space="preserve">1895: </w:t>
      </w:r>
      <w:proofErr w:type="spellStart"/>
      <w:r w:rsidRPr="00F6743D">
        <w:rPr>
          <w:rFonts w:ascii="Times New Roman" w:hAnsi="Times New Roman" w:cs="Times New Roman"/>
          <w:color w:val="000000" w:themeColor="text1"/>
          <w:sz w:val="24"/>
          <w:szCs w:val="24"/>
        </w:rPr>
        <w:t>Dharmodas</w:t>
      </w:r>
      <w:proofErr w:type="spellEnd"/>
      <w:r w:rsidRPr="00F6743D">
        <w:rPr>
          <w:rFonts w:ascii="Times New Roman" w:hAnsi="Times New Roman" w:cs="Times New Roman"/>
          <w:color w:val="000000" w:themeColor="text1"/>
          <w:sz w:val="24"/>
          <w:szCs w:val="24"/>
        </w:rPr>
        <w:t xml:space="preserve"> Ghose, a minor at the time, wished to mortgage a house belonging to him in order to raise a loan.</w:t>
      </w:r>
    </w:p>
    <w:p w14:paraId="59509BFF" w14:textId="77777777" w:rsidR="00B26D1F" w:rsidRPr="00F6743D" w:rsidRDefault="00000000">
      <w:pPr>
        <w:pStyle w:val="ListParagraph"/>
        <w:numPr>
          <w:ilvl w:val="0"/>
          <w:numId w:val="1"/>
        </w:numPr>
        <w:spacing w:after="100" w:line="300" w:lineRule="auto"/>
        <w:rPr>
          <w:rFonts w:ascii="Times New Roman" w:hAnsi="Times New Roman" w:cs="Times New Roman"/>
          <w:color w:val="000000" w:themeColor="text1"/>
          <w:sz w:val="24"/>
          <w:szCs w:val="24"/>
        </w:rPr>
      </w:pPr>
      <w:r w:rsidRPr="00F6743D">
        <w:rPr>
          <w:rFonts w:ascii="Times New Roman" w:hAnsi="Times New Roman" w:cs="Times New Roman"/>
          <w:color w:val="000000" w:themeColor="text1"/>
          <w:sz w:val="24"/>
          <w:szCs w:val="24"/>
        </w:rPr>
        <w:t>Brahmo Dutt, a moneylender, agreed to advance the loan, acting through his agent, Kedar Nath, who handled the transaction on his behalf.</w:t>
      </w:r>
    </w:p>
    <w:p w14:paraId="047D7A01" w14:textId="77777777" w:rsidR="00B26D1F" w:rsidRPr="00F6743D" w:rsidRDefault="00000000">
      <w:pPr>
        <w:pStyle w:val="ListParagraph"/>
        <w:numPr>
          <w:ilvl w:val="0"/>
          <w:numId w:val="1"/>
        </w:numPr>
        <w:spacing w:after="100" w:line="300" w:lineRule="auto"/>
        <w:rPr>
          <w:rFonts w:ascii="Times New Roman" w:hAnsi="Times New Roman" w:cs="Times New Roman"/>
          <w:color w:val="000000" w:themeColor="text1"/>
          <w:sz w:val="24"/>
          <w:szCs w:val="24"/>
        </w:rPr>
      </w:pPr>
      <w:r w:rsidRPr="00F6743D">
        <w:rPr>
          <w:rFonts w:ascii="Times New Roman" w:hAnsi="Times New Roman" w:cs="Times New Roman"/>
          <w:color w:val="000000" w:themeColor="text1"/>
          <w:sz w:val="24"/>
          <w:szCs w:val="24"/>
        </w:rPr>
        <w:t xml:space="preserve">Before the loan and mortgage deed were finalised, </w:t>
      </w:r>
      <w:proofErr w:type="spellStart"/>
      <w:r w:rsidRPr="00F6743D">
        <w:rPr>
          <w:rFonts w:ascii="Times New Roman" w:hAnsi="Times New Roman" w:cs="Times New Roman"/>
          <w:color w:val="000000" w:themeColor="text1"/>
          <w:sz w:val="24"/>
          <w:szCs w:val="24"/>
        </w:rPr>
        <w:t>Dharmodas</w:t>
      </w:r>
      <w:proofErr w:type="spellEnd"/>
      <w:r w:rsidRPr="00F6743D">
        <w:rPr>
          <w:rFonts w:ascii="Times New Roman" w:hAnsi="Times New Roman" w:cs="Times New Roman"/>
          <w:color w:val="000000" w:themeColor="text1"/>
          <w:sz w:val="24"/>
          <w:szCs w:val="24"/>
        </w:rPr>
        <w:t xml:space="preserve"> Ghose's mother, who was also his legal guardian, sent written notice to Kedar Nath, clearly informing him that her son was still a minor and therefore not competent to enter into such a transaction.</w:t>
      </w:r>
    </w:p>
    <w:p w14:paraId="5CBE2F36" w14:textId="77777777" w:rsidR="00B26D1F" w:rsidRPr="00F6743D" w:rsidRDefault="00000000">
      <w:pPr>
        <w:pStyle w:val="ListParagraph"/>
        <w:numPr>
          <w:ilvl w:val="0"/>
          <w:numId w:val="1"/>
        </w:numPr>
        <w:spacing w:after="100" w:line="300" w:lineRule="auto"/>
        <w:rPr>
          <w:rFonts w:ascii="Times New Roman" w:hAnsi="Times New Roman" w:cs="Times New Roman"/>
          <w:color w:val="000000" w:themeColor="text1"/>
          <w:sz w:val="24"/>
          <w:szCs w:val="24"/>
        </w:rPr>
      </w:pPr>
      <w:r w:rsidRPr="00F6743D">
        <w:rPr>
          <w:rFonts w:ascii="Times New Roman" w:hAnsi="Times New Roman" w:cs="Times New Roman"/>
          <w:color w:val="000000" w:themeColor="text1"/>
          <w:sz w:val="24"/>
          <w:szCs w:val="24"/>
        </w:rPr>
        <w:lastRenderedPageBreak/>
        <w:t xml:space="preserve">Despite receiving this clear notice of minority, Kedar Nath went ahead and completed the transaction, advancing a portion of the loan amount and having </w:t>
      </w:r>
      <w:proofErr w:type="spellStart"/>
      <w:r w:rsidRPr="00F6743D">
        <w:rPr>
          <w:rFonts w:ascii="Times New Roman" w:hAnsi="Times New Roman" w:cs="Times New Roman"/>
          <w:color w:val="000000" w:themeColor="text1"/>
          <w:sz w:val="24"/>
          <w:szCs w:val="24"/>
        </w:rPr>
        <w:t>Dharmodas</w:t>
      </w:r>
      <w:proofErr w:type="spellEnd"/>
      <w:r w:rsidRPr="00F6743D">
        <w:rPr>
          <w:rFonts w:ascii="Times New Roman" w:hAnsi="Times New Roman" w:cs="Times New Roman"/>
          <w:color w:val="000000" w:themeColor="text1"/>
          <w:sz w:val="24"/>
          <w:szCs w:val="24"/>
        </w:rPr>
        <w:t xml:space="preserve"> execute the mortgage deed over his property.</w:t>
      </w:r>
    </w:p>
    <w:p w14:paraId="072602F6" w14:textId="77777777" w:rsidR="00B26D1F" w:rsidRPr="00F6743D" w:rsidRDefault="00000000">
      <w:pPr>
        <w:pStyle w:val="ListParagraph"/>
        <w:numPr>
          <w:ilvl w:val="0"/>
          <w:numId w:val="1"/>
        </w:numPr>
        <w:spacing w:after="100" w:line="300" w:lineRule="auto"/>
        <w:rPr>
          <w:rFonts w:ascii="Times New Roman" w:hAnsi="Times New Roman" w:cs="Times New Roman"/>
          <w:color w:val="000000" w:themeColor="text1"/>
          <w:sz w:val="24"/>
          <w:szCs w:val="24"/>
        </w:rPr>
      </w:pPr>
      <w:r w:rsidRPr="00F6743D">
        <w:rPr>
          <w:rFonts w:ascii="Times New Roman" w:hAnsi="Times New Roman" w:cs="Times New Roman"/>
          <w:color w:val="000000" w:themeColor="text1"/>
          <w:sz w:val="24"/>
          <w:szCs w:val="24"/>
        </w:rPr>
        <w:t xml:space="preserve">After the transaction, and upon realising that the mortgage had been taken from a minor, </w:t>
      </w:r>
      <w:proofErr w:type="spellStart"/>
      <w:r w:rsidRPr="00F6743D">
        <w:rPr>
          <w:rFonts w:ascii="Times New Roman" w:hAnsi="Times New Roman" w:cs="Times New Roman"/>
          <w:color w:val="000000" w:themeColor="text1"/>
          <w:sz w:val="24"/>
          <w:szCs w:val="24"/>
        </w:rPr>
        <w:t>Dharmodas</w:t>
      </w:r>
      <w:proofErr w:type="spellEnd"/>
      <w:r w:rsidRPr="00F6743D">
        <w:rPr>
          <w:rFonts w:ascii="Times New Roman" w:hAnsi="Times New Roman" w:cs="Times New Roman"/>
          <w:color w:val="000000" w:themeColor="text1"/>
          <w:sz w:val="24"/>
          <w:szCs w:val="24"/>
        </w:rPr>
        <w:t xml:space="preserve"> Ghose, acting through his mother as next friend and guardian, filed a suit seeking to have the mortgage deed declared void and unenforceable on the ground of his minority.</w:t>
      </w:r>
    </w:p>
    <w:p w14:paraId="584C50C3" w14:textId="77777777" w:rsidR="00B26D1F" w:rsidRPr="00F6743D" w:rsidRDefault="00000000">
      <w:pPr>
        <w:pStyle w:val="ListParagraph"/>
        <w:numPr>
          <w:ilvl w:val="0"/>
          <w:numId w:val="1"/>
        </w:numPr>
        <w:spacing w:after="100" w:line="300" w:lineRule="auto"/>
        <w:rPr>
          <w:rFonts w:ascii="Times New Roman" w:hAnsi="Times New Roman" w:cs="Times New Roman"/>
          <w:color w:val="000000" w:themeColor="text1"/>
          <w:sz w:val="24"/>
          <w:szCs w:val="24"/>
        </w:rPr>
      </w:pPr>
      <w:r w:rsidRPr="00F6743D">
        <w:rPr>
          <w:rFonts w:ascii="Times New Roman" w:hAnsi="Times New Roman" w:cs="Times New Roman"/>
          <w:color w:val="000000" w:themeColor="text1"/>
          <w:sz w:val="24"/>
          <w:szCs w:val="24"/>
        </w:rPr>
        <w:t>The case travelled through the Indian courts and eventually reached the Privy Council in London, which was, at the time, the final court of appeal for British India.</w:t>
      </w:r>
    </w:p>
    <w:p w14:paraId="02C327EE" w14:textId="77777777" w:rsidR="00B26D1F" w:rsidRPr="00F6743D" w:rsidRDefault="00000000">
      <w:pPr>
        <w:pStyle w:val="ListParagraph"/>
        <w:numPr>
          <w:ilvl w:val="0"/>
          <w:numId w:val="1"/>
        </w:numPr>
        <w:spacing w:after="100" w:line="300" w:lineRule="auto"/>
        <w:rPr>
          <w:rFonts w:ascii="Times New Roman" w:hAnsi="Times New Roman" w:cs="Times New Roman"/>
          <w:color w:val="000000" w:themeColor="text1"/>
          <w:sz w:val="24"/>
          <w:szCs w:val="24"/>
        </w:rPr>
      </w:pPr>
      <w:r w:rsidRPr="00F6743D">
        <w:rPr>
          <w:rFonts w:ascii="Times New Roman" w:hAnsi="Times New Roman" w:cs="Times New Roman"/>
          <w:color w:val="000000" w:themeColor="text1"/>
          <w:sz w:val="24"/>
          <w:szCs w:val="24"/>
        </w:rPr>
        <w:t>The Privy Council delivered its decision in 1903, ruling on the core question of whether a contract entered into by a minor could ever be enforced against him.</w:t>
      </w:r>
    </w:p>
    <w:p w14:paraId="13DF75D5" w14:textId="77777777" w:rsidR="00B26D1F" w:rsidRPr="00F6743D" w:rsidRDefault="00000000">
      <w:pPr>
        <w:pStyle w:val="Heading2"/>
        <w:spacing w:before="280" w:after="140"/>
        <w:rPr>
          <w:rFonts w:ascii="Times New Roman" w:hAnsi="Times New Roman" w:cs="Times New Roman"/>
          <w:color w:val="000000" w:themeColor="text1"/>
          <w:sz w:val="24"/>
          <w:szCs w:val="24"/>
        </w:rPr>
      </w:pPr>
      <w:r w:rsidRPr="00F6743D">
        <w:rPr>
          <w:rFonts w:ascii="Times New Roman" w:hAnsi="Times New Roman" w:cs="Times New Roman"/>
          <w:b/>
          <w:bCs/>
          <w:color w:val="000000" w:themeColor="text1"/>
          <w:sz w:val="24"/>
          <w:szCs w:val="24"/>
        </w:rPr>
        <w:t>2.2 Material Commercial Context</w:t>
      </w:r>
    </w:p>
    <w:p w14:paraId="7EB831D6" w14:textId="77777777" w:rsidR="00B26D1F" w:rsidRPr="00F6743D" w:rsidRDefault="00000000">
      <w:pPr>
        <w:spacing w:after="180" w:line="300" w:lineRule="auto"/>
        <w:jc w:val="both"/>
        <w:rPr>
          <w:rFonts w:ascii="Times New Roman" w:hAnsi="Times New Roman" w:cs="Times New Roman"/>
          <w:color w:val="000000" w:themeColor="text1"/>
          <w:sz w:val="24"/>
          <w:szCs w:val="24"/>
        </w:rPr>
      </w:pPr>
      <w:r w:rsidRPr="00F6743D">
        <w:rPr>
          <w:rFonts w:ascii="Times New Roman" w:hAnsi="Times New Roman" w:cs="Times New Roman"/>
          <w:color w:val="000000" w:themeColor="text1"/>
          <w:sz w:val="24"/>
          <w:szCs w:val="24"/>
        </w:rPr>
        <w:t>The underlying transaction in this case was a secured moneylending arrangement, specifically a mortgage created to secure repayment of a loan. Moneylending against immovable property was a common commercial practice in British India at the time, and such transactions were usually formalised through a mortgage deed that gave the lender a legal claim over the borrower's property if the loan was not repaid. What makes the commercial context here unusual is that the borrower was a minor, and the lender's agent proceeded with full knowledge of this fact. This turns the case from an ordinary loan-recovery dispute into a foundational question about who is legally competent to bind themselves through a contract, and what happens when a lender knowingly transacts with someone who lacks that competence.</w:t>
      </w:r>
    </w:p>
    <w:p w14:paraId="7B5CDE31" w14:textId="77777777" w:rsidR="00B26D1F" w:rsidRPr="00F6743D" w:rsidRDefault="00000000">
      <w:pPr>
        <w:pStyle w:val="Heading1"/>
        <w:pBdr>
          <w:bottom w:val="single" w:sz="6" w:space="4" w:color="1F3864"/>
        </w:pBdr>
        <w:spacing w:before="360" w:after="200"/>
        <w:rPr>
          <w:rFonts w:ascii="Times New Roman" w:hAnsi="Times New Roman" w:cs="Times New Roman"/>
          <w:color w:val="000000" w:themeColor="text1"/>
          <w:sz w:val="24"/>
          <w:szCs w:val="24"/>
        </w:rPr>
      </w:pPr>
      <w:r w:rsidRPr="00F6743D">
        <w:rPr>
          <w:rFonts w:ascii="Times New Roman" w:hAnsi="Times New Roman" w:cs="Times New Roman"/>
          <w:b/>
          <w:bCs/>
          <w:color w:val="000000" w:themeColor="text1"/>
          <w:sz w:val="24"/>
          <w:szCs w:val="24"/>
        </w:rPr>
        <w:t>3. Legal Issue</w:t>
      </w:r>
    </w:p>
    <w:p w14:paraId="34C4FCF5" w14:textId="77777777" w:rsidR="00B26D1F" w:rsidRPr="00F6743D" w:rsidRDefault="00000000">
      <w:pPr>
        <w:pStyle w:val="Heading2"/>
        <w:spacing w:before="280" w:after="140"/>
        <w:rPr>
          <w:rFonts w:ascii="Times New Roman" w:hAnsi="Times New Roman" w:cs="Times New Roman"/>
          <w:color w:val="000000" w:themeColor="text1"/>
          <w:sz w:val="24"/>
          <w:szCs w:val="24"/>
        </w:rPr>
      </w:pPr>
      <w:r w:rsidRPr="00F6743D">
        <w:rPr>
          <w:rFonts w:ascii="Times New Roman" w:hAnsi="Times New Roman" w:cs="Times New Roman"/>
          <w:b/>
          <w:bCs/>
          <w:color w:val="000000" w:themeColor="text1"/>
          <w:sz w:val="24"/>
          <w:szCs w:val="24"/>
        </w:rPr>
        <w:t>3.1 Primary Question of Law</w:t>
      </w:r>
    </w:p>
    <w:p w14:paraId="0428FFED" w14:textId="77777777" w:rsidR="00B26D1F" w:rsidRPr="00F6743D" w:rsidRDefault="00000000">
      <w:pPr>
        <w:spacing w:after="180" w:line="300" w:lineRule="auto"/>
        <w:jc w:val="both"/>
        <w:rPr>
          <w:rFonts w:ascii="Times New Roman" w:hAnsi="Times New Roman" w:cs="Times New Roman"/>
          <w:color w:val="000000" w:themeColor="text1"/>
          <w:sz w:val="24"/>
          <w:szCs w:val="24"/>
        </w:rPr>
      </w:pPr>
      <w:r w:rsidRPr="00F6743D">
        <w:rPr>
          <w:rFonts w:ascii="Times New Roman" w:hAnsi="Times New Roman" w:cs="Times New Roman"/>
          <w:color w:val="000000" w:themeColor="text1"/>
          <w:sz w:val="24"/>
          <w:szCs w:val="24"/>
        </w:rPr>
        <w:t>The primary legal question before the Privy Council was: Whether an agreement entered into by a minor, specifically a mortgage executed to secure a loan, is valid and enforceable in law, or whether it is void from its very inception because the minor lacked the legal capacity to contract.</w:t>
      </w:r>
    </w:p>
    <w:p w14:paraId="33EECE10" w14:textId="77777777" w:rsidR="00B26D1F" w:rsidRPr="00F6743D" w:rsidRDefault="00000000">
      <w:pPr>
        <w:spacing w:after="180" w:line="300" w:lineRule="auto"/>
        <w:jc w:val="both"/>
        <w:rPr>
          <w:rFonts w:ascii="Times New Roman" w:hAnsi="Times New Roman" w:cs="Times New Roman"/>
          <w:color w:val="000000" w:themeColor="text1"/>
          <w:sz w:val="24"/>
          <w:szCs w:val="24"/>
        </w:rPr>
      </w:pPr>
      <w:r w:rsidRPr="00F6743D">
        <w:rPr>
          <w:rFonts w:ascii="Times New Roman" w:hAnsi="Times New Roman" w:cs="Times New Roman"/>
          <w:color w:val="000000" w:themeColor="text1"/>
          <w:sz w:val="24"/>
          <w:szCs w:val="24"/>
        </w:rPr>
        <w:t>This central question can be broken down into a few connected issues that the court had to resolve:</w:t>
      </w:r>
    </w:p>
    <w:p w14:paraId="6B6400AB" w14:textId="77777777" w:rsidR="00B26D1F" w:rsidRPr="00F6743D" w:rsidRDefault="00000000">
      <w:pPr>
        <w:pStyle w:val="ListParagraph"/>
        <w:numPr>
          <w:ilvl w:val="0"/>
          <w:numId w:val="1"/>
        </w:numPr>
        <w:spacing w:after="100" w:line="300" w:lineRule="auto"/>
        <w:rPr>
          <w:rFonts w:ascii="Times New Roman" w:hAnsi="Times New Roman" w:cs="Times New Roman"/>
          <w:color w:val="000000" w:themeColor="text1"/>
          <w:sz w:val="24"/>
          <w:szCs w:val="24"/>
        </w:rPr>
      </w:pPr>
      <w:r w:rsidRPr="00F6743D">
        <w:rPr>
          <w:rFonts w:ascii="Times New Roman" w:hAnsi="Times New Roman" w:cs="Times New Roman"/>
          <w:color w:val="000000" w:themeColor="text1"/>
          <w:sz w:val="24"/>
          <w:szCs w:val="24"/>
        </w:rPr>
        <w:t>Under Section 11 of the Indian Contract Act, 1872, is a minor competent to enter into a contract at all?</w:t>
      </w:r>
    </w:p>
    <w:p w14:paraId="767A9D8C" w14:textId="77777777" w:rsidR="00B26D1F" w:rsidRPr="00F6743D" w:rsidRDefault="00000000">
      <w:pPr>
        <w:pStyle w:val="ListParagraph"/>
        <w:numPr>
          <w:ilvl w:val="0"/>
          <w:numId w:val="1"/>
        </w:numPr>
        <w:spacing w:after="100" w:line="300" w:lineRule="auto"/>
        <w:rPr>
          <w:rFonts w:ascii="Times New Roman" w:hAnsi="Times New Roman" w:cs="Times New Roman"/>
          <w:color w:val="000000" w:themeColor="text1"/>
          <w:sz w:val="24"/>
          <w:szCs w:val="24"/>
        </w:rPr>
      </w:pPr>
      <w:r w:rsidRPr="00F6743D">
        <w:rPr>
          <w:rFonts w:ascii="Times New Roman" w:hAnsi="Times New Roman" w:cs="Times New Roman"/>
          <w:color w:val="000000" w:themeColor="text1"/>
          <w:sz w:val="24"/>
          <w:szCs w:val="24"/>
        </w:rPr>
        <w:t>If a minor's agreement is not valid, can the moneylender nevertheless recover the money he had already advanced under the mortgage?</w:t>
      </w:r>
    </w:p>
    <w:p w14:paraId="58FB06C2" w14:textId="77777777" w:rsidR="00B26D1F" w:rsidRPr="00F6743D" w:rsidRDefault="00000000">
      <w:pPr>
        <w:pStyle w:val="ListParagraph"/>
        <w:numPr>
          <w:ilvl w:val="0"/>
          <w:numId w:val="1"/>
        </w:numPr>
        <w:spacing w:after="100" w:line="300" w:lineRule="auto"/>
        <w:rPr>
          <w:rFonts w:ascii="Times New Roman" w:hAnsi="Times New Roman" w:cs="Times New Roman"/>
          <w:color w:val="000000" w:themeColor="text1"/>
          <w:sz w:val="24"/>
          <w:szCs w:val="24"/>
        </w:rPr>
      </w:pPr>
      <w:r w:rsidRPr="00F6743D">
        <w:rPr>
          <w:rFonts w:ascii="Times New Roman" w:hAnsi="Times New Roman" w:cs="Times New Roman"/>
          <w:color w:val="000000" w:themeColor="text1"/>
          <w:sz w:val="24"/>
          <w:szCs w:val="24"/>
        </w:rPr>
        <w:lastRenderedPageBreak/>
        <w:t>Since the minor (through his guardian) did not personally misrepresent his age to induce the loan, does the doctrine of estoppel prevent him from later denying the validity of the transaction?</w:t>
      </w:r>
    </w:p>
    <w:p w14:paraId="313F26E8" w14:textId="77777777" w:rsidR="00B26D1F" w:rsidRPr="00F6743D" w:rsidRDefault="00000000">
      <w:pPr>
        <w:pStyle w:val="ListParagraph"/>
        <w:numPr>
          <w:ilvl w:val="0"/>
          <w:numId w:val="1"/>
        </w:numPr>
        <w:spacing w:after="100" w:line="300" w:lineRule="auto"/>
        <w:rPr>
          <w:rFonts w:ascii="Times New Roman" w:hAnsi="Times New Roman" w:cs="Times New Roman"/>
          <w:color w:val="000000" w:themeColor="text1"/>
          <w:sz w:val="24"/>
          <w:szCs w:val="24"/>
        </w:rPr>
      </w:pPr>
      <w:r w:rsidRPr="00F6743D">
        <w:rPr>
          <w:rFonts w:ascii="Times New Roman" w:hAnsi="Times New Roman" w:cs="Times New Roman"/>
          <w:color w:val="000000" w:themeColor="text1"/>
          <w:sz w:val="24"/>
          <w:szCs w:val="24"/>
        </w:rPr>
        <w:t>Is a minor bound to return, or make restitution of, any benefit he may have received under an agreement that is later found to be void?</w:t>
      </w:r>
    </w:p>
    <w:p w14:paraId="5EC4515F" w14:textId="77777777" w:rsidR="00B26D1F" w:rsidRPr="00F6743D" w:rsidRDefault="00000000">
      <w:pPr>
        <w:pStyle w:val="Heading2"/>
        <w:spacing w:before="280" w:after="140"/>
        <w:rPr>
          <w:rFonts w:ascii="Times New Roman" w:hAnsi="Times New Roman" w:cs="Times New Roman"/>
          <w:color w:val="000000" w:themeColor="text1"/>
          <w:sz w:val="24"/>
          <w:szCs w:val="24"/>
        </w:rPr>
      </w:pPr>
      <w:r w:rsidRPr="00F6743D">
        <w:rPr>
          <w:rFonts w:ascii="Times New Roman" w:hAnsi="Times New Roman" w:cs="Times New Roman"/>
          <w:b/>
          <w:bCs/>
          <w:color w:val="000000" w:themeColor="text1"/>
          <w:sz w:val="24"/>
          <w:szCs w:val="24"/>
        </w:rPr>
        <w:t>3.2 Points of Contention</w:t>
      </w:r>
    </w:p>
    <w:p w14:paraId="2C72811B" w14:textId="77777777" w:rsidR="00B26D1F" w:rsidRPr="00F6743D" w:rsidRDefault="00000000">
      <w:pPr>
        <w:spacing w:after="180" w:line="300" w:lineRule="auto"/>
        <w:jc w:val="both"/>
        <w:rPr>
          <w:rFonts w:ascii="Times New Roman" w:hAnsi="Times New Roman" w:cs="Times New Roman"/>
          <w:color w:val="000000" w:themeColor="text1"/>
          <w:sz w:val="24"/>
          <w:szCs w:val="24"/>
        </w:rPr>
      </w:pPr>
      <w:r w:rsidRPr="00F6743D">
        <w:rPr>
          <w:rFonts w:ascii="Times New Roman" w:hAnsi="Times New Roman" w:cs="Times New Roman"/>
          <w:b/>
          <w:bCs/>
          <w:color w:val="000000" w:themeColor="text1"/>
          <w:sz w:val="24"/>
          <w:szCs w:val="24"/>
        </w:rPr>
        <w:t xml:space="preserve">Arguments on behalf of </w:t>
      </w:r>
      <w:proofErr w:type="spellStart"/>
      <w:r w:rsidRPr="00F6743D">
        <w:rPr>
          <w:rFonts w:ascii="Times New Roman" w:hAnsi="Times New Roman" w:cs="Times New Roman"/>
          <w:b/>
          <w:bCs/>
          <w:color w:val="000000" w:themeColor="text1"/>
          <w:sz w:val="24"/>
          <w:szCs w:val="24"/>
        </w:rPr>
        <w:t>Dharmodas</w:t>
      </w:r>
      <w:proofErr w:type="spellEnd"/>
      <w:r w:rsidRPr="00F6743D">
        <w:rPr>
          <w:rFonts w:ascii="Times New Roman" w:hAnsi="Times New Roman" w:cs="Times New Roman"/>
          <w:b/>
          <w:bCs/>
          <w:color w:val="000000" w:themeColor="text1"/>
          <w:sz w:val="24"/>
          <w:szCs w:val="24"/>
        </w:rPr>
        <w:t xml:space="preserve"> Ghose (Respondent/Minor):</w:t>
      </w:r>
    </w:p>
    <w:p w14:paraId="3FCFA93F" w14:textId="77777777" w:rsidR="00B26D1F" w:rsidRPr="00F6743D" w:rsidRDefault="00000000">
      <w:pPr>
        <w:pStyle w:val="ListParagraph"/>
        <w:numPr>
          <w:ilvl w:val="0"/>
          <w:numId w:val="1"/>
        </w:numPr>
        <w:spacing w:after="100" w:line="300" w:lineRule="auto"/>
        <w:rPr>
          <w:rFonts w:ascii="Times New Roman" w:hAnsi="Times New Roman" w:cs="Times New Roman"/>
          <w:color w:val="000000" w:themeColor="text1"/>
          <w:sz w:val="24"/>
          <w:szCs w:val="24"/>
        </w:rPr>
      </w:pPr>
      <w:r w:rsidRPr="00F6743D">
        <w:rPr>
          <w:rFonts w:ascii="Times New Roman" w:hAnsi="Times New Roman" w:cs="Times New Roman"/>
          <w:color w:val="000000" w:themeColor="text1"/>
          <w:sz w:val="24"/>
          <w:szCs w:val="24"/>
        </w:rPr>
        <w:t>As a minor, he was not legally competent to contract at all under Section 11 of the Indian Contract Act, 1872, and therefore the mortgage deed could never have created a valid or binding obligation.</w:t>
      </w:r>
    </w:p>
    <w:p w14:paraId="1C9CB7D2" w14:textId="77777777" w:rsidR="00B26D1F" w:rsidRPr="00F6743D" w:rsidRDefault="00000000">
      <w:pPr>
        <w:pStyle w:val="ListParagraph"/>
        <w:numPr>
          <w:ilvl w:val="0"/>
          <w:numId w:val="1"/>
        </w:numPr>
        <w:spacing w:after="100" w:line="300" w:lineRule="auto"/>
        <w:rPr>
          <w:rFonts w:ascii="Times New Roman" w:hAnsi="Times New Roman" w:cs="Times New Roman"/>
          <w:color w:val="000000" w:themeColor="text1"/>
          <w:sz w:val="24"/>
          <w:szCs w:val="24"/>
        </w:rPr>
      </w:pPr>
      <w:r w:rsidRPr="00F6743D">
        <w:rPr>
          <w:rFonts w:ascii="Times New Roman" w:hAnsi="Times New Roman" w:cs="Times New Roman"/>
          <w:color w:val="000000" w:themeColor="text1"/>
          <w:sz w:val="24"/>
          <w:szCs w:val="24"/>
        </w:rPr>
        <w:t>The moneylender's own agent had been given clear, written notice of his minority before the transaction was completed, so the lender could not claim to have acted without knowledge.</w:t>
      </w:r>
    </w:p>
    <w:p w14:paraId="4344B646" w14:textId="77777777" w:rsidR="00B26D1F" w:rsidRPr="00F6743D" w:rsidRDefault="00000000">
      <w:pPr>
        <w:pStyle w:val="ListParagraph"/>
        <w:numPr>
          <w:ilvl w:val="0"/>
          <w:numId w:val="1"/>
        </w:numPr>
        <w:spacing w:after="100" w:line="300" w:lineRule="auto"/>
        <w:rPr>
          <w:rFonts w:ascii="Times New Roman" w:hAnsi="Times New Roman" w:cs="Times New Roman"/>
          <w:color w:val="000000" w:themeColor="text1"/>
          <w:sz w:val="24"/>
          <w:szCs w:val="24"/>
        </w:rPr>
      </w:pPr>
      <w:r w:rsidRPr="00F6743D">
        <w:rPr>
          <w:rFonts w:ascii="Times New Roman" w:hAnsi="Times New Roman" w:cs="Times New Roman"/>
          <w:color w:val="000000" w:themeColor="text1"/>
          <w:sz w:val="24"/>
          <w:szCs w:val="24"/>
        </w:rPr>
        <w:t>Since no valid contract ever came into existence, there was nothing for the moneylender to enforce, and the mortgage deed should be declared void.</w:t>
      </w:r>
    </w:p>
    <w:p w14:paraId="3E11841B" w14:textId="77777777" w:rsidR="00B26D1F" w:rsidRPr="00F6743D" w:rsidRDefault="00000000">
      <w:pPr>
        <w:spacing w:after="180" w:line="300" w:lineRule="auto"/>
        <w:jc w:val="both"/>
        <w:rPr>
          <w:rFonts w:ascii="Times New Roman" w:hAnsi="Times New Roman" w:cs="Times New Roman"/>
          <w:color w:val="000000" w:themeColor="text1"/>
          <w:sz w:val="24"/>
          <w:szCs w:val="24"/>
        </w:rPr>
      </w:pPr>
      <w:r w:rsidRPr="00F6743D">
        <w:rPr>
          <w:rFonts w:ascii="Times New Roman" w:hAnsi="Times New Roman" w:cs="Times New Roman"/>
          <w:b/>
          <w:bCs/>
          <w:color w:val="000000" w:themeColor="text1"/>
          <w:sz w:val="24"/>
          <w:szCs w:val="24"/>
        </w:rPr>
        <w:t>Arguments on behalf of Brahmo Dutt, the moneylender (Appellant):</w:t>
      </w:r>
    </w:p>
    <w:p w14:paraId="4105D022" w14:textId="77777777" w:rsidR="00B26D1F" w:rsidRPr="00F6743D" w:rsidRDefault="00000000">
      <w:pPr>
        <w:pStyle w:val="ListParagraph"/>
        <w:numPr>
          <w:ilvl w:val="0"/>
          <w:numId w:val="1"/>
        </w:numPr>
        <w:spacing w:after="100" w:line="300" w:lineRule="auto"/>
        <w:rPr>
          <w:rFonts w:ascii="Times New Roman" w:hAnsi="Times New Roman" w:cs="Times New Roman"/>
          <w:color w:val="000000" w:themeColor="text1"/>
          <w:sz w:val="24"/>
          <w:szCs w:val="24"/>
        </w:rPr>
      </w:pPr>
      <w:r w:rsidRPr="00F6743D">
        <w:rPr>
          <w:rFonts w:ascii="Times New Roman" w:hAnsi="Times New Roman" w:cs="Times New Roman"/>
          <w:color w:val="000000" w:themeColor="text1"/>
          <w:sz w:val="24"/>
          <w:szCs w:val="24"/>
        </w:rPr>
        <w:t>The moneylender's estate argued that the mortgage should still be enforced, or that at the very least, the loan amount already advanced should be repaid.</w:t>
      </w:r>
    </w:p>
    <w:p w14:paraId="170E7767" w14:textId="77777777" w:rsidR="00B26D1F" w:rsidRPr="00F6743D" w:rsidRDefault="00000000">
      <w:pPr>
        <w:pStyle w:val="ListParagraph"/>
        <w:numPr>
          <w:ilvl w:val="0"/>
          <w:numId w:val="1"/>
        </w:numPr>
        <w:spacing w:after="100" w:line="300" w:lineRule="auto"/>
        <w:rPr>
          <w:rFonts w:ascii="Times New Roman" w:hAnsi="Times New Roman" w:cs="Times New Roman"/>
          <w:color w:val="000000" w:themeColor="text1"/>
          <w:sz w:val="24"/>
          <w:szCs w:val="24"/>
        </w:rPr>
      </w:pPr>
      <w:r w:rsidRPr="00F6743D">
        <w:rPr>
          <w:rFonts w:ascii="Times New Roman" w:hAnsi="Times New Roman" w:cs="Times New Roman"/>
          <w:color w:val="000000" w:themeColor="text1"/>
          <w:sz w:val="24"/>
          <w:szCs w:val="24"/>
        </w:rPr>
        <w:t>It was argued that if a minor is allowed to take a loan and then simply walk away from repayment by pleading minority, this would open the door to serious unfairness and abuse against honest lenders.</w:t>
      </w:r>
    </w:p>
    <w:p w14:paraId="21077619" w14:textId="77777777" w:rsidR="00B26D1F" w:rsidRPr="00F6743D" w:rsidRDefault="00000000">
      <w:pPr>
        <w:pStyle w:val="ListParagraph"/>
        <w:numPr>
          <w:ilvl w:val="0"/>
          <w:numId w:val="1"/>
        </w:numPr>
        <w:spacing w:after="100" w:line="300" w:lineRule="auto"/>
        <w:rPr>
          <w:rFonts w:ascii="Times New Roman" w:hAnsi="Times New Roman" w:cs="Times New Roman"/>
          <w:color w:val="000000" w:themeColor="text1"/>
          <w:sz w:val="24"/>
          <w:szCs w:val="24"/>
        </w:rPr>
      </w:pPr>
      <w:r w:rsidRPr="00F6743D">
        <w:rPr>
          <w:rFonts w:ascii="Times New Roman" w:hAnsi="Times New Roman" w:cs="Times New Roman"/>
          <w:color w:val="000000" w:themeColor="text1"/>
          <w:sz w:val="24"/>
          <w:szCs w:val="24"/>
        </w:rPr>
        <w:t>Reliance was placed on the principle of estoppel, arguing that since the transaction had gone ahead and money had actually changed hands, the minor's side should not be permitted to turn around and deny the transaction's effect.</w:t>
      </w:r>
    </w:p>
    <w:p w14:paraId="364A6218" w14:textId="77777777" w:rsidR="00B26D1F" w:rsidRPr="00F6743D" w:rsidRDefault="00000000">
      <w:pPr>
        <w:pStyle w:val="Heading1"/>
        <w:pBdr>
          <w:bottom w:val="single" w:sz="6" w:space="4" w:color="1F3864"/>
        </w:pBdr>
        <w:spacing w:before="360" w:after="200"/>
        <w:rPr>
          <w:rFonts w:ascii="Times New Roman" w:hAnsi="Times New Roman" w:cs="Times New Roman"/>
          <w:color w:val="000000" w:themeColor="text1"/>
          <w:sz w:val="24"/>
          <w:szCs w:val="24"/>
        </w:rPr>
      </w:pPr>
      <w:r w:rsidRPr="00F6743D">
        <w:rPr>
          <w:rFonts w:ascii="Times New Roman" w:hAnsi="Times New Roman" w:cs="Times New Roman"/>
          <w:b/>
          <w:bCs/>
          <w:color w:val="000000" w:themeColor="text1"/>
          <w:sz w:val="24"/>
          <w:szCs w:val="24"/>
        </w:rPr>
        <w:t>4. Judgment</w:t>
      </w:r>
    </w:p>
    <w:p w14:paraId="5EA1F15B" w14:textId="77777777" w:rsidR="00B26D1F" w:rsidRPr="00F6743D" w:rsidRDefault="00000000">
      <w:pPr>
        <w:pStyle w:val="Heading2"/>
        <w:spacing w:before="280" w:after="140"/>
        <w:rPr>
          <w:rFonts w:ascii="Times New Roman" w:hAnsi="Times New Roman" w:cs="Times New Roman"/>
          <w:color w:val="000000" w:themeColor="text1"/>
          <w:sz w:val="24"/>
          <w:szCs w:val="24"/>
        </w:rPr>
      </w:pPr>
      <w:r w:rsidRPr="00F6743D">
        <w:rPr>
          <w:rFonts w:ascii="Times New Roman" w:hAnsi="Times New Roman" w:cs="Times New Roman"/>
          <w:b/>
          <w:bCs/>
          <w:color w:val="000000" w:themeColor="text1"/>
          <w:sz w:val="24"/>
          <w:szCs w:val="24"/>
        </w:rPr>
        <w:t>4.1 Court's Decision</w:t>
      </w:r>
    </w:p>
    <w:p w14:paraId="05B52A92" w14:textId="77777777" w:rsidR="00B26D1F" w:rsidRPr="00F6743D" w:rsidRDefault="00000000">
      <w:pPr>
        <w:spacing w:after="180" w:line="300" w:lineRule="auto"/>
        <w:jc w:val="both"/>
        <w:rPr>
          <w:rFonts w:ascii="Times New Roman" w:hAnsi="Times New Roman" w:cs="Times New Roman"/>
          <w:color w:val="000000" w:themeColor="text1"/>
          <w:sz w:val="24"/>
          <w:szCs w:val="24"/>
        </w:rPr>
      </w:pPr>
      <w:r w:rsidRPr="00F6743D">
        <w:rPr>
          <w:rFonts w:ascii="Times New Roman" w:hAnsi="Times New Roman" w:cs="Times New Roman"/>
          <w:color w:val="000000" w:themeColor="text1"/>
          <w:sz w:val="24"/>
          <w:szCs w:val="24"/>
        </w:rPr>
        <w:t xml:space="preserve">The Privy Council ruled decisively in favour of </w:t>
      </w:r>
      <w:proofErr w:type="spellStart"/>
      <w:r w:rsidRPr="00F6743D">
        <w:rPr>
          <w:rFonts w:ascii="Times New Roman" w:hAnsi="Times New Roman" w:cs="Times New Roman"/>
          <w:color w:val="000000" w:themeColor="text1"/>
          <w:sz w:val="24"/>
          <w:szCs w:val="24"/>
        </w:rPr>
        <w:t>Dharmodas</w:t>
      </w:r>
      <w:proofErr w:type="spellEnd"/>
      <w:r w:rsidRPr="00F6743D">
        <w:rPr>
          <w:rFonts w:ascii="Times New Roman" w:hAnsi="Times New Roman" w:cs="Times New Roman"/>
          <w:color w:val="000000" w:themeColor="text1"/>
          <w:sz w:val="24"/>
          <w:szCs w:val="24"/>
        </w:rPr>
        <w:t xml:space="preserve"> Ghose, the minor. It held that the mortgage executed by him was void ab initio, meaning it was void from the very beginning and had never created any valid legal obligation. As a result, the moneylender's attempt to enforce the mortgage, or to recover the loan amount through it, failed entirely.</w:t>
      </w:r>
    </w:p>
    <w:p w14:paraId="122ED5D8" w14:textId="77777777" w:rsidR="00B26D1F" w:rsidRPr="00F6743D" w:rsidRDefault="00000000">
      <w:pPr>
        <w:pStyle w:val="Heading2"/>
        <w:spacing w:before="280" w:after="140"/>
        <w:rPr>
          <w:rFonts w:ascii="Times New Roman" w:hAnsi="Times New Roman" w:cs="Times New Roman"/>
          <w:color w:val="000000" w:themeColor="text1"/>
          <w:sz w:val="24"/>
          <w:szCs w:val="24"/>
        </w:rPr>
      </w:pPr>
      <w:r w:rsidRPr="00F6743D">
        <w:rPr>
          <w:rFonts w:ascii="Times New Roman" w:hAnsi="Times New Roman" w:cs="Times New Roman"/>
          <w:b/>
          <w:bCs/>
          <w:color w:val="000000" w:themeColor="text1"/>
          <w:sz w:val="24"/>
          <w:szCs w:val="24"/>
        </w:rPr>
        <w:t>4.2 Ratio Decidendi (Judicial Reasoning)</w:t>
      </w:r>
    </w:p>
    <w:p w14:paraId="29CE78CA" w14:textId="77777777" w:rsidR="00B26D1F" w:rsidRPr="00F6743D" w:rsidRDefault="00000000">
      <w:pPr>
        <w:spacing w:after="180" w:line="300" w:lineRule="auto"/>
        <w:jc w:val="both"/>
        <w:rPr>
          <w:rFonts w:ascii="Times New Roman" w:hAnsi="Times New Roman" w:cs="Times New Roman"/>
          <w:color w:val="000000" w:themeColor="text1"/>
          <w:sz w:val="24"/>
          <w:szCs w:val="24"/>
        </w:rPr>
      </w:pPr>
      <w:r w:rsidRPr="00F6743D">
        <w:rPr>
          <w:rFonts w:ascii="Times New Roman" w:hAnsi="Times New Roman" w:cs="Times New Roman"/>
          <w:color w:val="000000" w:themeColor="text1"/>
          <w:sz w:val="24"/>
          <w:szCs w:val="24"/>
        </w:rPr>
        <w:lastRenderedPageBreak/>
        <w:t xml:space="preserve">On the competence of a minor to contract: The Privy Council examined Section 11 of the Indian Contract Act, 1872, which states that a person is competent to contract only if he has reached the age of majority, is of sound mind, and is not otherwise disqualified by law. Since </w:t>
      </w:r>
      <w:proofErr w:type="spellStart"/>
      <w:r w:rsidRPr="00F6743D">
        <w:rPr>
          <w:rFonts w:ascii="Times New Roman" w:hAnsi="Times New Roman" w:cs="Times New Roman"/>
          <w:color w:val="000000" w:themeColor="text1"/>
          <w:sz w:val="24"/>
          <w:szCs w:val="24"/>
        </w:rPr>
        <w:t>Dharmodas</w:t>
      </w:r>
      <w:proofErr w:type="spellEnd"/>
      <w:r w:rsidRPr="00F6743D">
        <w:rPr>
          <w:rFonts w:ascii="Times New Roman" w:hAnsi="Times New Roman" w:cs="Times New Roman"/>
          <w:color w:val="000000" w:themeColor="text1"/>
          <w:sz w:val="24"/>
          <w:szCs w:val="24"/>
        </w:rPr>
        <w:t xml:space="preserve"> Ghose was a minor at the time of the mortgage, the court held that he simply did not possess the legal capacity required to enter into a contract, and any agreement he purported to make was void from the outset, not merely voidable at his option.</w:t>
      </w:r>
    </w:p>
    <w:p w14:paraId="70FCB57F" w14:textId="77777777" w:rsidR="00B26D1F" w:rsidRPr="00F6743D" w:rsidRDefault="00000000">
      <w:pPr>
        <w:spacing w:after="180" w:line="300" w:lineRule="auto"/>
        <w:jc w:val="both"/>
        <w:rPr>
          <w:rFonts w:ascii="Times New Roman" w:hAnsi="Times New Roman" w:cs="Times New Roman"/>
          <w:color w:val="000000" w:themeColor="text1"/>
          <w:sz w:val="24"/>
          <w:szCs w:val="24"/>
        </w:rPr>
      </w:pPr>
      <w:r w:rsidRPr="00F6743D">
        <w:rPr>
          <w:rFonts w:ascii="Times New Roman" w:hAnsi="Times New Roman" w:cs="Times New Roman"/>
          <w:color w:val="000000" w:themeColor="text1"/>
          <w:sz w:val="24"/>
          <w:szCs w:val="24"/>
        </w:rPr>
        <w:t>On the impossibility of enforcing the mortgage: Because the agreement was void ab initio, the Privy Council reasoned that there was, in the eyes of the law, no valid contract in existence at all. A moneylender cannot enforce something that never legally came into being, so the mortgage deed could not be used to recover the loan or to claim any interest in the mortgaged property.</w:t>
      </w:r>
    </w:p>
    <w:p w14:paraId="29CBBA5B" w14:textId="77777777" w:rsidR="00B26D1F" w:rsidRPr="00F6743D" w:rsidRDefault="00000000">
      <w:pPr>
        <w:spacing w:after="180" w:line="300" w:lineRule="auto"/>
        <w:jc w:val="both"/>
        <w:rPr>
          <w:rFonts w:ascii="Times New Roman" w:hAnsi="Times New Roman" w:cs="Times New Roman"/>
          <w:color w:val="000000" w:themeColor="text1"/>
          <w:sz w:val="24"/>
          <w:szCs w:val="24"/>
        </w:rPr>
      </w:pPr>
      <w:r w:rsidRPr="00F6743D">
        <w:rPr>
          <w:rFonts w:ascii="Times New Roman" w:hAnsi="Times New Roman" w:cs="Times New Roman"/>
          <w:color w:val="000000" w:themeColor="text1"/>
          <w:sz w:val="24"/>
          <w:szCs w:val="24"/>
        </w:rPr>
        <w:t xml:space="preserve">On the doctrine of estoppel: The moneylender's side had argued that </w:t>
      </w:r>
      <w:proofErr w:type="spellStart"/>
      <w:r w:rsidRPr="00F6743D">
        <w:rPr>
          <w:rFonts w:ascii="Times New Roman" w:hAnsi="Times New Roman" w:cs="Times New Roman"/>
          <w:color w:val="000000" w:themeColor="text1"/>
          <w:sz w:val="24"/>
          <w:szCs w:val="24"/>
        </w:rPr>
        <w:t>Dharmodas</w:t>
      </w:r>
      <w:proofErr w:type="spellEnd"/>
      <w:r w:rsidRPr="00F6743D">
        <w:rPr>
          <w:rFonts w:ascii="Times New Roman" w:hAnsi="Times New Roman" w:cs="Times New Roman"/>
          <w:color w:val="000000" w:themeColor="text1"/>
          <w:sz w:val="24"/>
          <w:szCs w:val="24"/>
        </w:rPr>
        <w:t xml:space="preserve"> should be estopped, or legally prevented, from denying the transaction, since the loan had already been advanced. The Privy Council rejected this argument, holding that the rule of estoppel cannot be used to defeat the protection the law gives to minors. Since the moneylender's own agent already knew of the minority before the transaction, there was no false representation of age by the minor that could have misled the lender in the first place, and in any event, estoppel cannot be applied so as to enforce a contract that the law says never validly existed.</w:t>
      </w:r>
    </w:p>
    <w:p w14:paraId="07B8FA39" w14:textId="77777777" w:rsidR="00B26D1F" w:rsidRPr="00F6743D" w:rsidRDefault="00000000">
      <w:pPr>
        <w:pBdr>
          <w:left w:val="single" w:sz="16" w:space="8" w:color="8C6D1F"/>
        </w:pBdr>
        <w:spacing w:before="120" w:after="200" w:line="280" w:lineRule="auto"/>
        <w:ind w:left="500" w:right="500"/>
        <w:rPr>
          <w:rFonts w:ascii="Times New Roman" w:hAnsi="Times New Roman" w:cs="Times New Roman"/>
          <w:color w:val="000000" w:themeColor="text1"/>
          <w:sz w:val="24"/>
          <w:szCs w:val="24"/>
        </w:rPr>
      </w:pPr>
      <w:r w:rsidRPr="00F6743D">
        <w:rPr>
          <w:rFonts w:ascii="Times New Roman" w:hAnsi="Times New Roman" w:cs="Times New Roman"/>
          <w:i/>
          <w:iCs/>
          <w:color w:val="000000" w:themeColor="text1"/>
          <w:sz w:val="24"/>
          <w:szCs w:val="24"/>
        </w:rPr>
        <w:t>The Privy Council held that Section 11 of the Indian Contract Act, 1872 makes an infant absolutely incompetent to contract, and that an agreement by a minor is void, not merely voidable.</w:t>
      </w:r>
    </w:p>
    <w:p w14:paraId="5E6402EB" w14:textId="77777777" w:rsidR="00B26D1F" w:rsidRPr="00F6743D" w:rsidRDefault="00000000">
      <w:pPr>
        <w:spacing w:after="180" w:line="300" w:lineRule="auto"/>
        <w:jc w:val="both"/>
        <w:rPr>
          <w:rFonts w:ascii="Times New Roman" w:hAnsi="Times New Roman" w:cs="Times New Roman"/>
          <w:color w:val="000000" w:themeColor="text1"/>
          <w:sz w:val="24"/>
          <w:szCs w:val="24"/>
        </w:rPr>
      </w:pPr>
      <w:r w:rsidRPr="00F6743D">
        <w:rPr>
          <w:rFonts w:ascii="Times New Roman" w:hAnsi="Times New Roman" w:cs="Times New Roman"/>
          <w:color w:val="000000" w:themeColor="text1"/>
          <w:sz w:val="24"/>
          <w:szCs w:val="24"/>
        </w:rPr>
        <w:t xml:space="preserve">On restitution: The court also considered whether </w:t>
      </w:r>
      <w:proofErr w:type="spellStart"/>
      <w:r w:rsidRPr="00F6743D">
        <w:rPr>
          <w:rFonts w:ascii="Times New Roman" w:hAnsi="Times New Roman" w:cs="Times New Roman"/>
          <w:color w:val="000000" w:themeColor="text1"/>
          <w:sz w:val="24"/>
          <w:szCs w:val="24"/>
        </w:rPr>
        <w:t>Dharmodas</w:t>
      </w:r>
      <w:proofErr w:type="spellEnd"/>
      <w:r w:rsidRPr="00F6743D">
        <w:rPr>
          <w:rFonts w:ascii="Times New Roman" w:hAnsi="Times New Roman" w:cs="Times New Roman"/>
          <w:color w:val="000000" w:themeColor="text1"/>
          <w:sz w:val="24"/>
          <w:szCs w:val="24"/>
        </w:rPr>
        <w:t xml:space="preserve"> should be made to return the money he had already received under the void mortgage. It held that since no valid contract existed, ordinary contractual remedies for recovery of money did not apply, and the minor could not automatically be compelled to repay or restore the benefit, though limited equitable relief could be available in appropriate circumstances.</w:t>
      </w:r>
    </w:p>
    <w:p w14:paraId="3DD0E3A3" w14:textId="77777777" w:rsidR="00B26D1F" w:rsidRPr="00F6743D" w:rsidRDefault="00000000">
      <w:pPr>
        <w:pStyle w:val="Heading1"/>
        <w:pBdr>
          <w:bottom w:val="single" w:sz="6" w:space="4" w:color="1F3864"/>
        </w:pBdr>
        <w:spacing w:before="360" w:after="200"/>
        <w:rPr>
          <w:rFonts w:ascii="Times New Roman" w:hAnsi="Times New Roman" w:cs="Times New Roman"/>
          <w:color w:val="000000" w:themeColor="text1"/>
          <w:sz w:val="24"/>
          <w:szCs w:val="24"/>
        </w:rPr>
      </w:pPr>
      <w:r w:rsidRPr="00F6743D">
        <w:rPr>
          <w:rFonts w:ascii="Times New Roman" w:hAnsi="Times New Roman" w:cs="Times New Roman"/>
          <w:b/>
          <w:bCs/>
          <w:color w:val="000000" w:themeColor="text1"/>
          <w:sz w:val="24"/>
          <w:szCs w:val="24"/>
        </w:rPr>
        <w:t>5. Legal Principle: Capacity to Contract Analysis</w:t>
      </w:r>
    </w:p>
    <w:p w14:paraId="11B9BE22" w14:textId="77777777" w:rsidR="00B26D1F" w:rsidRPr="00F6743D" w:rsidRDefault="00000000">
      <w:pPr>
        <w:spacing w:after="180" w:line="300" w:lineRule="auto"/>
        <w:jc w:val="both"/>
        <w:rPr>
          <w:rFonts w:ascii="Times New Roman" w:hAnsi="Times New Roman" w:cs="Times New Roman"/>
          <w:color w:val="000000" w:themeColor="text1"/>
          <w:sz w:val="24"/>
          <w:szCs w:val="24"/>
        </w:rPr>
      </w:pPr>
      <w:r w:rsidRPr="00F6743D">
        <w:rPr>
          <w:rFonts w:ascii="Times New Roman" w:hAnsi="Times New Roman" w:cs="Times New Roman"/>
          <w:color w:val="000000" w:themeColor="text1"/>
          <w:sz w:val="24"/>
          <w:szCs w:val="24"/>
        </w:rPr>
        <w:t xml:space="preserve">This section examines the key legal principle from </w:t>
      </w:r>
      <w:proofErr w:type="spellStart"/>
      <w:r w:rsidRPr="00F6743D">
        <w:rPr>
          <w:rFonts w:ascii="Times New Roman" w:hAnsi="Times New Roman" w:cs="Times New Roman"/>
          <w:color w:val="000000" w:themeColor="text1"/>
          <w:sz w:val="24"/>
          <w:szCs w:val="24"/>
        </w:rPr>
        <w:t>Mohori</w:t>
      </w:r>
      <w:proofErr w:type="spellEnd"/>
      <w:r w:rsidRPr="00F6743D">
        <w:rPr>
          <w:rFonts w:ascii="Times New Roman" w:hAnsi="Times New Roman" w:cs="Times New Roman"/>
          <w:color w:val="000000" w:themeColor="text1"/>
          <w:sz w:val="24"/>
          <w:szCs w:val="24"/>
        </w:rPr>
        <w:t xml:space="preserve"> Bibee v. </w:t>
      </w:r>
      <w:proofErr w:type="spellStart"/>
      <w:r w:rsidRPr="00F6743D">
        <w:rPr>
          <w:rFonts w:ascii="Times New Roman" w:hAnsi="Times New Roman" w:cs="Times New Roman"/>
          <w:color w:val="000000" w:themeColor="text1"/>
          <w:sz w:val="24"/>
          <w:szCs w:val="24"/>
        </w:rPr>
        <w:t>Dharmodas</w:t>
      </w:r>
      <w:proofErr w:type="spellEnd"/>
      <w:r w:rsidRPr="00F6743D">
        <w:rPr>
          <w:rFonts w:ascii="Times New Roman" w:hAnsi="Times New Roman" w:cs="Times New Roman"/>
          <w:color w:val="000000" w:themeColor="text1"/>
          <w:sz w:val="24"/>
          <w:szCs w:val="24"/>
        </w:rPr>
        <w:t xml:space="preserve"> Ghose by breaking down its impact on the requirement of capacity, one of the essential conditions for a valid contract under the Indian Contract Act, 1872.</w:t>
      </w:r>
    </w:p>
    <w:p w14:paraId="1DBFD0A2" w14:textId="77777777" w:rsidR="00B26D1F" w:rsidRPr="00F6743D" w:rsidRDefault="00000000">
      <w:pPr>
        <w:pStyle w:val="Heading2"/>
        <w:spacing w:before="280" w:after="140"/>
        <w:rPr>
          <w:rFonts w:ascii="Times New Roman" w:hAnsi="Times New Roman" w:cs="Times New Roman"/>
          <w:color w:val="000000" w:themeColor="text1"/>
          <w:sz w:val="24"/>
          <w:szCs w:val="24"/>
        </w:rPr>
      </w:pPr>
      <w:r w:rsidRPr="00F6743D">
        <w:rPr>
          <w:rFonts w:ascii="Times New Roman" w:hAnsi="Times New Roman" w:cs="Times New Roman"/>
          <w:b/>
          <w:bCs/>
          <w:color w:val="000000" w:themeColor="text1"/>
          <w:sz w:val="24"/>
          <w:szCs w:val="24"/>
        </w:rPr>
        <w:t>5.1 Evaluation of Minor's Competency</w:t>
      </w:r>
    </w:p>
    <w:p w14:paraId="62B385C1" w14:textId="77777777" w:rsidR="00B26D1F" w:rsidRPr="00F6743D" w:rsidRDefault="00000000">
      <w:pPr>
        <w:spacing w:after="180" w:line="300" w:lineRule="auto"/>
        <w:jc w:val="both"/>
        <w:rPr>
          <w:rFonts w:ascii="Times New Roman" w:hAnsi="Times New Roman" w:cs="Times New Roman"/>
          <w:color w:val="000000" w:themeColor="text1"/>
          <w:sz w:val="24"/>
          <w:szCs w:val="24"/>
        </w:rPr>
      </w:pPr>
      <w:r w:rsidRPr="00F6743D">
        <w:rPr>
          <w:rFonts w:ascii="Times New Roman" w:hAnsi="Times New Roman" w:cs="Times New Roman"/>
          <w:color w:val="000000" w:themeColor="text1"/>
          <w:sz w:val="24"/>
          <w:szCs w:val="24"/>
        </w:rPr>
        <w:t xml:space="preserve">Section 11 of the Indian Contract Act, 1872 lays down three requirements for a person to be competent to contract: the person must have attained the age of majority, must be of sound mind, and must not be disqualified from contracting by any law to which he is subject. Before this case, </w:t>
      </w:r>
      <w:r w:rsidRPr="00F6743D">
        <w:rPr>
          <w:rFonts w:ascii="Times New Roman" w:hAnsi="Times New Roman" w:cs="Times New Roman"/>
          <w:color w:val="000000" w:themeColor="text1"/>
          <w:sz w:val="24"/>
          <w:szCs w:val="24"/>
        </w:rPr>
        <w:lastRenderedPageBreak/>
        <w:t xml:space="preserve">there had been some uncertainty in Indian courts about whether a minor's agreement was void altogether or merely voidable, meaning capable of being enforced unless the minor chose to cancel it. </w:t>
      </w:r>
      <w:proofErr w:type="spellStart"/>
      <w:r w:rsidRPr="00F6743D">
        <w:rPr>
          <w:rFonts w:ascii="Times New Roman" w:hAnsi="Times New Roman" w:cs="Times New Roman"/>
          <w:color w:val="000000" w:themeColor="text1"/>
          <w:sz w:val="24"/>
          <w:szCs w:val="24"/>
        </w:rPr>
        <w:t>Mohori</w:t>
      </w:r>
      <w:proofErr w:type="spellEnd"/>
      <w:r w:rsidRPr="00F6743D">
        <w:rPr>
          <w:rFonts w:ascii="Times New Roman" w:hAnsi="Times New Roman" w:cs="Times New Roman"/>
          <w:color w:val="000000" w:themeColor="text1"/>
          <w:sz w:val="24"/>
          <w:szCs w:val="24"/>
        </w:rPr>
        <w:t xml:space="preserve"> Bibee settled this question conclusively: an agreement entered into by a minor is void ab initio. This means the agreement is treated as if it never legally existed at all, not as a valid contract that the minor simply has the option to walk away from. This is a stronger form of protection than mere voidability, because it means the minor cannot be held to any part of the bargain, regardless of what the other party may have believed or intended.</w:t>
      </w:r>
    </w:p>
    <w:p w14:paraId="1C1F3214" w14:textId="77777777" w:rsidR="00B26D1F" w:rsidRPr="00F6743D" w:rsidRDefault="00000000">
      <w:pPr>
        <w:pStyle w:val="Heading2"/>
        <w:spacing w:before="280" w:after="140"/>
        <w:rPr>
          <w:rFonts w:ascii="Times New Roman" w:hAnsi="Times New Roman" w:cs="Times New Roman"/>
          <w:color w:val="000000" w:themeColor="text1"/>
          <w:sz w:val="24"/>
          <w:szCs w:val="24"/>
        </w:rPr>
      </w:pPr>
      <w:r w:rsidRPr="00F6743D">
        <w:rPr>
          <w:rFonts w:ascii="Times New Roman" w:hAnsi="Times New Roman" w:cs="Times New Roman"/>
          <w:b/>
          <w:bCs/>
          <w:color w:val="000000" w:themeColor="text1"/>
          <w:sz w:val="24"/>
          <w:szCs w:val="24"/>
        </w:rPr>
        <w:t>5.2 Inapplicability of Estoppel</w:t>
      </w:r>
    </w:p>
    <w:p w14:paraId="73D0F17E" w14:textId="77777777" w:rsidR="00B26D1F" w:rsidRPr="00F6743D" w:rsidRDefault="00000000">
      <w:pPr>
        <w:spacing w:after="180" w:line="300" w:lineRule="auto"/>
        <w:jc w:val="both"/>
        <w:rPr>
          <w:rFonts w:ascii="Times New Roman" w:hAnsi="Times New Roman" w:cs="Times New Roman"/>
          <w:color w:val="000000" w:themeColor="text1"/>
          <w:sz w:val="24"/>
          <w:szCs w:val="24"/>
        </w:rPr>
      </w:pPr>
      <w:r w:rsidRPr="00F6743D">
        <w:rPr>
          <w:rFonts w:ascii="Times New Roman" w:hAnsi="Times New Roman" w:cs="Times New Roman"/>
          <w:color w:val="000000" w:themeColor="text1"/>
          <w:sz w:val="24"/>
          <w:szCs w:val="24"/>
        </w:rPr>
        <w:t xml:space="preserve">Estoppel is a general legal principle that prevents a person from denying the truth of a statement they earlier made, if another party relied on that statement to their detriment. The moneylender in this case tried to use this principle, arguing that since money had already been advanced, the minor should not be allowed to later deny the transaction. The Privy Council firmly rejected this, holding that estoppel cannot operate to enforce a void agreement, especially where the other party (the lender's agent) already had actual knowledge of the minority. This is an important pillar of the case: it confirms that the protection given to minors under contract law cannot be undone simply by invoking estoppel, since allowing this would defeat the very purpose of protecting minors from binding legal </w:t>
      </w:r>
      <w:proofErr w:type="gramStart"/>
      <w:r w:rsidRPr="00F6743D">
        <w:rPr>
          <w:rFonts w:ascii="Times New Roman" w:hAnsi="Times New Roman" w:cs="Times New Roman"/>
          <w:color w:val="000000" w:themeColor="text1"/>
          <w:sz w:val="24"/>
          <w:szCs w:val="24"/>
        </w:rPr>
        <w:t>obligations</w:t>
      </w:r>
      <w:proofErr w:type="gramEnd"/>
      <w:r w:rsidRPr="00F6743D">
        <w:rPr>
          <w:rFonts w:ascii="Times New Roman" w:hAnsi="Times New Roman" w:cs="Times New Roman"/>
          <w:color w:val="000000" w:themeColor="text1"/>
          <w:sz w:val="24"/>
          <w:szCs w:val="24"/>
        </w:rPr>
        <w:t xml:space="preserve"> they are not equipped to understand or manage.</w:t>
      </w:r>
    </w:p>
    <w:p w14:paraId="31CD72E0" w14:textId="77777777" w:rsidR="00B26D1F" w:rsidRPr="00F6743D" w:rsidRDefault="00000000">
      <w:pPr>
        <w:pStyle w:val="Heading2"/>
        <w:spacing w:before="280" w:after="140"/>
        <w:rPr>
          <w:rFonts w:ascii="Times New Roman" w:hAnsi="Times New Roman" w:cs="Times New Roman"/>
          <w:color w:val="000000" w:themeColor="text1"/>
          <w:sz w:val="24"/>
          <w:szCs w:val="24"/>
        </w:rPr>
      </w:pPr>
      <w:r w:rsidRPr="00F6743D">
        <w:rPr>
          <w:rFonts w:ascii="Times New Roman" w:hAnsi="Times New Roman" w:cs="Times New Roman"/>
          <w:b/>
          <w:bCs/>
          <w:color w:val="000000" w:themeColor="text1"/>
          <w:sz w:val="24"/>
          <w:szCs w:val="24"/>
        </w:rPr>
        <w:t>5.3 Ancillary Pillars &amp; Later Case Law</w:t>
      </w:r>
    </w:p>
    <w:p w14:paraId="31BCB7D8" w14:textId="77777777" w:rsidR="00B26D1F" w:rsidRPr="00F6743D" w:rsidRDefault="00000000">
      <w:pPr>
        <w:spacing w:after="180" w:line="300" w:lineRule="auto"/>
        <w:jc w:val="both"/>
        <w:rPr>
          <w:rFonts w:ascii="Times New Roman" w:hAnsi="Times New Roman" w:cs="Times New Roman"/>
          <w:color w:val="000000" w:themeColor="text1"/>
          <w:sz w:val="24"/>
          <w:szCs w:val="24"/>
        </w:rPr>
      </w:pPr>
      <w:r w:rsidRPr="00F6743D">
        <w:rPr>
          <w:rFonts w:ascii="Times New Roman" w:hAnsi="Times New Roman" w:cs="Times New Roman"/>
          <w:color w:val="000000" w:themeColor="text1"/>
          <w:sz w:val="24"/>
          <w:szCs w:val="24"/>
        </w:rPr>
        <w:t xml:space="preserve">The decision in </w:t>
      </w:r>
      <w:proofErr w:type="spellStart"/>
      <w:r w:rsidRPr="00F6743D">
        <w:rPr>
          <w:rFonts w:ascii="Times New Roman" w:hAnsi="Times New Roman" w:cs="Times New Roman"/>
          <w:color w:val="000000" w:themeColor="text1"/>
          <w:sz w:val="24"/>
          <w:szCs w:val="24"/>
        </w:rPr>
        <w:t>Mohori</w:t>
      </w:r>
      <w:proofErr w:type="spellEnd"/>
      <w:r w:rsidRPr="00F6743D">
        <w:rPr>
          <w:rFonts w:ascii="Times New Roman" w:hAnsi="Times New Roman" w:cs="Times New Roman"/>
          <w:color w:val="000000" w:themeColor="text1"/>
          <w:sz w:val="24"/>
          <w:szCs w:val="24"/>
        </w:rPr>
        <w:t xml:space="preserve"> Bibee has been applied and discussed in numerous later cases, shaping how Indian courts deal with minors' agreements and any related questions of restitution.</w:t>
      </w:r>
    </w:p>
    <w:p w14:paraId="2FE5A359" w14:textId="77777777" w:rsidR="00B26D1F" w:rsidRPr="00F6743D" w:rsidRDefault="00000000">
      <w:pPr>
        <w:pStyle w:val="ListParagraph"/>
        <w:numPr>
          <w:ilvl w:val="0"/>
          <w:numId w:val="1"/>
        </w:numPr>
        <w:spacing w:after="100" w:line="300" w:lineRule="auto"/>
        <w:rPr>
          <w:rFonts w:ascii="Times New Roman" w:hAnsi="Times New Roman" w:cs="Times New Roman"/>
          <w:color w:val="000000" w:themeColor="text1"/>
          <w:sz w:val="24"/>
          <w:szCs w:val="24"/>
        </w:rPr>
      </w:pPr>
      <w:r w:rsidRPr="00F6743D">
        <w:rPr>
          <w:rFonts w:ascii="Times New Roman" w:hAnsi="Times New Roman" w:cs="Times New Roman"/>
          <w:color w:val="000000" w:themeColor="text1"/>
          <w:sz w:val="24"/>
          <w:szCs w:val="24"/>
        </w:rPr>
        <w:t>On restitution of benefits: Since a minor's agreement is void, ordinary contractual remedies for recovering money or property cannot be used against the minor. However, Indian courts have, in some later cases, allowed limited equitable relief under principles such as those reflected in Section 33 of the Specific Relief Act, permitting restoration of any benefit or property that can still be clearly traced to the minor, without treating the original agreement as valid or enforceable.</w:t>
      </w:r>
    </w:p>
    <w:p w14:paraId="17B86AEC" w14:textId="77777777" w:rsidR="00B26D1F" w:rsidRPr="00F6743D" w:rsidRDefault="00000000">
      <w:pPr>
        <w:pStyle w:val="ListParagraph"/>
        <w:numPr>
          <w:ilvl w:val="0"/>
          <w:numId w:val="1"/>
        </w:numPr>
        <w:spacing w:after="100" w:line="300" w:lineRule="auto"/>
        <w:rPr>
          <w:rFonts w:ascii="Times New Roman" w:hAnsi="Times New Roman" w:cs="Times New Roman"/>
          <w:color w:val="000000" w:themeColor="text1"/>
          <w:sz w:val="24"/>
          <w:szCs w:val="24"/>
        </w:rPr>
      </w:pPr>
      <w:r w:rsidRPr="00F6743D">
        <w:rPr>
          <w:rFonts w:ascii="Times New Roman" w:hAnsi="Times New Roman" w:cs="Times New Roman"/>
          <w:color w:val="000000" w:themeColor="text1"/>
          <w:sz w:val="24"/>
          <w:szCs w:val="24"/>
        </w:rPr>
        <w:t xml:space="preserve">Consistency in subsequent rulings: Later Indian decisions have consistently followed </w:t>
      </w:r>
      <w:proofErr w:type="spellStart"/>
      <w:r w:rsidRPr="00F6743D">
        <w:rPr>
          <w:rFonts w:ascii="Times New Roman" w:hAnsi="Times New Roman" w:cs="Times New Roman"/>
          <w:color w:val="000000" w:themeColor="text1"/>
          <w:sz w:val="24"/>
          <w:szCs w:val="24"/>
        </w:rPr>
        <w:t>Mohori</w:t>
      </w:r>
      <w:proofErr w:type="spellEnd"/>
      <w:r w:rsidRPr="00F6743D">
        <w:rPr>
          <w:rFonts w:ascii="Times New Roman" w:hAnsi="Times New Roman" w:cs="Times New Roman"/>
          <w:color w:val="000000" w:themeColor="text1"/>
          <w:sz w:val="24"/>
          <w:szCs w:val="24"/>
        </w:rPr>
        <w:t xml:space="preserve"> Bibee in holding that a minor cannot be sued for breach of contract, cannot be made personally liable to repay a loan taken by him, and cannot ratify a void agreement even after attaining majority, since there was nothing valid to ratify in the first place.</w:t>
      </w:r>
    </w:p>
    <w:p w14:paraId="18EA8E31" w14:textId="77777777" w:rsidR="00B26D1F" w:rsidRPr="00F6743D" w:rsidRDefault="00000000">
      <w:pPr>
        <w:spacing w:after="180" w:line="300" w:lineRule="auto"/>
        <w:jc w:val="both"/>
        <w:rPr>
          <w:rFonts w:ascii="Times New Roman" w:hAnsi="Times New Roman" w:cs="Times New Roman"/>
          <w:color w:val="000000" w:themeColor="text1"/>
          <w:sz w:val="24"/>
          <w:szCs w:val="24"/>
        </w:rPr>
      </w:pPr>
      <w:proofErr w:type="spellStart"/>
      <w:r w:rsidRPr="00F6743D">
        <w:rPr>
          <w:rFonts w:ascii="Times New Roman" w:hAnsi="Times New Roman" w:cs="Times New Roman"/>
          <w:color w:val="000000" w:themeColor="text1"/>
          <w:sz w:val="24"/>
          <w:szCs w:val="24"/>
        </w:rPr>
        <w:t>Mohori</w:t>
      </w:r>
      <w:proofErr w:type="spellEnd"/>
      <w:r w:rsidRPr="00F6743D">
        <w:rPr>
          <w:rFonts w:ascii="Times New Roman" w:hAnsi="Times New Roman" w:cs="Times New Roman"/>
          <w:color w:val="000000" w:themeColor="text1"/>
          <w:sz w:val="24"/>
          <w:szCs w:val="24"/>
        </w:rPr>
        <w:t xml:space="preserve"> Bibee therefore remains the bedrock authority in Indian contract law for any question involving a minor's capacity to contract, and it is consistently cited whenever the validity of an agreement made with a minor is challenged.</w:t>
      </w:r>
    </w:p>
    <w:p w14:paraId="795DB8F3" w14:textId="77777777" w:rsidR="00B26D1F" w:rsidRPr="00F6743D" w:rsidRDefault="00000000">
      <w:pPr>
        <w:pStyle w:val="Heading1"/>
        <w:pBdr>
          <w:bottom w:val="single" w:sz="6" w:space="4" w:color="1F3864"/>
        </w:pBdr>
        <w:spacing w:before="360" w:after="200"/>
        <w:rPr>
          <w:rFonts w:ascii="Times New Roman" w:hAnsi="Times New Roman" w:cs="Times New Roman"/>
          <w:color w:val="000000" w:themeColor="text1"/>
          <w:sz w:val="24"/>
          <w:szCs w:val="24"/>
        </w:rPr>
      </w:pPr>
      <w:r w:rsidRPr="00F6743D">
        <w:rPr>
          <w:rFonts w:ascii="Times New Roman" w:hAnsi="Times New Roman" w:cs="Times New Roman"/>
          <w:b/>
          <w:bCs/>
          <w:color w:val="000000" w:themeColor="text1"/>
          <w:sz w:val="24"/>
          <w:szCs w:val="24"/>
        </w:rPr>
        <w:lastRenderedPageBreak/>
        <w:t>6. Business Relevance</w:t>
      </w:r>
    </w:p>
    <w:p w14:paraId="1B8D499A" w14:textId="77777777" w:rsidR="00B26D1F" w:rsidRPr="00F6743D" w:rsidRDefault="00000000">
      <w:pPr>
        <w:pStyle w:val="Heading2"/>
        <w:spacing w:before="280" w:after="140"/>
        <w:rPr>
          <w:rFonts w:ascii="Times New Roman" w:hAnsi="Times New Roman" w:cs="Times New Roman"/>
          <w:color w:val="000000" w:themeColor="text1"/>
          <w:sz w:val="24"/>
          <w:szCs w:val="24"/>
        </w:rPr>
      </w:pPr>
      <w:r w:rsidRPr="00F6743D">
        <w:rPr>
          <w:rFonts w:ascii="Times New Roman" w:hAnsi="Times New Roman" w:cs="Times New Roman"/>
          <w:b/>
          <w:bCs/>
          <w:color w:val="000000" w:themeColor="text1"/>
          <w:sz w:val="24"/>
          <w:szCs w:val="24"/>
        </w:rPr>
        <w:t>6.1 Application in Modern Business</w:t>
      </w:r>
    </w:p>
    <w:p w14:paraId="164D4E39" w14:textId="77777777" w:rsidR="00B26D1F" w:rsidRPr="00F6743D" w:rsidRDefault="00000000">
      <w:pPr>
        <w:spacing w:after="180" w:line="300" w:lineRule="auto"/>
        <w:jc w:val="both"/>
        <w:rPr>
          <w:rFonts w:ascii="Times New Roman" w:hAnsi="Times New Roman" w:cs="Times New Roman"/>
          <w:color w:val="000000" w:themeColor="text1"/>
          <w:sz w:val="24"/>
          <w:szCs w:val="24"/>
        </w:rPr>
      </w:pPr>
      <w:r w:rsidRPr="00F6743D">
        <w:rPr>
          <w:rFonts w:ascii="Times New Roman" w:hAnsi="Times New Roman" w:cs="Times New Roman"/>
          <w:color w:val="000000" w:themeColor="text1"/>
          <w:sz w:val="24"/>
          <w:szCs w:val="24"/>
        </w:rPr>
        <w:t xml:space="preserve">Although this case is over a century old, its central principle, that a minor cannot be bound by a contract, remains directly relevant to how businesses operate today, particularly in sectors that deal with loans, subscriptions, digital services, and financial products. Banks, non-banking financial companies, and fintech platforms that offer credit, loans, or investment products must ensure that the person entering into the agreement has actually attained the age of majority, since any agreement signed by a minor customer would carry no legal force, exactly as in </w:t>
      </w:r>
      <w:proofErr w:type="spellStart"/>
      <w:r w:rsidRPr="00F6743D">
        <w:rPr>
          <w:rFonts w:ascii="Times New Roman" w:hAnsi="Times New Roman" w:cs="Times New Roman"/>
          <w:color w:val="000000" w:themeColor="text1"/>
          <w:sz w:val="24"/>
          <w:szCs w:val="24"/>
        </w:rPr>
        <w:t>Mohori</w:t>
      </w:r>
      <w:proofErr w:type="spellEnd"/>
      <w:r w:rsidRPr="00F6743D">
        <w:rPr>
          <w:rFonts w:ascii="Times New Roman" w:hAnsi="Times New Roman" w:cs="Times New Roman"/>
          <w:color w:val="000000" w:themeColor="text1"/>
          <w:sz w:val="24"/>
          <w:szCs w:val="24"/>
        </w:rPr>
        <w:t xml:space="preserve"> Bibee.</w:t>
      </w:r>
    </w:p>
    <w:p w14:paraId="2EBE99CE" w14:textId="77777777" w:rsidR="00B26D1F" w:rsidRPr="00F6743D" w:rsidRDefault="00000000">
      <w:pPr>
        <w:spacing w:after="180" w:line="300" w:lineRule="auto"/>
        <w:jc w:val="both"/>
        <w:rPr>
          <w:rFonts w:ascii="Times New Roman" w:hAnsi="Times New Roman" w:cs="Times New Roman"/>
          <w:color w:val="000000" w:themeColor="text1"/>
          <w:sz w:val="24"/>
          <w:szCs w:val="24"/>
        </w:rPr>
      </w:pPr>
      <w:r w:rsidRPr="00F6743D">
        <w:rPr>
          <w:rFonts w:ascii="Times New Roman" w:hAnsi="Times New Roman" w:cs="Times New Roman"/>
          <w:color w:val="000000" w:themeColor="text1"/>
          <w:sz w:val="24"/>
          <w:szCs w:val="24"/>
        </w:rPr>
        <w:t>This is especially significant in the growing world of digital lending and fintech apps, where onboarding is often fast, automated, and based on self-declared information. If a minor manages to bypass age verification and take a loan or open a credit line, the business may find itself in the same position as the moneylender in this case: unable to legally recover the money advanced, regardless of how the transaction was structured or documented.</w:t>
      </w:r>
    </w:p>
    <w:p w14:paraId="611F370C" w14:textId="77777777" w:rsidR="00B26D1F" w:rsidRPr="00F6743D" w:rsidRDefault="00000000">
      <w:pPr>
        <w:pStyle w:val="Heading2"/>
        <w:spacing w:before="280" w:after="140"/>
        <w:rPr>
          <w:rFonts w:ascii="Times New Roman" w:hAnsi="Times New Roman" w:cs="Times New Roman"/>
          <w:color w:val="000000" w:themeColor="text1"/>
          <w:sz w:val="24"/>
          <w:szCs w:val="24"/>
        </w:rPr>
      </w:pPr>
      <w:r w:rsidRPr="00F6743D">
        <w:rPr>
          <w:rFonts w:ascii="Times New Roman" w:hAnsi="Times New Roman" w:cs="Times New Roman"/>
          <w:b/>
          <w:bCs/>
          <w:color w:val="000000" w:themeColor="text1"/>
          <w:sz w:val="24"/>
          <w:szCs w:val="24"/>
        </w:rPr>
        <w:t>6.2 Risk Management &amp; Operational Compliance</w:t>
      </w:r>
    </w:p>
    <w:p w14:paraId="058F9E94" w14:textId="77777777" w:rsidR="00B26D1F" w:rsidRPr="00F6743D" w:rsidRDefault="00000000">
      <w:pPr>
        <w:spacing w:after="180" w:line="300" w:lineRule="auto"/>
        <w:jc w:val="both"/>
        <w:rPr>
          <w:rFonts w:ascii="Times New Roman" w:hAnsi="Times New Roman" w:cs="Times New Roman"/>
          <w:color w:val="000000" w:themeColor="text1"/>
          <w:sz w:val="24"/>
          <w:szCs w:val="24"/>
        </w:rPr>
      </w:pPr>
      <w:r w:rsidRPr="00F6743D">
        <w:rPr>
          <w:rFonts w:ascii="Times New Roman" w:hAnsi="Times New Roman" w:cs="Times New Roman"/>
          <w:color w:val="000000" w:themeColor="text1"/>
          <w:sz w:val="24"/>
          <w:szCs w:val="24"/>
        </w:rPr>
        <w:t>A number of practical lessons for businesses and financial institutions follow from this case:</w:t>
      </w:r>
    </w:p>
    <w:p w14:paraId="71C357B9" w14:textId="77777777" w:rsidR="00B26D1F" w:rsidRPr="00F6743D" w:rsidRDefault="00000000">
      <w:pPr>
        <w:pStyle w:val="ListParagraph"/>
        <w:numPr>
          <w:ilvl w:val="0"/>
          <w:numId w:val="1"/>
        </w:numPr>
        <w:spacing w:after="100" w:line="300" w:lineRule="auto"/>
        <w:rPr>
          <w:rFonts w:ascii="Times New Roman" w:hAnsi="Times New Roman" w:cs="Times New Roman"/>
          <w:color w:val="000000" w:themeColor="text1"/>
          <w:sz w:val="24"/>
          <w:szCs w:val="24"/>
        </w:rPr>
      </w:pPr>
      <w:r w:rsidRPr="00F6743D">
        <w:rPr>
          <w:rFonts w:ascii="Times New Roman" w:hAnsi="Times New Roman" w:cs="Times New Roman"/>
          <w:color w:val="000000" w:themeColor="text1"/>
          <w:sz w:val="24"/>
          <w:szCs w:val="24"/>
        </w:rPr>
        <w:t>Verify age before contracting: Businesses offering loans, credit cards, subscriptions, or other binding agreements should implement reliable age-verification and Know Your Customer (KYC) checks before finalising any contract.</w:t>
      </w:r>
    </w:p>
    <w:p w14:paraId="6E094ABE" w14:textId="77777777" w:rsidR="00B26D1F" w:rsidRPr="00F6743D" w:rsidRDefault="00000000">
      <w:pPr>
        <w:pStyle w:val="ListParagraph"/>
        <w:numPr>
          <w:ilvl w:val="0"/>
          <w:numId w:val="1"/>
        </w:numPr>
        <w:spacing w:after="100" w:line="300" w:lineRule="auto"/>
        <w:rPr>
          <w:rFonts w:ascii="Times New Roman" w:hAnsi="Times New Roman" w:cs="Times New Roman"/>
          <w:color w:val="000000" w:themeColor="text1"/>
          <w:sz w:val="24"/>
          <w:szCs w:val="24"/>
        </w:rPr>
      </w:pPr>
      <w:r w:rsidRPr="00F6743D">
        <w:rPr>
          <w:rFonts w:ascii="Times New Roman" w:hAnsi="Times New Roman" w:cs="Times New Roman"/>
          <w:color w:val="000000" w:themeColor="text1"/>
          <w:sz w:val="24"/>
          <w:szCs w:val="24"/>
        </w:rPr>
        <w:t>Do not rely on estoppel as a safety net: As this case shows, a business cannot simply argue that a minor should be held to a contract because money was already paid out; courts will not enforce a void agreement on this basis.</w:t>
      </w:r>
    </w:p>
    <w:p w14:paraId="758542A5" w14:textId="77777777" w:rsidR="00B26D1F" w:rsidRPr="00F6743D" w:rsidRDefault="00000000">
      <w:pPr>
        <w:pStyle w:val="ListParagraph"/>
        <w:numPr>
          <w:ilvl w:val="0"/>
          <w:numId w:val="1"/>
        </w:numPr>
        <w:spacing w:after="100" w:line="300" w:lineRule="auto"/>
        <w:rPr>
          <w:rFonts w:ascii="Times New Roman" w:hAnsi="Times New Roman" w:cs="Times New Roman"/>
          <w:color w:val="000000" w:themeColor="text1"/>
          <w:sz w:val="24"/>
          <w:szCs w:val="24"/>
        </w:rPr>
      </w:pPr>
      <w:r w:rsidRPr="00F6743D">
        <w:rPr>
          <w:rFonts w:ascii="Times New Roman" w:hAnsi="Times New Roman" w:cs="Times New Roman"/>
          <w:color w:val="000000" w:themeColor="text1"/>
          <w:sz w:val="24"/>
          <w:szCs w:val="24"/>
        </w:rPr>
        <w:t>Build in guardian or parental consent mechanisms: For products that may be used by minors, businesses should design specific consent or co-signing processes involving a parent or legal guardian, rather than contracting directly and solely with the minor.</w:t>
      </w:r>
    </w:p>
    <w:p w14:paraId="145ABC3D" w14:textId="77777777" w:rsidR="00B26D1F" w:rsidRPr="00F6743D" w:rsidRDefault="00000000">
      <w:pPr>
        <w:pStyle w:val="ListParagraph"/>
        <w:numPr>
          <w:ilvl w:val="0"/>
          <w:numId w:val="1"/>
        </w:numPr>
        <w:spacing w:after="100" w:line="300" w:lineRule="auto"/>
        <w:rPr>
          <w:rFonts w:ascii="Times New Roman" w:hAnsi="Times New Roman" w:cs="Times New Roman"/>
          <w:color w:val="000000" w:themeColor="text1"/>
          <w:sz w:val="24"/>
          <w:szCs w:val="24"/>
        </w:rPr>
      </w:pPr>
      <w:r w:rsidRPr="00F6743D">
        <w:rPr>
          <w:rFonts w:ascii="Times New Roman" w:hAnsi="Times New Roman" w:cs="Times New Roman"/>
          <w:color w:val="000000" w:themeColor="text1"/>
          <w:sz w:val="24"/>
          <w:szCs w:val="24"/>
        </w:rPr>
        <w:t>Understand limited recovery options: Since a minor cannot generally be compelled to repay under a void contract, businesses should be aware that any recovery, if available at all, would depend on tracing specific benefits or property, not on ordinary contract enforcement.</w:t>
      </w:r>
    </w:p>
    <w:p w14:paraId="77F43338" w14:textId="77777777" w:rsidR="00B26D1F" w:rsidRPr="00F6743D" w:rsidRDefault="00000000">
      <w:pPr>
        <w:pStyle w:val="ListParagraph"/>
        <w:numPr>
          <w:ilvl w:val="0"/>
          <w:numId w:val="1"/>
        </w:numPr>
        <w:spacing w:after="100" w:line="300" w:lineRule="auto"/>
        <w:rPr>
          <w:rFonts w:ascii="Times New Roman" w:hAnsi="Times New Roman" w:cs="Times New Roman"/>
          <w:color w:val="000000" w:themeColor="text1"/>
          <w:sz w:val="24"/>
          <w:szCs w:val="24"/>
        </w:rPr>
      </w:pPr>
      <w:r w:rsidRPr="00F6743D">
        <w:rPr>
          <w:rFonts w:ascii="Times New Roman" w:hAnsi="Times New Roman" w:cs="Times New Roman"/>
          <w:color w:val="000000" w:themeColor="text1"/>
          <w:sz w:val="24"/>
          <w:szCs w:val="24"/>
        </w:rPr>
        <w:t>Train frontline staff and agents: As seen in this case, the moneylender's own agent had clear notice of the minority yet proceeded regardless; businesses should train employees and agents to treat such notices seriously and to decline transactions with minors rather than assume risk can be managed later.</w:t>
      </w:r>
    </w:p>
    <w:p w14:paraId="6E5DDAFC" w14:textId="77777777" w:rsidR="00B26D1F" w:rsidRPr="00F6743D" w:rsidRDefault="00000000">
      <w:pPr>
        <w:pStyle w:val="Heading1"/>
        <w:pBdr>
          <w:bottom w:val="single" w:sz="6" w:space="4" w:color="1F3864"/>
        </w:pBdr>
        <w:spacing w:before="360" w:after="200"/>
        <w:rPr>
          <w:rFonts w:ascii="Times New Roman" w:hAnsi="Times New Roman" w:cs="Times New Roman"/>
          <w:color w:val="000000" w:themeColor="text1"/>
          <w:sz w:val="24"/>
          <w:szCs w:val="24"/>
        </w:rPr>
      </w:pPr>
      <w:r w:rsidRPr="00F6743D">
        <w:rPr>
          <w:rFonts w:ascii="Times New Roman" w:hAnsi="Times New Roman" w:cs="Times New Roman"/>
          <w:b/>
          <w:bCs/>
          <w:color w:val="000000" w:themeColor="text1"/>
          <w:sz w:val="24"/>
          <w:szCs w:val="24"/>
        </w:rPr>
        <w:lastRenderedPageBreak/>
        <w:t>7. Conclusion</w:t>
      </w:r>
    </w:p>
    <w:p w14:paraId="21A6E844" w14:textId="77777777" w:rsidR="00B26D1F" w:rsidRPr="00F6743D" w:rsidRDefault="00000000">
      <w:pPr>
        <w:pStyle w:val="Heading2"/>
        <w:spacing w:before="280" w:after="140"/>
        <w:rPr>
          <w:rFonts w:ascii="Times New Roman" w:hAnsi="Times New Roman" w:cs="Times New Roman"/>
          <w:color w:val="000000" w:themeColor="text1"/>
          <w:sz w:val="24"/>
          <w:szCs w:val="24"/>
        </w:rPr>
      </w:pPr>
      <w:r w:rsidRPr="00F6743D">
        <w:rPr>
          <w:rFonts w:ascii="Times New Roman" w:hAnsi="Times New Roman" w:cs="Times New Roman"/>
          <w:b/>
          <w:bCs/>
          <w:color w:val="000000" w:themeColor="text1"/>
          <w:sz w:val="24"/>
          <w:szCs w:val="24"/>
        </w:rPr>
        <w:t>7.1 Personal Learning and Observations</w:t>
      </w:r>
    </w:p>
    <w:p w14:paraId="1B292FC7" w14:textId="77777777" w:rsidR="00B26D1F" w:rsidRPr="00F6743D" w:rsidRDefault="00000000">
      <w:pPr>
        <w:spacing w:after="180" w:line="300" w:lineRule="auto"/>
        <w:jc w:val="both"/>
        <w:rPr>
          <w:rFonts w:ascii="Times New Roman" w:hAnsi="Times New Roman" w:cs="Times New Roman"/>
          <w:color w:val="000000" w:themeColor="text1"/>
          <w:sz w:val="24"/>
          <w:szCs w:val="24"/>
        </w:rPr>
      </w:pPr>
      <w:r w:rsidRPr="00F6743D">
        <w:rPr>
          <w:rFonts w:ascii="Times New Roman" w:hAnsi="Times New Roman" w:cs="Times New Roman"/>
          <w:color w:val="000000" w:themeColor="text1"/>
          <w:sz w:val="24"/>
          <w:szCs w:val="24"/>
        </w:rPr>
        <w:t xml:space="preserve">Studying </w:t>
      </w:r>
      <w:proofErr w:type="spellStart"/>
      <w:r w:rsidRPr="00F6743D">
        <w:rPr>
          <w:rFonts w:ascii="Times New Roman" w:hAnsi="Times New Roman" w:cs="Times New Roman"/>
          <w:color w:val="000000" w:themeColor="text1"/>
          <w:sz w:val="24"/>
          <w:szCs w:val="24"/>
        </w:rPr>
        <w:t>Mohori</w:t>
      </w:r>
      <w:proofErr w:type="spellEnd"/>
      <w:r w:rsidRPr="00F6743D">
        <w:rPr>
          <w:rFonts w:ascii="Times New Roman" w:hAnsi="Times New Roman" w:cs="Times New Roman"/>
          <w:color w:val="000000" w:themeColor="text1"/>
          <w:sz w:val="24"/>
          <w:szCs w:val="24"/>
        </w:rPr>
        <w:t xml:space="preserve"> Bibee v. </w:t>
      </w:r>
      <w:proofErr w:type="spellStart"/>
      <w:r w:rsidRPr="00F6743D">
        <w:rPr>
          <w:rFonts w:ascii="Times New Roman" w:hAnsi="Times New Roman" w:cs="Times New Roman"/>
          <w:color w:val="000000" w:themeColor="text1"/>
          <w:sz w:val="24"/>
          <w:szCs w:val="24"/>
        </w:rPr>
        <w:t>Dharmodas</w:t>
      </w:r>
      <w:proofErr w:type="spellEnd"/>
      <w:r w:rsidRPr="00F6743D">
        <w:rPr>
          <w:rFonts w:ascii="Times New Roman" w:hAnsi="Times New Roman" w:cs="Times New Roman"/>
          <w:color w:val="000000" w:themeColor="text1"/>
          <w:sz w:val="24"/>
          <w:szCs w:val="24"/>
        </w:rPr>
        <w:t xml:space="preserve"> Ghose has helped me understand that capacity to contract is just as essential a requirement as offer, acceptance, and consideration, and that Indian law treats a minor's incapacity extremely seriously. Unlike some other legal systems where a minor's contract may only be voidable, Indian law, through Section 11 of the Contract Act and this case, makes such agreements void from the very start. This gives minors very strong protection, since it means they cannot be held to bargains they were never legally equipped to make, even if a lender genuinely believed the transaction was fair.</w:t>
      </w:r>
    </w:p>
    <w:p w14:paraId="161AAC2E" w14:textId="77777777" w:rsidR="00B26D1F" w:rsidRPr="00F6743D" w:rsidRDefault="00000000">
      <w:pPr>
        <w:spacing w:after="180" w:line="300" w:lineRule="auto"/>
        <w:jc w:val="both"/>
        <w:rPr>
          <w:rFonts w:ascii="Times New Roman" w:hAnsi="Times New Roman" w:cs="Times New Roman"/>
          <w:color w:val="000000" w:themeColor="text1"/>
          <w:sz w:val="24"/>
          <w:szCs w:val="24"/>
        </w:rPr>
      </w:pPr>
      <w:r w:rsidRPr="00F6743D">
        <w:rPr>
          <w:rFonts w:ascii="Times New Roman" w:hAnsi="Times New Roman" w:cs="Times New Roman"/>
          <w:color w:val="000000" w:themeColor="text1"/>
          <w:sz w:val="24"/>
          <w:szCs w:val="24"/>
        </w:rPr>
        <w:t>I also found it striking that the doctrine of estoppel, which usually holds people to their earlier statements or conduct, simply does not apply here, precisely because applying it would undo the protection the law is trying to give to minors. This tells me that some legal protections are considered so important that ordinary legal principles are set aside to preserve them. As someone studying commerce and financial technology, I think this case is a strong reminder that verifying who you are contracting with is not just good practice, it is a legal necessity, especially as more financial services move online and become easier for anyone, including minors, to access without proper safeguards.</w:t>
      </w:r>
    </w:p>
    <w:p w14:paraId="184C0DBF" w14:textId="77777777" w:rsidR="00B26D1F" w:rsidRPr="00F6743D" w:rsidRDefault="00000000">
      <w:pPr>
        <w:pStyle w:val="Heading1"/>
        <w:pBdr>
          <w:bottom w:val="single" w:sz="6" w:space="4" w:color="1F3864"/>
        </w:pBdr>
        <w:spacing w:before="360" w:after="200"/>
        <w:rPr>
          <w:rFonts w:ascii="Times New Roman" w:hAnsi="Times New Roman" w:cs="Times New Roman"/>
          <w:color w:val="000000" w:themeColor="text1"/>
          <w:sz w:val="24"/>
          <w:szCs w:val="24"/>
        </w:rPr>
      </w:pPr>
      <w:r w:rsidRPr="00F6743D">
        <w:rPr>
          <w:rFonts w:ascii="Times New Roman" w:hAnsi="Times New Roman" w:cs="Times New Roman"/>
          <w:b/>
          <w:bCs/>
          <w:color w:val="000000" w:themeColor="text1"/>
          <w:sz w:val="24"/>
          <w:szCs w:val="24"/>
        </w:rPr>
        <w:t>Annexure: IRAC Summary</w:t>
      </w:r>
    </w:p>
    <w:p w14:paraId="38B8123B" w14:textId="77777777" w:rsidR="00B26D1F" w:rsidRPr="00F6743D" w:rsidRDefault="00000000">
      <w:pPr>
        <w:spacing w:after="180" w:line="300" w:lineRule="auto"/>
        <w:jc w:val="both"/>
        <w:rPr>
          <w:rFonts w:ascii="Times New Roman" w:hAnsi="Times New Roman" w:cs="Times New Roman"/>
          <w:color w:val="000000" w:themeColor="text1"/>
          <w:sz w:val="24"/>
          <w:szCs w:val="24"/>
        </w:rPr>
      </w:pPr>
      <w:r w:rsidRPr="00F6743D">
        <w:rPr>
          <w:rFonts w:ascii="Times New Roman" w:hAnsi="Times New Roman" w:cs="Times New Roman"/>
          <w:color w:val="000000" w:themeColor="text1"/>
          <w:sz w:val="24"/>
          <w:szCs w:val="24"/>
        </w:rPr>
        <w:t>The following table summarises the case using the IRAC (Issue, Rule, Application, Conclusion) method commonly used in legal case analysis:</w:t>
      </w:r>
    </w:p>
    <w:tbl>
      <w:tblPr>
        <w:tblW w:w="9350" w:type="dxa"/>
        <w:tblBorders>
          <w:top w:val="single" w:sz="4" w:space="0" w:color="8C8C8C"/>
          <w:left w:val="single" w:sz="4" w:space="0" w:color="8C8C8C"/>
          <w:bottom w:val="single" w:sz="4" w:space="0" w:color="8C8C8C"/>
          <w:right w:val="single" w:sz="4" w:space="0" w:color="8C8C8C"/>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800"/>
        <w:gridCol w:w="7550"/>
      </w:tblGrid>
      <w:tr w:rsidR="00B26D1F" w:rsidRPr="00F6743D" w14:paraId="7687C026" w14:textId="77777777">
        <w:trPr>
          <w:tblHeader/>
        </w:trPr>
        <w:tc>
          <w:tcPr>
            <w:tcW w:w="1800" w:type="dxa"/>
            <w:shd w:val="clear" w:color="auto" w:fill="1F3864"/>
            <w:tcMar>
              <w:top w:w="100" w:type="dxa"/>
              <w:left w:w="150" w:type="dxa"/>
              <w:bottom w:w="100" w:type="dxa"/>
              <w:right w:w="150" w:type="dxa"/>
            </w:tcMar>
            <w:vAlign w:val="center"/>
          </w:tcPr>
          <w:p w14:paraId="08A043F8" w14:textId="77777777" w:rsidR="00B26D1F" w:rsidRPr="00F6743D" w:rsidRDefault="00000000">
            <w:pPr>
              <w:rPr>
                <w:rFonts w:ascii="Times New Roman" w:hAnsi="Times New Roman" w:cs="Times New Roman"/>
                <w:color w:val="000000" w:themeColor="text1"/>
                <w:sz w:val="24"/>
                <w:szCs w:val="24"/>
              </w:rPr>
            </w:pPr>
            <w:r w:rsidRPr="00F6743D">
              <w:rPr>
                <w:rFonts w:ascii="Times New Roman" w:hAnsi="Times New Roman" w:cs="Times New Roman"/>
                <w:b/>
                <w:bCs/>
                <w:color w:val="000000" w:themeColor="text1"/>
                <w:sz w:val="24"/>
                <w:szCs w:val="24"/>
              </w:rPr>
              <w:t>Element</w:t>
            </w:r>
          </w:p>
        </w:tc>
        <w:tc>
          <w:tcPr>
            <w:tcW w:w="7550" w:type="dxa"/>
            <w:shd w:val="clear" w:color="auto" w:fill="1F3864"/>
            <w:tcMar>
              <w:top w:w="100" w:type="dxa"/>
              <w:left w:w="150" w:type="dxa"/>
              <w:bottom w:w="100" w:type="dxa"/>
              <w:right w:w="150" w:type="dxa"/>
            </w:tcMar>
            <w:vAlign w:val="center"/>
          </w:tcPr>
          <w:p w14:paraId="075C2F1A" w14:textId="77777777" w:rsidR="00B26D1F" w:rsidRPr="00F6743D" w:rsidRDefault="00000000">
            <w:pPr>
              <w:rPr>
                <w:rFonts w:ascii="Times New Roman" w:hAnsi="Times New Roman" w:cs="Times New Roman"/>
                <w:color w:val="000000" w:themeColor="text1"/>
                <w:sz w:val="24"/>
                <w:szCs w:val="24"/>
              </w:rPr>
            </w:pPr>
            <w:r w:rsidRPr="00F6743D">
              <w:rPr>
                <w:rFonts w:ascii="Times New Roman" w:hAnsi="Times New Roman" w:cs="Times New Roman"/>
                <w:b/>
                <w:bCs/>
                <w:color w:val="000000" w:themeColor="text1"/>
                <w:sz w:val="24"/>
                <w:szCs w:val="24"/>
              </w:rPr>
              <w:t xml:space="preserve">Application to </w:t>
            </w:r>
            <w:proofErr w:type="spellStart"/>
            <w:r w:rsidRPr="00F6743D">
              <w:rPr>
                <w:rFonts w:ascii="Times New Roman" w:hAnsi="Times New Roman" w:cs="Times New Roman"/>
                <w:b/>
                <w:bCs/>
                <w:color w:val="000000" w:themeColor="text1"/>
                <w:sz w:val="24"/>
                <w:szCs w:val="24"/>
              </w:rPr>
              <w:t>Mohori</w:t>
            </w:r>
            <w:proofErr w:type="spellEnd"/>
            <w:r w:rsidRPr="00F6743D">
              <w:rPr>
                <w:rFonts w:ascii="Times New Roman" w:hAnsi="Times New Roman" w:cs="Times New Roman"/>
                <w:b/>
                <w:bCs/>
                <w:color w:val="000000" w:themeColor="text1"/>
                <w:sz w:val="24"/>
                <w:szCs w:val="24"/>
              </w:rPr>
              <w:t xml:space="preserve"> Bibee v. </w:t>
            </w:r>
            <w:proofErr w:type="spellStart"/>
            <w:r w:rsidRPr="00F6743D">
              <w:rPr>
                <w:rFonts w:ascii="Times New Roman" w:hAnsi="Times New Roman" w:cs="Times New Roman"/>
                <w:b/>
                <w:bCs/>
                <w:color w:val="000000" w:themeColor="text1"/>
                <w:sz w:val="24"/>
                <w:szCs w:val="24"/>
              </w:rPr>
              <w:t>Dharmodas</w:t>
            </w:r>
            <w:proofErr w:type="spellEnd"/>
            <w:r w:rsidRPr="00F6743D">
              <w:rPr>
                <w:rFonts w:ascii="Times New Roman" w:hAnsi="Times New Roman" w:cs="Times New Roman"/>
                <w:b/>
                <w:bCs/>
                <w:color w:val="000000" w:themeColor="text1"/>
                <w:sz w:val="24"/>
                <w:szCs w:val="24"/>
              </w:rPr>
              <w:t xml:space="preserve"> Ghose</w:t>
            </w:r>
          </w:p>
        </w:tc>
      </w:tr>
      <w:tr w:rsidR="00B26D1F" w:rsidRPr="00F6743D" w14:paraId="63248DF4" w14:textId="77777777">
        <w:tc>
          <w:tcPr>
            <w:tcW w:w="1800" w:type="dxa"/>
            <w:shd w:val="clear" w:color="auto" w:fill="F2F2F2"/>
            <w:tcMar>
              <w:top w:w="100" w:type="dxa"/>
              <w:left w:w="150" w:type="dxa"/>
              <w:bottom w:w="100" w:type="dxa"/>
              <w:right w:w="150" w:type="dxa"/>
            </w:tcMar>
            <w:vAlign w:val="center"/>
          </w:tcPr>
          <w:p w14:paraId="50E36B7D" w14:textId="77777777" w:rsidR="00B26D1F" w:rsidRPr="00F6743D" w:rsidRDefault="00000000">
            <w:pPr>
              <w:rPr>
                <w:rFonts w:ascii="Times New Roman" w:hAnsi="Times New Roman" w:cs="Times New Roman"/>
                <w:color w:val="000000" w:themeColor="text1"/>
                <w:sz w:val="24"/>
                <w:szCs w:val="24"/>
              </w:rPr>
            </w:pPr>
            <w:r w:rsidRPr="00F6743D">
              <w:rPr>
                <w:rFonts w:ascii="Times New Roman" w:hAnsi="Times New Roman" w:cs="Times New Roman"/>
                <w:b/>
                <w:bCs/>
                <w:color w:val="000000" w:themeColor="text1"/>
                <w:sz w:val="24"/>
                <w:szCs w:val="24"/>
              </w:rPr>
              <w:t>Issue</w:t>
            </w:r>
          </w:p>
        </w:tc>
        <w:tc>
          <w:tcPr>
            <w:tcW w:w="7550" w:type="dxa"/>
            <w:shd w:val="clear" w:color="auto" w:fill="F2F2F2"/>
            <w:tcMar>
              <w:top w:w="100" w:type="dxa"/>
              <w:left w:w="150" w:type="dxa"/>
              <w:bottom w:w="100" w:type="dxa"/>
              <w:right w:w="150" w:type="dxa"/>
            </w:tcMar>
            <w:vAlign w:val="center"/>
          </w:tcPr>
          <w:p w14:paraId="3F9F73A6" w14:textId="77777777" w:rsidR="00B26D1F" w:rsidRPr="00F6743D" w:rsidRDefault="00000000">
            <w:pPr>
              <w:rPr>
                <w:rFonts w:ascii="Times New Roman" w:hAnsi="Times New Roman" w:cs="Times New Roman"/>
                <w:color w:val="000000" w:themeColor="text1"/>
                <w:sz w:val="24"/>
                <w:szCs w:val="24"/>
              </w:rPr>
            </w:pPr>
            <w:r w:rsidRPr="00F6743D">
              <w:rPr>
                <w:rFonts w:ascii="Times New Roman" w:hAnsi="Times New Roman" w:cs="Times New Roman"/>
                <w:color w:val="000000" w:themeColor="text1"/>
                <w:sz w:val="24"/>
                <w:szCs w:val="24"/>
              </w:rPr>
              <w:t xml:space="preserve">Could the mortgage executed by </w:t>
            </w:r>
            <w:proofErr w:type="spellStart"/>
            <w:r w:rsidRPr="00F6743D">
              <w:rPr>
                <w:rFonts w:ascii="Times New Roman" w:hAnsi="Times New Roman" w:cs="Times New Roman"/>
                <w:color w:val="000000" w:themeColor="text1"/>
                <w:sz w:val="24"/>
                <w:szCs w:val="24"/>
              </w:rPr>
              <w:t>Dharmodas</w:t>
            </w:r>
            <w:proofErr w:type="spellEnd"/>
            <w:r w:rsidRPr="00F6743D">
              <w:rPr>
                <w:rFonts w:ascii="Times New Roman" w:hAnsi="Times New Roman" w:cs="Times New Roman"/>
                <w:color w:val="000000" w:themeColor="text1"/>
                <w:sz w:val="24"/>
                <w:szCs w:val="24"/>
              </w:rPr>
              <w:t xml:space="preserve"> Ghose, a minor, be enforced by the moneylender to recover the loan advanced?</w:t>
            </w:r>
          </w:p>
        </w:tc>
      </w:tr>
      <w:tr w:rsidR="00B26D1F" w:rsidRPr="00F6743D" w14:paraId="2C413BFF" w14:textId="77777777">
        <w:tc>
          <w:tcPr>
            <w:tcW w:w="1800" w:type="dxa"/>
            <w:shd w:val="clear" w:color="auto" w:fill="FFFFFF"/>
            <w:tcMar>
              <w:top w:w="100" w:type="dxa"/>
              <w:left w:w="150" w:type="dxa"/>
              <w:bottom w:w="100" w:type="dxa"/>
              <w:right w:w="150" w:type="dxa"/>
            </w:tcMar>
            <w:vAlign w:val="center"/>
          </w:tcPr>
          <w:p w14:paraId="0C66C401" w14:textId="77777777" w:rsidR="00B26D1F" w:rsidRPr="00F6743D" w:rsidRDefault="00000000">
            <w:pPr>
              <w:rPr>
                <w:rFonts w:ascii="Times New Roman" w:hAnsi="Times New Roman" w:cs="Times New Roman"/>
                <w:color w:val="000000" w:themeColor="text1"/>
                <w:sz w:val="24"/>
                <w:szCs w:val="24"/>
              </w:rPr>
            </w:pPr>
            <w:r w:rsidRPr="00F6743D">
              <w:rPr>
                <w:rFonts w:ascii="Times New Roman" w:hAnsi="Times New Roman" w:cs="Times New Roman"/>
                <w:b/>
                <w:bCs/>
                <w:color w:val="000000" w:themeColor="text1"/>
                <w:sz w:val="24"/>
                <w:szCs w:val="24"/>
              </w:rPr>
              <w:t>Rule</w:t>
            </w:r>
          </w:p>
        </w:tc>
        <w:tc>
          <w:tcPr>
            <w:tcW w:w="7550" w:type="dxa"/>
            <w:shd w:val="clear" w:color="auto" w:fill="FFFFFF"/>
            <w:tcMar>
              <w:top w:w="100" w:type="dxa"/>
              <w:left w:w="150" w:type="dxa"/>
              <w:bottom w:w="100" w:type="dxa"/>
              <w:right w:w="150" w:type="dxa"/>
            </w:tcMar>
            <w:vAlign w:val="center"/>
          </w:tcPr>
          <w:p w14:paraId="5D79FF3A" w14:textId="77777777" w:rsidR="00B26D1F" w:rsidRPr="00F6743D" w:rsidRDefault="00000000">
            <w:pPr>
              <w:rPr>
                <w:rFonts w:ascii="Times New Roman" w:hAnsi="Times New Roman" w:cs="Times New Roman"/>
                <w:color w:val="000000" w:themeColor="text1"/>
                <w:sz w:val="24"/>
                <w:szCs w:val="24"/>
              </w:rPr>
            </w:pPr>
            <w:r w:rsidRPr="00F6743D">
              <w:rPr>
                <w:rFonts w:ascii="Times New Roman" w:hAnsi="Times New Roman" w:cs="Times New Roman"/>
                <w:color w:val="000000" w:themeColor="text1"/>
                <w:sz w:val="24"/>
                <w:szCs w:val="24"/>
              </w:rPr>
              <w:t>Section 11 of the Indian Contract Act, 1872 requires a person to have attained the age of majority to be competent to contract; an agreement by a minor is void ab initio, and estoppel cannot be used to enforce it.</w:t>
            </w:r>
          </w:p>
        </w:tc>
      </w:tr>
      <w:tr w:rsidR="00B26D1F" w:rsidRPr="00F6743D" w14:paraId="4E670F45" w14:textId="77777777">
        <w:tc>
          <w:tcPr>
            <w:tcW w:w="1800" w:type="dxa"/>
            <w:shd w:val="clear" w:color="auto" w:fill="F2F2F2"/>
            <w:tcMar>
              <w:top w:w="100" w:type="dxa"/>
              <w:left w:w="150" w:type="dxa"/>
              <w:bottom w:w="100" w:type="dxa"/>
              <w:right w:w="150" w:type="dxa"/>
            </w:tcMar>
            <w:vAlign w:val="center"/>
          </w:tcPr>
          <w:p w14:paraId="5DA77D00" w14:textId="77777777" w:rsidR="00B26D1F" w:rsidRPr="00F6743D" w:rsidRDefault="00000000">
            <w:pPr>
              <w:rPr>
                <w:rFonts w:ascii="Times New Roman" w:hAnsi="Times New Roman" w:cs="Times New Roman"/>
                <w:color w:val="000000" w:themeColor="text1"/>
                <w:sz w:val="24"/>
                <w:szCs w:val="24"/>
              </w:rPr>
            </w:pPr>
            <w:r w:rsidRPr="00F6743D">
              <w:rPr>
                <w:rFonts w:ascii="Times New Roman" w:hAnsi="Times New Roman" w:cs="Times New Roman"/>
                <w:b/>
                <w:bCs/>
                <w:color w:val="000000" w:themeColor="text1"/>
                <w:sz w:val="24"/>
                <w:szCs w:val="24"/>
              </w:rPr>
              <w:t>Application</w:t>
            </w:r>
          </w:p>
        </w:tc>
        <w:tc>
          <w:tcPr>
            <w:tcW w:w="7550" w:type="dxa"/>
            <w:shd w:val="clear" w:color="auto" w:fill="F2F2F2"/>
            <w:tcMar>
              <w:top w:w="100" w:type="dxa"/>
              <w:left w:w="150" w:type="dxa"/>
              <w:bottom w:w="100" w:type="dxa"/>
              <w:right w:w="150" w:type="dxa"/>
            </w:tcMar>
            <w:vAlign w:val="center"/>
          </w:tcPr>
          <w:p w14:paraId="7D736142" w14:textId="77777777" w:rsidR="00B26D1F" w:rsidRPr="00F6743D" w:rsidRDefault="00000000">
            <w:pPr>
              <w:rPr>
                <w:rFonts w:ascii="Times New Roman" w:hAnsi="Times New Roman" w:cs="Times New Roman"/>
                <w:color w:val="000000" w:themeColor="text1"/>
                <w:sz w:val="24"/>
                <w:szCs w:val="24"/>
              </w:rPr>
            </w:pPr>
            <w:proofErr w:type="spellStart"/>
            <w:r w:rsidRPr="00F6743D">
              <w:rPr>
                <w:rFonts w:ascii="Times New Roman" w:hAnsi="Times New Roman" w:cs="Times New Roman"/>
                <w:color w:val="000000" w:themeColor="text1"/>
                <w:sz w:val="24"/>
                <w:szCs w:val="24"/>
              </w:rPr>
              <w:t>Dharmodas</w:t>
            </w:r>
            <w:proofErr w:type="spellEnd"/>
            <w:r w:rsidRPr="00F6743D">
              <w:rPr>
                <w:rFonts w:ascii="Times New Roman" w:hAnsi="Times New Roman" w:cs="Times New Roman"/>
                <w:color w:val="000000" w:themeColor="text1"/>
                <w:sz w:val="24"/>
                <w:szCs w:val="24"/>
              </w:rPr>
              <w:t xml:space="preserve"> Ghose was a minor when he executed the mortgage. The moneylender's agent had clear prior notice of this fact but proceeded with the loan regardless.</w:t>
            </w:r>
          </w:p>
        </w:tc>
      </w:tr>
      <w:tr w:rsidR="00B26D1F" w:rsidRPr="00F6743D" w14:paraId="5CC7F109" w14:textId="77777777">
        <w:tc>
          <w:tcPr>
            <w:tcW w:w="1800" w:type="dxa"/>
            <w:shd w:val="clear" w:color="auto" w:fill="FFFFFF"/>
            <w:tcMar>
              <w:top w:w="100" w:type="dxa"/>
              <w:left w:w="150" w:type="dxa"/>
              <w:bottom w:w="100" w:type="dxa"/>
              <w:right w:w="150" w:type="dxa"/>
            </w:tcMar>
            <w:vAlign w:val="center"/>
          </w:tcPr>
          <w:p w14:paraId="62C1B24A" w14:textId="77777777" w:rsidR="00B26D1F" w:rsidRPr="00F6743D" w:rsidRDefault="00000000">
            <w:pPr>
              <w:rPr>
                <w:rFonts w:ascii="Times New Roman" w:hAnsi="Times New Roman" w:cs="Times New Roman"/>
                <w:color w:val="000000" w:themeColor="text1"/>
                <w:sz w:val="24"/>
                <w:szCs w:val="24"/>
              </w:rPr>
            </w:pPr>
            <w:r w:rsidRPr="00F6743D">
              <w:rPr>
                <w:rFonts w:ascii="Times New Roman" w:hAnsi="Times New Roman" w:cs="Times New Roman"/>
                <w:b/>
                <w:bCs/>
                <w:color w:val="000000" w:themeColor="text1"/>
                <w:sz w:val="24"/>
                <w:szCs w:val="24"/>
              </w:rPr>
              <w:t>Conclusion</w:t>
            </w:r>
          </w:p>
        </w:tc>
        <w:tc>
          <w:tcPr>
            <w:tcW w:w="7550" w:type="dxa"/>
            <w:shd w:val="clear" w:color="auto" w:fill="FFFFFF"/>
            <w:tcMar>
              <w:top w:w="100" w:type="dxa"/>
              <w:left w:w="150" w:type="dxa"/>
              <w:bottom w:w="100" w:type="dxa"/>
              <w:right w:w="150" w:type="dxa"/>
            </w:tcMar>
            <w:vAlign w:val="center"/>
          </w:tcPr>
          <w:p w14:paraId="3BE1B420" w14:textId="77777777" w:rsidR="00B26D1F" w:rsidRPr="00F6743D" w:rsidRDefault="00000000">
            <w:pPr>
              <w:rPr>
                <w:rFonts w:ascii="Times New Roman" w:hAnsi="Times New Roman" w:cs="Times New Roman"/>
                <w:color w:val="000000" w:themeColor="text1"/>
                <w:sz w:val="24"/>
                <w:szCs w:val="24"/>
              </w:rPr>
            </w:pPr>
            <w:r w:rsidRPr="00F6743D">
              <w:rPr>
                <w:rFonts w:ascii="Times New Roman" w:hAnsi="Times New Roman" w:cs="Times New Roman"/>
                <w:color w:val="000000" w:themeColor="text1"/>
                <w:sz w:val="24"/>
                <w:szCs w:val="24"/>
              </w:rPr>
              <w:t>The mortgage was void from the very beginning. The moneylender could not enforce it or recover the loan through it, and estoppel could not be invoked against the minor.</w:t>
            </w:r>
          </w:p>
        </w:tc>
      </w:tr>
    </w:tbl>
    <w:p w14:paraId="7D76D60F" w14:textId="77777777" w:rsidR="008A2F9A" w:rsidRPr="00F6743D" w:rsidRDefault="008A2F9A">
      <w:pPr>
        <w:rPr>
          <w:rFonts w:ascii="Times New Roman" w:hAnsi="Times New Roman" w:cs="Times New Roman"/>
          <w:color w:val="000000" w:themeColor="text1"/>
          <w:sz w:val="24"/>
          <w:szCs w:val="24"/>
        </w:rPr>
      </w:pPr>
    </w:p>
    <w:sectPr w:rsidR="008A2F9A" w:rsidRPr="00F6743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004F7" w14:textId="77777777" w:rsidR="00550F74" w:rsidRDefault="00550F74">
      <w:r>
        <w:separator/>
      </w:r>
    </w:p>
  </w:endnote>
  <w:endnote w:type="continuationSeparator" w:id="0">
    <w:p w14:paraId="12C9134C" w14:textId="77777777" w:rsidR="00550F74" w:rsidRDefault="00550F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2E442" w14:textId="3261EF9C" w:rsidR="00B26D1F"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AE6E3F">
      <w:rPr>
        <w:noProof/>
        <w:color w:val="595959"/>
        <w:sz w:val="18"/>
        <w:szCs w:val="18"/>
      </w:rPr>
      <w:t>3</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AE6E3F">
      <w:rPr>
        <w:noProof/>
        <w:color w:val="595959"/>
        <w:sz w:val="18"/>
        <w:szCs w:val="18"/>
      </w:rPr>
      <w:t>4</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3B914" w14:textId="77777777" w:rsidR="00550F74" w:rsidRDefault="00550F74">
      <w:r>
        <w:separator/>
      </w:r>
    </w:p>
  </w:footnote>
  <w:footnote w:type="continuationSeparator" w:id="0">
    <w:p w14:paraId="4EE2A9CC" w14:textId="77777777" w:rsidR="00550F74" w:rsidRDefault="00550F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3FB96" w14:textId="477E3D81" w:rsidR="00B26D1F" w:rsidRPr="00DF7F82" w:rsidRDefault="00B26D1F" w:rsidP="00DF7F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45841"/>
    <w:multiLevelType w:val="hybridMultilevel"/>
    <w:tmpl w:val="DACA3398"/>
    <w:lvl w:ilvl="0" w:tplc="BFCEB854">
      <w:start w:val="1"/>
      <w:numFmt w:val="bullet"/>
      <w:lvlText w:val="•"/>
      <w:lvlJc w:val="left"/>
      <w:pPr>
        <w:ind w:left="720" w:hanging="360"/>
      </w:pPr>
    </w:lvl>
    <w:lvl w:ilvl="1" w:tplc="EC6A4554">
      <w:numFmt w:val="decimal"/>
      <w:lvlText w:val=""/>
      <w:lvlJc w:val="left"/>
    </w:lvl>
    <w:lvl w:ilvl="2" w:tplc="FE9E7CBC">
      <w:numFmt w:val="decimal"/>
      <w:lvlText w:val=""/>
      <w:lvlJc w:val="left"/>
    </w:lvl>
    <w:lvl w:ilvl="3" w:tplc="C58E8392">
      <w:numFmt w:val="decimal"/>
      <w:lvlText w:val=""/>
      <w:lvlJc w:val="left"/>
    </w:lvl>
    <w:lvl w:ilvl="4" w:tplc="1050493E">
      <w:numFmt w:val="decimal"/>
      <w:lvlText w:val=""/>
      <w:lvlJc w:val="left"/>
    </w:lvl>
    <w:lvl w:ilvl="5" w:tplc="268E7758">
      <w:numFmt w:val="decimal"/>
      <w:lvlText w:val=""/>
      <w:lvlJc w:val="left"/>
    </w:lvl>
    <w:lvl w:ilvl="6" w:tplc="CC1023FE">
      <w:numFmt w:val="decimal"/>
      <w:lvlText w:val=""/>
      <w:lvlJc w:val="left"/>
    </w:lvl>
    <w:lvl w:ilvl="7" w:tplc="392A4784">
      <w:numFmt w:val="decimal"/>
      <w:lvlText w:val=""/>
      <w:lvlJc w:val="left"/>
    </w:lvl>
    <w:lvl w:ilvl="8" w:tplc="FD94AE56">
      <w:numFmt w:val="decimal"/>
      <w:lvlText w:val=""/>
      <w:lvlJc w:val="left"/>
    </w:lvl>
  </w:abstractNum>
  <w:abstractNum w:abstractNumId="1" w15:restartNumberingAfterBreak="0">
    <w:nsid w:val="576E6D6F"/>
    <w:multiLevelType w:val="hybridMultilevel"/>
    <w:tmpl w:val="3DBE366C"/>
    <w:lvl w:ilvl="0" w:tplc="56CA040E">
      <w:start w:val="1"/>
      <w:numFmt w:val="bullet"/>
      <w:lvlText w:val="●"/>
      <w:lvlJc w:val="left"/>
      <w:pPr>
        <w:ind w:left="720" w:hanging="360"/>
      </w:pPr>
    </w:lvl>
    <w:lvl w:ilvl="1" w:tplc="E7E2452C">
      <w:start w:val="1"/>
      <w:numFmt w:val="bullet"/>
      <w:lvlText w:val="○"/>
      <w:lvlJc w:val="left"/>
      <w:pPr>
        <w:ind w:left="1440" w:hanging="360"/>
      </w:pPr>
    </w:lvl>
    <w:lvl w:ilvl="2" w:tplc="FED4B23C">
      <w:start w:val="1"/>
      <w:numFmt w:val="bullet"/>
      <w:lvlText w:val="■"/>
      <w:lvlJc w:val="left"/>
      <w:pPr>
        <w:ind w:left="2160" w:hanging="360"/>
      </w:pPr>
    </w:lvl>
    <w:lvl w:ilvl="3" w:tplc="323A3036">
      <w:start w:val="1"/>
      <w:numFmt w:val="bullet"/>
      <w:lvlText w:val="●"/>
      <w:lvlJc w:val="left"/>
      <w:pPr>
        <w:ind w:left="2880" w:hanging="360"/>
      </w:pPr>
    </w:lvl>
    <w:lvl w:ilvl="4" w:tplc="0C0ED8EC">
      <w:start w:val="1"/>
      <w:numFmt w:val="bullet"/>
      <w:lvlText w:val="○"/>
      <w:lvlJc w:val="left"/>
      <w:pPr>
        <w:ind w:left="3600" w:hanging="360"/>
      </w:pPr>
    </w:lvl>
    <w:lvl w:ilvl="5" w:tplc="6DF27710">
      <w:start w:val="1"/>
      <w:numFmt w:val="bullet"/>
      <w:lvlText w:val="■"/>
      <w:lvlJc w:val="left"/>
      <w:pPr>
        <w:ind w:left="4320" w:hanging="360"/>
      </w:pPr>
    </w:lvl>
    <w:lvl w:ilvl="6" w:tplc="3BAA586C">
      <w:start w:val="1"/>
      <w:numFmt w:val="bullet"/>
      <w:lvlText w:val="●"/>
      <w:lvlJc w:val="left"/>
      <w:pPr>
        <w:ind w:left="5040" w:hanging="360"/>
      </w:pPr>
    </w:lvl>
    <w:lvl w:ilvl="7" w:tplc="AA9CA4CC">
      <w:start w:val="1"/>
      <w:numFmt w:val="bullet"/>
      <w:lvlText w:val="●"/>
      <w:lvlJc w:val="left"/>
      <w:pPr>
        <w:ind w:left="5760" w:hanging="360"/>
      </w:pPr>
    </w:lvl>
    <w:lvl w:ilvl="8" w:tplc="A5B23772">
      <w:start w:val="1"/>
      <w:numFmt w:val="bullet"/>
      <w:lvlText w:val="●"/>
      <w:lvlJc w:val="left"/>
      <w:pPr>
        <w:ind w:left="6480" w:hanging="360"/>
      </w:pPr>
    </w:lvl>
  </w:abstractNum>
  <w:num w:numId="1" w16cid:durableId="4380651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D1F"/>
    <w:rsid w:val="001B7324"/>
    <w:rsid w:val="002A6F94"/>
    <w:rsid w:val="00397F08"/>
    <w:rsid w:val="003D397D"/>
    <w:rsid w:val="00550F74"/>
    <w:rsid w:val="00591D12"/>
    <w:rsid w:val="008A2F9A"/>
    <w:rsid w:val="00957EA0"/>
    <w:rsid w:val="009A5D6D"/>
    <w:rsid w:val="00AE6E3F"/>
    <w:rsid w:val="00B26D1F"/>
    <w:rsid w:val="00C30CE6"/>
    <w:rsid w:val="00D4587B"/>
    <w:rsid w:val="00D578BE"/>
    <w:rsid w:val="00DF7F82"/>
    <w:rsid w:val="00F335A6"/>
    <w:rsid w:val="00F674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793C3"/>
  <w15:docId w15:val="{22C7048C-FF3C-4BD5-8783-CFBA0B4E3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6743D"/>
    <w:pPr>
      <w:tabs>
        <w:tab w:val="center" w:pos="4513"/>
        <w:tab w:val="right" w:pos="9026"/>
      </w:tabs>
    </w:pPr>
  </w:style>
  <w:style w:type="character" w:customStyle="1" w:styleId="HeaderChar">
    <w:name w:val="Header Char"/>
    <w:basedOn w:val="DefaultParagraphFont"/>
    <w:link w:val="Header"/>
    <w:uiPriority w:val="99"/>
    <w:rsid w:val="00F6743D"/>
  </w:style>
  <w:style w:type="paragraph" w:styleId="Footer">
    <w:name w:val="footer"/>
    <w:basedOn w:val="Normal"/>
    <w:link w:val="FooterChar"/>
    <w:uiPriority w:val="99"/>
    <w:unhideWhenUsed/>
    <w:rsid w:val="00F6743D"/>
    <w:pPr>
      <w:tabs>
        <w:tab w:val="center" w:pos="4513"/>
        <w:tab w:val="right" w:pos="9026"/>
      </w:tabs>
    </w:pPr>
  </w:style>
  <w:style w:type="character" w:customStyle="1" w:styleId="FooterChar">
    <w:name w:val="Footer Char"/>
    <w:basedOn w:val="DefaultParagraphFont"/>
    <w:link w:val="Footer"/>
    <w:uiPriority w:val="99"/>
    <w:rsid w:val="00F6743D"/>
  </w:style>
  <w:style w:type="character" w:customStyle="1" w:styleId="Heading1Char">
    <w:name w:val="Heading 1 Char"/>
    <w:basedOn w:val="DefaultParagraphFont"/>
    <w:link w:val="Heading1"/>
    <w:uiPriority w:val="9"/>
    <w:rsid w:val="00D4587B"/>
    <w:rPr>
      <w:color w:val="2E74B5"/>
      <w:sz w:val="32"/>
      <w:szCs w:val="32"/>
    </w:rPr>
  </w:style>
  <w:style w:type="table" w:styleId="TableGrid">
    <w:name w:val="Table Grid"/>
    <w:basedOn w:val="TableNormal"/>
    <w:uiPriority w:val="39"/>
    <w:rsid w:val="00D458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9</Pages>
  <Words>2544</Words>
  <Characters>14501</Characters>
  <Application>Microsoft Office Word</Application>
  <DocSecurity>0</DocSecurity>
  <Lines>120</Lines>
  <Paragraphs>34</Paragraphs>
  <ScaleCrop>false</ScaleCrop>
  <Company/>
  <LinksUpToDate>false</LinksUpToDate>
  <CharactersWithSpaces>17011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Deenah .N</cp:lastModifiedBy>
  <cp:revision>11</cp:revision>
  <dcterms:created xsi:type="dcterms:W3CDTF">2026-08-04T05:55:00Z</dcterms:created>
  <dcterms:modified xsi:type="dcterms:W3CDTF">2026-08-10T07:55:00Z</dcterms:modified>
</cp:coreProperties>
</file>