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D992E" w14:textId="77777777" w:rsidR="0047070B" w:rsidRPr="0013443B" w:rsidRDefault="0047070B">
      <w:pPr>
        <w:spacing w:before="2200"/>
        <w:rPr>
          <w:rFonts w:ascii="Times New Roman" w:hAnsi="Times New Roman" w:cs="Times New Roman"/>
          <w:color w:val="000000" w:themeColor="text1"/>
        </w:rPr>
      </w:pPr>
    </w:p>
    <w:p w14:paraId="685A6BD3" w14:textId="77777777" w:rsidR="0047070B" w:rsidRPr="00DF17D5" w:rsidRDefault="002370F6">
      <w:pPr>
        <w:spacing w:after="100"/>
        <w:jc w:val="center"/>
        <w:rPr>
          <w:rFonts w:ascii="Times New Roman" w:hAnsi="Times New Roman" w:cs="Times New Roman"/>
          <w:color w:val="000000" w:themeColor="text1"/>
          <w:sz w:val="36"/>
          <w:szCs w:val="36"/>
        </w:rPr>
      </w:pPr>
      <w:r w:rsidRPr="00DF17D5">
        <w:rPr>
          <w:rFonts w:ascii="Times New Roman" w:hAnsi="Times New Roman" w:cs="Times New Roman"/>
          <w:b/>
          <w:bCs/>
          <w:color w:val="000000" w:themeColor="text1"/>
          <w:sz w:val="36"/>
          <w:szCs w:val="36"/>
        </w:rPr>
        <w:t>CASE ANALYSIS REPORT</w:t>
      </w:r>
    </w:p>
    <w:p w14:paraId="1CC04428" w14:textId="7E284B8E" w:rsidR="0047070B" w:rsidRPr="00DF17D5" w:rsidRDefault="002370F6" w:rsidP="0013443B">
      <w:pPr>
        <w:spacing w:after="600"/>
        <w:jc w:val="center"/>
        <w:rPr>
          <w:rFonts w:ascii="Times New Roman" w:hAnsi="Times New Roman" w:cs="Times New Roman"/>
          <w:color w:val="000000" w:themeColor="text1"/>
          <w:sz w:val="36"/>
          <w:szCs w:val="36"/>
        </w:rPr>
      </w:pPr>
      <w:r w:rsidRPr="00DF17D5">
        <w:rPr>
          <w:rFonts w:ascii="Times New Roman" w:hAnsi="Times New Roman" w:cs="Times New Roman"/>
          <w:b/>
          <w:bCs/>
          <w:i/>
          <w:iCs/>
          <w:color w:val="000000" w:themeColor="text1"/>
          <w:sz w:val="36"/>
          <w:szCs w:val="36"/>
        </w:rPr>
        <w:t>Hadley v. Baxendale (1854) 9 Ex Ch 341</w:t>
      </w:r>
    </w:p>
    <w:p w14:paraId="56084549" w14:textId="77777777" w:rsidR="0013443B" w:rsidRPr="0013443B" w:rsidRDefault="0013443B">
      <w:pPr>
        <w:spacing w:after="200"/>
        <w:jc w:val="center"/>
        <w:rPr>
          <w:rFonts w:ascii="Times New Roman" w:hAnsi="Times New Roman" w:cs="Times New Roman"/>
          <w:b/>
          <w:bCs/>
          <w:color w:val="000000" w:themeColor="text1"/>
          <w:sz w:val="24"/>
          <w:szCs w:val="24"/>
        </w:rPr>
      </w:pPr>
    </w:p>
    <w:p w14:paraId="1FC50C18" w14:textId="77777777" w:rsidR="0013443B" w:rsidRPr="0013443B" w:rsidRDefault="0013443B">
      <w:pPr>
        <w:spacing w:after="200"/>
        <w:jc w:val="center"/>
        <w:rPr>
          <w:rFonts w:ascii="Times New Roman" w:hAnsi="Times New Roman" w:cs="Times New Roman"/>
          <w:b/>
          <w:bCs/>
          <w:color w:val="000000" w:themeColor="text1"/>
          <w:sz w:val="24"/>
          <w:szCs w:val="24"/>
        </w:rPr>
      </w:pPr>
    </w:p>
    <w:p w14:paraId="7D63B33C" w14:textId="1656ECBF" w:rsidR="0047070B" w:rsidRPr="00DF17D5" w:rsidRDefault="002370F6">
      <w:pPr>
        <w:spacing w:after="200"/>
        <w:jc w:val="center"/>
        <w:rPr>
          <w:rFonts w:ascii="Times New Roman" w:hAnsi="Times New Roman" w:cs="Times New Roman"/>
          <w:color w:val="000000" w:themeColor="text1"/>
          <w:sz w:val="28"/>
          <w:szCs w:val="28"/>
        </w:rPr>
      </w:pPr>
      <w:r w:rsidRPr="00DF17D5">
        <w:rPr>
          <w:rFonts w:ascii="Times New Roman" w:hAnsi="Times New Roman" w:cs="Times New Roman"/>
          <w:b/>
          <w:bCs/>
          <w:color w:val="000000" w:themeColor="text1"/>
          <w:sz w:val="28"/>
          <w:szCs w:val="28"/>
        </w:rPr>
        <w:t xml:space="preserve">Student Name:  </w:t>
      </w:r>
      <w:r w:rsidRPr="00DF17D5">
        <w:rPr>
          <w:rFonts w:ascii="Times New Roman" w:hAnsi="Times New Roman" w:cs="Times New Roman"/>
          <w:color w:val="000000" w:themeColor="text1"/>
          <w:sz w:val="28"/>
          <w:szCs w:val="28"/>
        </w:rPr>
        <w:t>Deenah N</w:t>
      </w:r>
    </w:p>
    <w:p w14:paraId="74DFF21D" w14:textId="77777777" w:rsidR="0047070B" w:rsidRPr="00DF17D5" w:rsidRDefault="002370F6">
      <w:pPr>
        <w:spacing w:after="200"/>
        <w:jc w:val="center"/>
        <w:rPr>
          <w:rFonts w:ascii="Times New Roman" w:hAnsi="Times New Roman" w:cs="Times New Roman"/>
          <w:color w:val="000000" w:themeColor="text1"/>
          <w:sz w:val="28"/>
          <w:szCs w:val="28"/>
        </w:rPr>
      </w:pPr>
      <w:r w:rsidRPr="00DF17D5">
        <w:rPr>
          <w:rFonts w:ascii="Times New Roman" w:hAnsi="Times New Roman" w:cs="Times New Roman"/>
          <w:b/>
          <w:bCs/>
          <w:color w:val="000000" w:themeColor="text1"/>
          <w:sz w:val="28"/>
          <w:szCs w:val="28"/>
        </w:rPr>
        <w:t xml:space="preserve">Register Number:  </w:t>
      </w:r>
      <w:r w:rsidRPr="00DF17D5">
        <w:rPr>
          <w:rFonts w:ascii="Times New Roman" w:hAnsi="Times New Roman" w:cs="Times New Roman"/>
          <w:color w:val="000000" w:themeColor="text1"/>
          <w:sz w:val="28"/>
          <w:szCs w:val="28"/>
        </w:rPr>
        <w:t>5272510203</w:t>
      </w:r>
    </w:p>
    <w:p w14:paraId="4E584356" w14:textId="405B076F" w:rsidR="0047070B" w:rsidRPr="00DF17D5" w:rsidRDefault="002370F6">
      <w:pPr>
        <w:spacing w:after="200"/>
        <w:jc w:val="center"/>
        <w:rPr>
          <w:rFonts w:ascii="Times New Roman" w:hAnsi="Times New Roman" w:cs="Times New Roman"/>
          <w:color w:val="000000" w:themeColor="text1"/>
          <w:sz w:val="28"/>
          <w:szCs w:val="28"/>
        </w:rPr>
      </w:pPr>
      <w:r w:rsidRPr="00DF17D5">
        <w:rPr>
          <w:rFonts w:ascii="Times New Roman" w:hAnsi="Times New Roman" w:cs="Times New Roman"/>
          <w:b/>
          <w:bCs/>
          <w:color w:val="000000" w:themeColor="text1"/>
          <w:sz w:val="28"/>
          <w:szCs w:val="28"/>
        </w:rPr>
        <w:t xml:space="preserve">Course:  </w:t>
      </w:r>
      <w:r w:rsidRPr="00DF17D5">
        <w:rPr>
          <w:rFonts w:ascii="Times New Roman" w:hAnsi="Times New Roman" w:cs="Times New Roman"/>
          <w:color w:val="000000" w:themeColor="text1"/>
          <w:sz w:val="28"/>
          <w:szCs w:val="28"/>
        </w:rPr>
        <w:t>B.</w:t>
      </w:r>
      <w:r w:rsidR="0013443B" w:rsidRPr="00DF17D5">
        <w:rPr>
          <w:rFonts w:ascii="Times New Roman" w:hAnsi="Times New Roman" w:cs="Times New Roman"/>
          <w:color w:val="000000" w:themeColor="text1"/>
          <w:sz w:val="28"/>
          <w:szCs w:val="28"/>
        </w:rPr>
        <w:t>c</w:t>
      </w:r>
      <w:r w:rsidRPr="00DF17D5">
        <w:rPr>
          <w:rFonts w:ascii="Times New Roman" w:hAnsi="Times New Roman" w:cs="Times New Roman"/>
          <w:color w:val="000000" w:themeColor="text1"/>
          <w:sz w:val="28"/>
          <w:szCs w:val="28"/>
        </w:rPr>
        <w:t>om Fintech with AI</w:t>
      </w:r>
    </w:p>
    <w:p w14:paraId="2B1C1D60" w14:textId="77777777" w:rsidR="0047070B" w:rsidRPr="0013443B" w:rsidRDefault="0047070B">
      <w:pPr>
        <w:spacing w:before="2000"/>
        <w:rPr>
          <w:rFonts w:ascii="Times New Roman" w:hAnsi="Times New Roman" w:cs="Times New Roman"/>
          <w:color w:val="000000" w:themeColor="text1"/>
        </w:rPr>
      </w:pPr>
    </w:p>
    <w:p w14:paraId="709FAB43" w14:textId="77777777" w:rsidR="0047070B" w:rsidRPr="0013443B" w:rsidRDefault="0047070B">
      <w:pPr>
        <w:rPr>
          <w:rFonts w:ascii="Times New Roman" w:hAnsi="Times New Roman" w:cs="Times New Roman"/>
          <w:color w:val="000000" w:themeColor="text1"/>
        </w:rPr>
        <w:sectPr w:rsidR="0047070B" w:rsidRPr="0013443B">
          <w:pgSz w:w="12240" w:h="15840"/>
          <w:pgMar w:top="1440" w:right="1440" w:bottom="1440" w:left="1440" w:header="708" w:footer="708" w:gutter="0"/>
          <w:cols w:space="720"/>
          <w:docGrid w:linePitch="360"/>
        </w:sectPr>
      </w:pPr>
    </w:p>
    <w:p w14:paraId="085E3F65" w14:textId="78CDA79C" w:rsidR="007654EC" w:rsidRPr="00DF17D5" w:rsidRDefault="002370F6" w:rsidP="007654EC">
      <w:pPr>
        <w:pBdr>
          <w:bottom w:val="single" w:sz="6" w:space="4" w:color="1F3864"/>
        </w:pBdr>
        <w:spacing w:after="300"/>
        <w:jc w:val="center"/>
        <w:rPr>
          <w:rFonts w:ascii="Times New Roman" w:hAnsi="Times New Roman" w:cs="Times New Roman"/>
          <w:b/>
          <w:bCs/>
          <w:color w:val="000000" w:themeColor="text1"/>
          <w:sz w:val="24"/>
          <w:szCs w:val="24"/>
        </w:rPr>
      </w:pPr>
      <w:r w:rsidRPr="00DF17D5">
        <w:rPr>
          <w:rFonts w:ascii="Times New Roman" w:hAnsi="Times New Roman" w:cs="Times New Roman"/>
          <w:b/>
          <w:bCs/>
          <w:color w:val="000000" w:themeColor="text1"/>
          <w:sz w:val="24"/>
          <w:szCs w:val="24"/>
        </w:rPr>
        <w:t>Table of Contents</w:t>
      </w:r>
    </w:p>
    <w:p w14:paraId="5B86AE54" w14:textId="77777777" w:rsidR="0047070B" w:rsidRPr="00DF17D5" w:rsidRDefault="0047070B">
      <w:pPr>
        <w:rPr>
          <w:rFonts w:ascii="Times New Roman" w:hAnsi="Times New Roman" w:cs="Times New Roman"/>
          <w:color w:val="000000" w:themeColor="text1"/>
          <w:sz w:val="24"/>
          <w:szCs w:val="24"/>
        </w:rPr>
      </w:pPr>
    </w:p>
    <w:p w14:paraId="20F02A29" w14:textId="77777777" w:rsidR="007654EC" w:rsidRPr="00DF17D5" w:rsidRDefault="007654EC">
      <w:pPr>
        <w:rPr>
          <w:rFonts w:ascii="Times New Roman" w:hAnsi="Times New Roman" w:cs="Times New Roman"/>
          <w:color w:val="000000" w:themeColor="text1"/>
          <w:sz w:val="24"/>
          <w:szCs w:val="24"/>
        </w:rPr>
      </w:pPr>
    </w:p>
    <w:p w14:paraId="41B87C1A" w14:textId="77777777" w:rsidR="007654EC" w:rsidRPr="00DF17D5" w:rsidRDefault="007654EC">
      <w:pPr>
        <w:rPr>
          <w:rFonts w:ascii="Times New Roman" w:hAnsi="Times New Roman" w:cs="Times New Roman"/>
          <w:color w:val="000000" w:themeColor="text1"/>
          <w:sz w:val="24"/>
          <w:szCs w:val="24"/>
        </w:rPr>
      </w:pPr>
    </w:p>
    <w:p w14:paraId="3E066007" w14:textId="77777777" w:rsidR="007654EC" w:rsidRPr="00DF17D5" w:rsidRDefault="007654EC">
      <w:pPr>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1129"/>
        <w:gridCol w:w="8221"/>
      </w:tblGrid>
      <w:tr w:rsidR="007654EC" w:rsidRPr="00DF17D5" w14:paraId="0A56B650" w14:textId="77777777" w:rsidTr="00356392">
        <w:trPr>
          <w:trHeight w:val="1077"/>
        </w:trPr>
        <w:tc>
          <w:tcPr>
            <w:tcW w:w="1129" w:type="dxa"/>
          </w:tcPr>
          <w:p w14:paraId="58DAC500" w14:textId="77777777" w:rsidR="007654EC" w:rsidRPr="00DF17D5" w:rsidRDefault="007654EC" w:rsidP="00356392">
            <w:pPr>
              <w:pStyle w:val="Heading1"/>
              <w:spacing w:before="360" w:after="200"/>
              <w:jc w:val="both"/>
              <w:rPr>
                <w:rFonts w:ascii="Times New Roman" w:hAnsi="Times New Roman" w:cs="Times New Roman"/>
                <w:b/>
                <w:bCs/>
                <w:color w:val="000000" w:themeColor="text1"/>
                <w:sz w:val="24"/>
                <w:szCs w:val="24"/>
              </w:rPr>
            </w:pPr>
          </w:p>
          <w:p w14:paraId="5BC46DD6" w14:textId="77777777" w:rsidR="007654EC" w:rsidRPr="00DF17D5" w:rsidRDefault="007654EC" w:rsidP="00356392">
            <w:pPr>
              <w:pStyle w:val="Heading1"/>
              <w:spacing w:before="360" w:after="200"/>
              <w:jc w:val="both"/>
              <w:rPr>
                <w:rFonts w:ascii="Times New Roman" w:hAnsi="Times New Roman" w:cs="Times New Roman"/>
                <w:b/>
                <w:bCs/>
                <w:color w:val="000000" w:themeColor="text1"/>
                <w:sz w:val="24"/>
                <w:szCs w:val="24"/>
              </w:rPr>
            </w:pPr>
            <w:r w:rsidRPr="00DF17D5">
              <w:rPr>
                <w:rFonts w:ascii="Times New Roman" w:hAnsi="Times New Roman" w:cs="Times New Roman"/>
                <w:b/>
                <w:bCs/>
                <w:color w:val="000000" w:themeColor="text1"/>
                <w:sz w:val="24"/>
                <w:szCs w:val="24"/>
              </w:rPr>
              <w:t>S.NO</w:t>
            </w:r>
          </w:p>
        </w:tc>
        <w:tc>
          <w:tcPr>
            <w:tcW w:w="8221" w:type="dxa"/>
          </w:tcPr>
          <w:p w14:paraId="19B6869B" w14:textId="77777777" w:rsidR="007654EC" w:rsidRPr="00DF17D5" w:rsidRDefault="007654EC" w:rsidP="00356392">
            <w:pPr>
              <w:pStyle w:val="Heading1"/>
              <w:spacing w:before="360" w:after="200"/>
              <w:jc w:val="center"/>
              <w:rPr>
                <w:rFonts w:ascii="Times New Roman" w:hAnsi="Times New Roman" w:cs="Times New Roman"/>
                <w:b/>
                <w:bCs/>
                <w:color w:val="000000" w:themeColor="text1"/>
                <w:sz w:val="24"/>
                <w:szCs w:val="24"/>
              </w:rPr>
            </w:pPr>
            <w:r w:rsidRPr="00DF17D5">
              <w:rPr>
                <w:rFonts w:ascii="Times New Roman" w:hAnsi="Times New Roman" w:cs="Times New Roman"/>
                <w:b/>
                <w:bCs/>
                <w:color w:val="000000" w:themeColor="text1"/>
                <w:sz w:val="24"/>
                <w:szCs w:val="24"/>
              </w:rPr>
              <w:t>Topics</w:t>
            </w:r>
          </w:p>
        </w:tc>
      </w:tr>
      <w:tr w:rsidR="007654EC" w:rsidRPr="00DF17D5" w14:paraId="15C5364F" w14:textId="77777777" w:rsidTr="00356392">
        <w:trPr>
          <w:trHeight w:val="569"/>
        </w:trPr>
        <w:tc>
          <w:tcPr>
            <w:tcW w:w="1129" w:type="dxa"/>
          </w:tcPr>
          <w:p w14:paraId="3B9CD1E9"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1</w:t>
            </w:r>
          </w:p>
        </w:tc>
        <w:tc>
          <w:tcPr>
            <w:tcW w:w="8221" w:type="dxa"/>
          </w:tcPr>
          <w:p w14:paraId="0A2DAFFD"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Introduction</w:t>
            </w:r>
          </w:p>
        </w:tc>
      </w:tr>
      <w:tr w:rsidR="007654EC" w:rsidRPr="00DF17D5" w14:paraId="5AFA458D" w14:textId="77777777" w:rsidTr="00356392">
        <w:tc>
          <w:tcPr>
            <w:tcW w:w="1129" w:type="dxa"/>
          </w:tcPr>
          <w:p w14:paraId="49C12D6B"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2</w:t>
            </w:r>
          </w:p>
        </w:tc>
        <w:tc>
          <w:tcPr>
            <w:tcW w:w="8221" w:type="dxa"/>
          </w:tcPr>
          <w:p w14:paraId="12F84EF8"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Facts of the case</w:t>
            </w:r>
          </w:p>
        </w:tc>
      </w:tr>
      <w:tr w:rsidR="007654EC" w:rsidRPr="00DF17D5" w14:paraId="063B7E1F" w14:textId="77777777" w:rsidTr="00356392">
        <w:tc>
          <w:tcPr>
            <w:tcW w:w="1129" w:type="dxa"/>
          </w:tcPr>
          <w:p w14:paraId="4E4B1AAC"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3</w:t>
            </w:r>
          </w:p>
        </w:tc>
        <w:tc>
          <w:tcPr>
            <w:tcW w:w="8221" w:type="dxa"/>
          </w:tcPr>
          <w:p w14:paraId="324B1A44"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Legal Issue</w:t>
            </w:r>
          </w:p>
        </w:tc>
      </w:tr>
      <w:tr w:rsidR="007654EC" w:rsidRPr="00DF17D5" w14:paraId="5E76D692" w14:textId="77777777" w:rsidTr="00356392">
        <w:tc>
          <w:tcPr>
            <w:tcW w:w="1129" w:type="dxa"/>
          </w:tcPr>
          <w:p w14:paraId="33620F74"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4</w:t>
            </w:r>
          </w:p>
        </w:tc>
        <w:tc>
          <w:tcPr>
            <w:tcW w:w="8221" w:type="dxa"/>
          </w:tcPr>
          <w:p w14:paraId="53F7A4B7"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Judgement</w:t>
            </w:r>
          </w:p>
        </w:tc>
      </w:tr>
      <w:tr w:rsidR="007654EC" w:rsidRPr="00DF17D5" w14:paraId="2DBDE511" w14:textId="77777777" w:rsidTr="00356392">
        <w:tc>
          <w:tcPr>
            <w:tcW w:w="1129" w:type="dxa"/>
          </w:tcPr>
          <w:p w14:paraId="101293EE"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5</w:t>
            </w:r>
          </w:p>
        </w:tc>
        <w:tc>
          <w:tcPr>
            <w:tcW w:w="8221" w:type="dxa"/>
          </w:tcPr>
          <w:p w14:paraId="33C1D2B9"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Legal Principle: Contract Formation Analysis</w:t>
            </w:r>
          </w:p>
        </w:tc>
      </w:tr>
      <w:tr w:rsidR="007654EC" w:rsidRPr="00DF17D5" w14:paraId="315D7288" w14:textId="77777777" w:rsidTr="00356392">
        <w:tc>
          <w:tcPr>
            <w:tcW w:w="1129" w:type="dxa"/>
          </w:tcPr>
          <w:p w14:paraId="69097931"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6</w:t>
            </w:r>
          </w:p>
        </w:tc>
        <w:tc>
          <w:tcPr>
            <w:tcW w:w="8221" w:type="dxa"/>
          </w:tcPr>
          <w:p w14:paraId="2B7B3999"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Business Relevance</w:t>
            </w:r>
          </w:p>
        </w:tc>
      </w:tr>
      <w:tr w:rsidR="007654EC" w:rsidRPr="00DF17D5" w14:paraId="3FDFAEF2" w14:textId="77777777" w:rsidTr="00356392">
        <w:tc>
          <w:tcPr>
            <w:tcW w:w="1129" w:type="dxa"/>
          </w:tcPr>
          <w:p w14:paraId="68FF9DFA"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7</w:t>
            </w:r>
          </w:p>
        </w:tc>
        <w:tc>
          <w:tcPr>
            <w:tcW w:w="8221" w:type="dxa"/>
          </w:tcPr>
          <w:p w14:paraId="315C601B" w14:textId="77777777" w:rsidR="007654EC" w:rsidRPr="00DF17D5" w:rsidRDefault="007654EC" w:rsidP="00356392">
            <w:pPr>
              <w:pStyle w:val="Heading1"/>
              <w:spacing w:before="360" w:after="200"/>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Conclusion</w:t>
            </w:r>
          </w:p>
        </w:tc>
      </w:tr>
    </w:tbl>
    <w:p w14:paraId="06A9FFBB" w14:textId="77777777" w:rsidR="007654EC" w:rsidRPr="00DF17D5" w:rsidRDefault="007654EC">
      <w:pPr>
        <w:rPr>
          <w:rFonts w:ascii="Times New Roman" w:hAnsi="Times New Roman" w:cs="Times New Roman"/>
          <w:color w:val="000000" w:themeColor="text1"/>
          <w:sz w:val="24"/>
          <w:szCs w:val="24"/>
        </w:rPr>
        <w:sectPr w:rsidR="007654EC" w:rsidRPr="00DF17D5">
          <w:pgSz w:w="12240" w:h="15840"/>
          <w:pgMar w:top="1440" w:right="1440" w:bottom="1440" w:left="1440" w:header="708" w:footer="708" w:gutter="0"/>
          <w:cols w:space="720"/>
          <w:docGrid w:linePitch="360"/>
        </w:sectPr>
      </w:pPr>
    </w:p>
    <w:p w14:paraId="42C45A50" w14:textId="77777777" w:rsidR="0047070B" w:rsidRPr="00DF17D5" w:rsidRDefault="002370F6">
      <w:pPr>
        <w:pStyle w:val="Heading1"/>
        <w:pBdr>
          <w:bottom w:val="single" w:sz="6" w:space="4" w:color="1F3864"/>
        </w:pBdr>
        <w:spacing w:before="360" w:after="20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1. Introduction</w:t>
      </w:r>
    </w:p>
    <w:p w14:paraId="01C97D71"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1.1 Case Citation &amp; Jurisdiction</w:t>
      </w:r>
    </w:p>
    <w:p w14:paraId="29DE0B61"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Case Name: Hadley v. Baxendale</w:t>
      </w:r>
    </w:p>
    <w:p w14:paraId="46674BFA"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Citation: (1854) 9 Ex Ch 341; also reported as 156 ER 145.</w:t>
      </w:r>
    </w:p>
    <w:p w14:paraId="03DA8818"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Court: Court of Exchequer Chamber, England.</w:t>
      </w:r>
    </w:p>
    <w:p w14:paraId="71A3C520"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Year of Judgment: 1854.</w:t>
      </w:r>
    </w:p>
    <w:p w14:paraId="32CE569C"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1.2 Brief Introduction to the Case</w:t>
      </w:r>
    </w:p>
    <w:p w14:paraId="30DD6D6C"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Hadley v. Baxendale is one of the most widely cited cases in the entire law of contract, and it deals with a question that comes up in almost every breach-of-contract dispute: when a contract is broken, exactly which losses can the injured party actually claim? The case arose out of a fairly ordinary mishap at a flour mill in Gloucester, England. The mill's steam engine broke down because of a cracked crankshaft, and the mill owners, Hadley, hired a carrier to transport the broken shaft to an engineering firm so that a new one could be made using it as a pattern. The carrier delayed the delivery well beyond the promised time, and as a result the mill stayed shut for several extra days, causing Hadley to lose profits. When Hadley sued the carrier for these lost profits, the Court of Exchequer Chamber had to decide how far a breaching party's liability should stretch. The court's answer, that damages must be reasonably foreseeable to both parties at the time the contract was made, became known as the 'rule in Hadley v. Baxendale', and it remains the starting point for how courts calculate damages in contract law across the common law world today.</w:t>
      </w:r>
    </w:p>
    <w:p w14:paraId="39BB9E67" w14:textId="77777777" w:rsidR="0047070B" w:rsidRPr="00DF17D5" w:rsidRDefault="002370F6">
      <w:pPr>
        <w:pStyle w:val="Heading1"/>
        <w:pBdr>
          <w:bottom w:val="single" w:sz="6" w:space="4" w:color="1F3864"/>
        </w:pBdr>
        <w:spacing w:before="360" w:after="20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2. Facts of the Case</w:t>
      </w:r>
    </w:p>
    <w:p w14:paraId="6DB8AAE9"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2.1 Chronological Summary of Events</w:t>
      </w:r>
    </w:p>
    <w:p w14:paraId="60819026"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Hadley owned and operated a corn mill in Gloucester, England. The mill was powered by a steam engine, which depended on a crankshaft to keep the machinery running.</w:t>
      </w:r>
    </w:p>
    <w:p w14:paraId="6583E409"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The mill's crankshaft broke, bringing all milling operations to a complete standstill, since there was no way to keep the engine running without it.</w:t>
      </w:r>
    </w:p>
    <w:p w14:paraId="0FD00C22"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To get the mill working again, Hadley needed a new crankshaft made, and the manufacturer required the broken shaft itself to be sent to them, so that the new one could be built to the exact same specifications.</w:t>
      </w:r>
    </w:p>
    <w:p w14:paraId="3B6E262E"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Hadley engaged Pickford &amp; Company, a carrier firm owned by Baxendale, to transport the broken shaft from Gloucester to the engineering firm in Greenwich that would manufacture the replacement.</w:t>
      </w:r>
    </w:p>
    <w:p w14:paraId="0BBB8489"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Pickford's clerk promised that if the shaft was handed over by a particular time, it would be delivered to the manufacturer the very next day.</w:t>
      </w:r>
    </w:p>
    <w:p w14:paraId="33D83CBC"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Because of neglect on the part of the carrier, the delivery of the shaft was delayed well beyond the promised timeframe.</w:t>
      </w:r>
    </w:p>
    <w:p w14:paraId="099EBE49"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As a direct result of this delay, the manufacture and return of the new crankshaft was also delayed, forcing the mill to remain shut for several additional days, specifically five extra days, beyond what would otherwise have been necessary.</w:t>
      </w:r>
    </w:p>
    <w:p w14:paraId="29F69CA9"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Hadley sued Baxendale for breach of contract, claiming damages that included the profits the mill lost during those extra days of closure.</w:t>
      </w:r>
    </w:p>
    <w:p w14:paraId="74E4C453"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The case eventually reached the Court of Exchequer Chamber, which had to determine whether these lost profits could actually be recovered from the carrier.</w:t>
      </w:r>
    </w:p>
    <w:p w14:paraId="074CA88E"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2.2 Material Commercial Context</w:t>
      </w:r>
    </w:p>
    <w:p w14:paraId="22EB0191"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The underlying transaction here was a straightforward commercial carriage contract: Hadley, as the customer, paid Pickford &amp; Company, a professional carrier, to transport goods, in this case a broken machine part, from one location to another within a promised time frame. This kind of contract was extremely common in nineteenth-century England, where carriers played a central role in moving goods and machinery parts between towns and factories. What makes the case significant is not the transaction itself, which was routine, but the dispute that followed a delay: how should the law measure the loss suffered by a business customer when a carrier's delay causes a knock-on commercial loss, such as an entire mill standing idle and losing profit, rather than just the cost of the shipment itself?</w:t>
      </w:r>
    </w:p>
    <w:p w14:paraId="2CA7D113" w14:textId="77777777" w:rsidR="0047070B" w:rsidRPr="00DF17D5" w:rsidRDefault="002370F6">
      <w:pPr>
        <w:pStyle w:val="Heading1"/>
        <w:pBdr>
          <w:bottom w:val="single" w:sz="6" w:space="4" w:color="1F3864"/>
        </w:pBdr>
        <w:spacing w:before="360" w:after="20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3. Legal Issue</w:t>
      </w:r>
    </w:p>
    <w:p w14:paraId="3D0C7EA0"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3.1 Primary Question of Law</w:t>
      </w:r>
    </w:p>
    <w:p w14:paraId="236286DC"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The central legal question before the Court of Exchequer Chamber was: Is a party who breaches a contract liable for all losses that flow from the breach, including losses that were unforeseeable at the time the contract was made, or is liability limited to losses that were reasonably foreseeable to both parties when they entered into the contract?</w:t>
      </w:r>
    </w:p>
    <w:p w14:paraId="15DC6B62"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This broad question can be broken down into smaller issues that the court actually examined:</w:t>
      </w:r>
    </w:p>
    <w:p w14:paraId="441050B0"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What kinds of losses naturally and ordinarily flow from a breach of this type of contract, and are therefore always recoverable?</w:t>
      </w:r>
    </w:p>
    <w:p w14:paraId="40F451B8"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Can losses arising from special or unusual circumstances, such as an entire mill being shut down, be recovered if the carrier was never told about those circumstances?</w:t>
      </w:r>
    </w:p>
    <w:p w14:paraId="77EFDB41"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Did Hadley communicate to Pickford's clerk that the mill would remain completely idle until the shaft was returned, such that the carrier could have foreseen the risk of lost profits?</w:t>
      </w:r>
    </w:p>
    <w:p w14:paraId="47BB3D88"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3.2 Points of Contention</w:t>
      </w:r>
    </w:p>
    <w:p w14:paraId="75345A0D"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Arguments on behalf of Hadley (Plaintiff):</w:t>
      </w:r>
    </w:p>
    <w:p w14:paraId="746FA825"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Pickford had been clearly informed that the item being carried was a broken mill shaft and that it needed to be delivered urgently so that milling operations could resume.</w:t>
      </w:r>
    </w:p>
    <w:p w14:paraId="7A92845B"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Since the carrier knew the shaft belonged to a working mill, it should reasonably have anticipated that any delay in delivery would cause the mill to lose operating time and profit.</w:t>
      </w:r>
    </w:p>
    <w:p w14:paraId="61EC8D12"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The delay was caused entirely by the carrier's own neglect, and Hadley should not have to bear the financial consequences of someone else's failure to perform on time.</w:t>
      </w:r>
    </w:p>
    <w:p w14:paraId="4AECC8AD"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Arguments on behalf of Baxendale (Defendant):</w:t>
      </w:r>
    </w:p>
    <w:p w14:paraId="78DB6637"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Pickford's clerk was only told that the item was a broken shaft that needed to be sent for repair or replacement; he was never told that the mill would remain completely shut down until the new shaft arrived.</w:t>
      </w:r>
    </w:p>
    <w:p w14:paraId="13ED563A"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It was entirely possible, from the carrier's point of view, that the mill owned a spare shaft or some alternative means of continuing operations, in which case a short delay in delivery would cause no loss of profit at all.</w:t>
      </w:r>
    </w:p>
    <w:p w14:paraId="1311A77F"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A carrier cannot be expected to guess at every possible way a delay might affect a customer's business; it can only be held responsible for losses that were made known to it, or that any reasonable person would obviously expect to follow from the breach.</w:t>
      </w:r>
    </w:p>
    <w:p w14:paraId="27535DFF" w14:textId="77777777" w:rsidR="0047070B" w:rsidRPr="00DF17D5" w:rsidRDefault="002370F6">
      <w:pPr>
        <w:pStyle w:val="Heading1"/>
        <w:pBdr>
          <w:bottom w:val="single" w:sz="6" w:space="4" w:color="1F3864"/>
        </w:pBdr>
        <w:spacing w:before="360" w:after="20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4. Judgment</w:t>
      </w:r>
    </w:p>
    <w:p w14:paraId="4449D594"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4.1 Court's Decision</w:t>
      </w:r>
    </w:p>
    <w:p w14:paraId="5F9375B7"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The Court of Exchequer Chamber ruled in favour of Baxendale on the question of lost profits. It held that Hadley could not recover damages for the profits lost during the extra days the mill was shut down, because those losses were not reasonably foreseeable to the carrier at the time the contract was made. The court thereby limited the damages Hadley could recover, excluding the claim for lost profits from the mill's closure.</w:t>
      </w:r>
    </w:p>
    <w:p w14:paraId="3717DD59"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4.2 Ratio Decidendi (Judicial Reasoning)</w:t>
      </w:r>
    </w:p>
    <w:p w14:paraId="29938071"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On the general test for recoverable damages: The court held that when a contract is broken, the damages that the injured party is entitled to receive should be either damages that arise naturally, that is, according to the usual course of things, from the breach itself, or damages that both parties may reasonably be supposed to have contemplated, at the time they made the contract, as the probable result of a breach.</w:t>
      </w:r>
    </w:p>
    <w:p w14:paraId="1AB3321D"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On why the mill's lost profits did not qualify: The court reasoned that in the ordinary course of events, a miller sending a broken shaft away for repair would not necessarily mean that the entire mill had to remain shut down in the meantime; for instance, the mill might have kept a spare shaft, or found some other way to keep working, or the shaft might not even have been essential to every part of the milling operation. Since Hadley never informed Pickford's clerk that the mill's entire operation depended on the swift return of this one specific shaft, the loss of milling profits could not be said to have naturally or obviously flowed from the delay, nor could it be said that both parties contemplated this particular loss when the contract was made.</w:t>
      </w:r>
    </w:p>
    <w:p w14:paraId="67964BD0"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On the importance of communicating special circumstances: The court made clear that if a party wants to be able to claim an unusual or special loss in the event of a breach, that party must communicate the special circumstances giving rise to that loss to the other party at the time the contract is formed. Only then can such a loss be said to have been within the reasonable contemplation of both sides.</w:t>
      </w:r>
    </w:p>
    <w:p w14:paraId="0BE75D22" w14:textId="77777777" w:rsidR="0047070B" w:rsidRPr="00DF17D5" w:rsidRDefault="002370F6">
      <w:pPr>
        <w:pBdr>
          <w:left w:val="single" w:sz="16" w:space="8" w:color="8C6D1F"/>
        </w:pBdr>
        <w:spacing w:before="120" w:after="200" w:line="280" w:lineRule="auto"/>
        <w:ind w:left="500" w:right="500"/>
        <w:rPr>
          <w:rFonts w:ascii="Times New Roman" w:hAnsi="Times New Roman" w:cs="Times New Roman"/>
          <w:color w:val="000000" w:themeColor="text1"/>
          <w:sz w:val="24"/>
          <w:szCs w:val="24"/>
        </w:rPr>
      </w:pPr>
      <w:r w:rsidRPr="00DF17D5">
        <w:rPr>
          <w:rFonts w:ascii="Times New Roman" w:hAnsi="Times New Roman" w:cs="Times New Roman"/>
          <w:i/>
          <w:iCs/>
          <w:color w:val="000000" w:themeColor="text1"/>
          <w:sz w:val="24"/>
          <w:szCs w:val="24"/>
        </w:rPr>
        <w:t>Where two parties have made a contract which one of them has broken, the damages which the other party ought to receive should be such as may fairly and reasonably be considered as arising naturally from the breach, or such as may reasonably be supposed to have been in the contemplation of both parties at the time they made the contract, as the probable result of the breach of it.</w:t>
      </w:r>
    </w:p>
    <w:p w14:paraId="45EC8A6A"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Taken together, the court concluded that because Hadley had not made Pickford aware that the mill would be completely idle without the shaft, the lost profits were too remote a consequence of the breach to be recoverable, and Baxendale could not be held liable for them.</w:t>
      </w:r>
    </w:p>
    <w:p w14:paraId="1E86CCAB" w14:textId="77777777" w:rsidR="0047070B" w:rsidRPr="00DF17D5" w:rsidRDefault="002370F6">
      <w:pPr>
        <w:pStyle w:val="Heading1"/>
        <w:pBdr>
          <w:bottom w:val="single" w:sz="6" w:space="4" w:color="1F3864"/>
        </w:pBdr>
        <w:spacing w:before="360" w:after="20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5. Legal Principle: Remoteness of Damages</w:t>
      </w:r>
    </w:p>
    <w:p w14:paraId="34666C87"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This section breaks down the key legal principle established in Hadley v. Baxendale, often called the 'rule of remoteness of damages', which continues to govern how courts decide what losses can and cannot be claimed after a breach of contract.</w:t>
      </w:r>
    </w:p>
    <w:p w14:paraId="585E378E"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5.1 The Two Branches (General &amp; Special Damages)</w:t>
      </w:r>
    </w:p>
    <w:p w14:paraId="31862B7D"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The judgment effectively splits recoverable contract damages into two separate branches, often referred to today as the first and second limbs of the Hadley rule.</w:t>
      </w:r>
    </w:p>
    <w:p w14:paraId="033F1947"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General Damages (First Limb): These are damages that flow naturally and directly from the breach, according to the usual course of things. Because they are the ordinary, expected consequence of this type of breach, a party does not need to specifically warn the other side about them in advance; they are automatically considered to be within reasonable contemplation.</w:t>
      </w:r>
    </w:p>
    <w:p w14:paraId="26B97B7B"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Special Damages (Second Limb): These are damages that arise only because of some special or unusual circumstance affecting the particular claimant, and they are recoverable only if that special circumstance was actually communicated to, and known by, the other party at the time the contract was formed. Since Hadley never told Pickford about the mill's total dependence on the one shaft, the lost profits fell into this second category and failed for lack of communication.</w:t>
      </w:r>
    </w:p>
    <w:p w14:paraId="34C2EA7D"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5.2 Foreseeability &amp; Communication of Special Circumstances</w:t>
      </w:r>
    </w:p>
    <w:p w14:paraId="34AA8EDC"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At the heart of both branches lies the idea of foreseeability. The breaching party should only be held responsible for losses that a reasonable person, standing in their shoes at the time the contract was signed, could have anticipated as a likely result of a breach. This protects defendants from being exposed to open-ended, unpredictable liability for losses they had no real way of foreseeing or pricing into their side of the bargain. At the same time, it places a responsibility on the claimant: if a transaction involves unusual stakes or hidden vulnerabilities, such as an entire business grinding to a halt because of a single missing part, the claimant must speak up and share that information at the time of contracting, rather than staying silent and hoping to recover for it later.</w:t>
      </w:r>
    </w:p>
    <w:p w14:paraId="0E375269"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5.3 Ancillary Pillars &amp; Later Case Law</w:t>
      </w:r>
    </w:p>
    <w:p w14:paraId="7B613A5E"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The rule in Hadley v. Baxendale has been refined, applied, and occasionally debated in numerous later cases across common law jurisdictions.</w:t>
      </w:r>
    </w:p>
    <w:p w14:paraId="5C091924"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Victoria Laundry v. Newman Industries [1949]: This case applied and clarified the Hadley principle, confirming that a defendant can be liable for loss of ordinary business profits (a foreseeable, general type of loss) even without special notice, but not for an unusually lucrative special contract that was never disclosed.</w:t>
      </w:r>
    </w:p>
    <w:p w14:paraId="6416509E"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The Heron II (Koufos v. Czarnikow) [1969]: The House of Lords revisited the foreseeability standard, discussing how 'likely' or 'probable' a loss needs to be before it counts as within the reasonable contemplation of the parties, refining the language used to apply the Hadley test.</w:t>
      </w:r>
    </w:p>
    <w:p w14:paraId="471FB5BC"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Global influence: The two-limb Hadley framework has been adopted, in substance, by American contract law and by Indian contract law under Section 73 of the Indian Contract Act, 1872, which similarly limits damages to losses arising naturally in the usual course of things, or losses the parties knew were likely to result from the breach.</w:t>
      </w:r>
    </w:p>
    <w:p w14:paraId="268BBC33"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Because of this widespread adoption, Hadley v. Baxendale is often taught as one of the very first cases in any contract law course dealing with remedies, and it remains the standard reference point whenever a court has to decide how far a defendant's liability for a breach should extend.</w:t>
      </w:r>
    </w:p>
    <w:p w14:paraId="59BFAE44" w14:textId="77777777" w:rsidR="0047070B" w:rsidRPr="00DF17D5" w:rsidRDefault="002370F6">
      <w:pPr>
        <w:pStyle w:val="Heading1"/>
        <w:pBdr>
          <w:bottom w:val="single" w:sz="6" w:space="4" w:color="1F3864"/>
        </w:pBdr>
        <w:spacing w:before="360" w:after="20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6. Business Relevance</w:t>
      </w:r>
    </w:p>
    <w:p w14:paraId="298D5A52"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6.1 Application in Modern Business</w:t>
      </w:r>
    </w:p>
    <w:p w14:paraId="2ECEB9AE"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The rule in Hadley v. Baxendale is directly relevant to how modern businesses draft contracts, price their services, and manage risk. Any business that provides services with time-sensitive consequences, such as logistics companies, cloud service providers, software vendors, or payment processors, faces exactly the same kind of question the carrier in this case faced: if there is a delay or failure, which of the customer's downstream losses will the business actually be responsible for?</w:t>
      </w:r>
    </w:p>
    <w:p w14:paraId="4BB62366"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In sectors like fintech and e-commerce, where a short outage or delayed transaction can sometimes cascade into significant losses for a business customer, this case is a reminder that liability is generally limited to losses that were foreseeable or specifically flagged at the time the contract was signed. A payment gateway provider, for example, would not normally be expected to compensate a merchant for an unusually large, unstated loss of business unless the merchant had made that risk known in advance.</w:t>
      </w:r>
    </w:p>
    <w:p w14:paraId="2578DC12"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6.2 Risk Management &amp; Operational Compliance</w:t>
      </w:r>
    </w:p>
    <w:p w14:paraId="289F541D"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Several practical lessons for businesses follow from this case:</w:t>
      </w:r>
    </w:p>
    <w:p w14:paraId="036AB182"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Disclose special risks upfront: Customers with unusual, high-stakes dependencies (such as Hadley's mill relying entirely on one shaft) should clearly communicate these special circumstances to their service providers at the time of contracting, or risk being unable to claim for resulting losses later.</w:t>
      </w:r>
    </w:p>
    <w:p w14:paraId="2F287AF4"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Use limitation of liability clauses: Service providers should include clear contractual clauses limiting or excluding liability for indirect, consequential, or special losses, to avoid open-ended exposure beyond what was reasonably foreseeable.</w:t>
      </w:r>
    </w:p>
    <w:p w14:paraId="3F01BB5B"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Price risk appropriately: Businesses that are made aware of a customer's special circumstances should factor that additional risk into their pricing or explicitly negotiate the scope of their liability before accepting the engagement.</w:t>
      </w:r>
    </w:p>
    <w:p w14:paraId="407D6E4C"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Maintain records of communications: Since foreseeability often depends on what was actually said or known at the time of contracting, keeping clear records of pre-contract discussions can be critical evidence in the event of a later dispute over damages.</w:t>
      </w:r>
    </w:p>
    <w:p w14:paraId="26FD2417" w14:textId="77777777" w:rsidR="0047070B" w:rsidRPr="00DF17D5" w:rsidRDefault="002370F6">
      <w:pPr>
        <w:pStyle w:val="ListParagraph"/>
        <w:numPr>
          <w:ilvl w:val="0"/>
          <w:numId w:val="1"/>
        </w:numPr>
        <w:spacing w:after="100" w:line="300" w:lineRule="auto"/>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Understand the two-tier exposure: Businesses should recognise that they may automatically be liable for ordinary, expected losses (general damages) even without being told anything special, so basic diligence and timely performance remain important regardless of disclosure.</w:t>
      </w:r>
    </w:p>
    <w:p w14:paraId="585E4EF6" w14:textId="77777777" w:rsidR="0047070B" w:rsidRPr="00DF17D5" w:rsidRDefault="002370F6">
      <w:pPr>
        <w:pStyle w:val="Heading1"/>
        <w:pBdr>
          <w:bottom w:val="single" w:sz="6" w:space="4" w:color="1F3864"/>
        </w:pBdr>
        <w:spacing w:before="360" w:after="20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7. Conclusion</w:t>
      </w:r>
    </w:p>
    <w:p w14:paraId="35080D95" w14:textId="77777777" w:rsidR="0047070B" w:rsidRPr="00DF17D5" w:rsidRDefault="002370F6">
      <w:pPr>
        <w:pStyle w:val="Heading2"/>
        <w:spacing w:before="280" w:after="14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7.1 Personal Learning and Observations</w:t>
      </w:r>
    </w:p>
    <w:p w14:paraId="10FDDB48"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Studying Hadley v. Baxendale has helped me understand that winning a breach of contract claim is only half the battle; the real complexity often lies in figuring out exactly which losses can be claimed as damages. This case shows that the law does not make a breaching party responsible for every conceivable consequence of their failure, only for the losses that were either an ordinary, foreseeable result of the breach, or losses that the other party had specifically flagged in advance. I found it interesting that the outcome might have been completely different if Hadley had simply told Pickford's clerk that the mill could not operate at all without the shaft; that one piece of information could have shifted the lost profits from an unrecoverable special loss into a foreseeable, recoverable one.</w:t>
      </w:r>
    </w:p>
    <w:p w14:paraId="75D21DF0"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This teaches me that clear communication at the time of contracting is not just good practice, it can directly determine what a business is entitled to recover if something goes wrong later. As someone studying commerce and financial technology, I think this case is a valuable reminder that when unusual or high-value risks exist in a transaction, they need to be spoken about openly and, ideally, documented in writing, rather than assumed. Otherwise, a business might discover, just as Hadley did, that its most significant loss is exactly the one the law will not make the other side pay for.</w:t>
      </w:r>
    </w:p>
    <w:p w14:paraId="18D376A7" w14:textId="77777777" w:rsidR="0047070B" w:rsidRPr="00DF17D5" w:rsidRDefault="002370F6">
      <w:pPr>
        <w:pStyle w:val="Heading1"/>
        <w:pBdr>
          <w:bottom w:val="single" w:sz="6" w:space="4" w:color="1F3864"/>
        </w:pBdr>
        <w:spacing w:before="360" w:after="200"/>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Annexure: IRAC Summary</w:t>
      </w:r>
    </w:p>
    <w:p w14:paraId="037B9EE4" w14:textId="77777777" w:rsidR="0047070B" w:rsidRPr="00DF17D5" w:rsidRDefault="002370F6">
      <w:pPr>
        <w:spacing w:after="180" w:line="300" w:lineRule="auto"/>
        <w:jc w:val="both"/>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The following table summarises the case using the IRAC (Issue, Rule, Application, Conclusion) method commonly used in legal case analysis:</w:t>
      </w:r>
    </w:p>
    <w:tbl>
      <w:tblPr>
        <w:tblW w:w="9350" w:type="dxa"/>
        <w:tblBorders>
          <w:top w:val="single" w:sz="4" w:space="0" w:color="8C8C8C"/>
          <w:left w:val="single" w:sz="4" w:space="0" w:color="8C8C8C"/>
          <w:bottom w:val="single" w:sz="4" w:space="0" w:color="8C8C8C"/>
          <w:right w:val="single" w:sz="4" w:space="0" w:color="8C8C8C"/>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00"/>
        <w:gridCol w:w="7550"/>
      </w:tblGrid>
      <w:tr w:rsidR="0047070B" w:rsidRPr="00DF17D5" w14:paraId="41C74E92" w14:textId="77777777">
        <w:trPr>
          <w:tblHeader/>
        </w:trPr>
        <w:tc>
          <w:tcPr>
            <w:tcW w:w="1800" w:type="dxa"/>
            <w:shd w:val="clear" w:color="auto" w:fill="1F3864"/>
            <w:tcMar>
              <w:top w:w="100" w:type="dxa"/>
              <w:left w:w="150" w:type="dxa"/>
              <w:bottom w:w="100" w:type="dxa"/>
              <w:right w:w="150" w:type="dxa"/>
            </w:tcMar>
            <w:vAlign w:val="center"/>
          </w:tcPr>
          <w:p w14:paraId="388B497A" w14:textId="77777777" w:rsidR="0047070B" w:rsidRPr="00DF17D5" w:rsidRDefault="002370F6">
            <w:pPr>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Element</w:t>
            </w:r>
          </w:p>
        </w:tc>
        <w:tc>
          <w:tcPr>
            <w:tcW w:w="7550" w:type="dxa"/>
            <w:shd w:val="clear" w:color="auto" w:fill="1F3864"/>
            <w:tcMar>
              <w:top w:w="100" w:type="dxa"/>
              <w:left w:w="150" w:type="dxa"/>
              <w:bottom w:w="100" w:type="dxa"/>
              <w:right w:w="150" w:type="dxa"/>
            </w:tcMar>
            <w:vAlign w:val="center"/>
          </w:tcPr>
          <w:p w14:paraId="528E8D15" w14:textId="77777777" w:rsidR="0047070B" w:rsidRPr="00DF17D5" w:rsidRDefault="002370F6">
            <w:pPr>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Application to Hadley v. Baxendale</w:t>
            </w:r>
          </w:p>
        </w:tc>
      </w:tr>
      <w:tr w:rsidR="0047070B" w:rsidRPr="00DF17D5" w14:paraId="3B0781C3" w14:textId="77777777">
        <w:tc>
          <w:tcPr>
            <w:tcW w:w="1800" w:type="dxa"/>
            <w:shd w:val="clear" w:color="auto" w:fill="F2F2F2"/>
            <w:tcMar>
              <w:top w:w="100" w:type="dxa"/>
              <w:left w:w="150" w:type="dxa"/>
              <w:bottom w:w="100" w:type="dxa"/>
              <w:right w:w="150" w:type="dxa"/>
            </w:tcMar>
            <w:vAlign w:val="center"/>
          </w:tcPr>
          <w:p w14:paraId="161E1F1E" w14:textId="77777777" w:rsidR="0047070B" w:rsidRPr="00DF17D5" w:rsidRDefault="002370F6">
            <w:pPr>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Issue</w:t>
            </w:r>
          </w:p>
        </w:tc>
        <w:tc>
          <w:tcPr>
            <w:tcW w:w="7550" w:type="dxa"/>
            <w:shd w:val="clear" w:color="auto" w:fill="F2F2F2"/>
            <w:tcMar>
              <w:top w:w="100" w:type="dxa"/>
              <w:left w:w="150" w:type="dxa"/>
              <w:bottom w:w="100" w:type="dxa"/>
              <w:right w:w="150" w:type="dxa"/>
            </w:tcMar>
            <w:vAlign w:val="center"/>
          </w:tcPr>
          <w:p w14:paraId="1C9C80D7" w14:textId="77777777" w:rsidR="0047070B" w:rsidRPr="00DF17D5" w:rsidRDefault="002370F6">
            <w:pPr>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Could Hadley recover, as damages, the profits lost due to the mill's extended closure caused by Pickford's delay in delivering the broken shaft?</w:t>
            </w:r>
          </w:p>
        </w:tc>
      </w:tr>
      <w:tr w:rsidR="0047070B" w:rsidRPr="00DF17D5" w14:paraId="416A7988" w14:textId="77777777">
        <w:tc>
          <w:tcPr>
            <w:tcW w:w="1800" w:type="dxa"/>
            <w:shd w:val="clear" w:color="auto" w:fill="FFFFFF"/>
            <w:tcMar>
              <w:top w:w="100" w:type="dxa"/>
              <w:left w:w="150" w:type="dxa"/>
              <w:bottom w:w="100" w:type="dxa"/>
              <w:right w:w="150" w:type="dxa"/>
            </w:tcMar>
            <w:vAlign w:val="center"/>
          </w:tcPr>
          <w:p w14:paraId="2A09DE86" w14:textId="77777777" w:rsidR="0047070B" w:rsidRPr="00DF17D5" w:rsidRDefault="002370F6">
            <w:pPr>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Rule</w:t>
            </w:r>
          </w:p>
        </w:tc>
        <w:tc>
          <w:tcPr>
            <w:tcW w:w="7550" w:type="dxa"/>
            <w:shd w:val="clear" w:color="auto" w:fill="FFFFFF"/>
            <w:tcMar>
              <w:top w:w="100" w:type="dxa"/>
              <w:left w:w="150" w:type="dxa"/>
              <w:bottom w:w="100" w:type="dxa"/>
              <w:right w:w="150" w:type="dxa"/>
            </w:tcMar>
            <w:vAlign w:val="center"/>
          </w:tcPr>
          <w:p w14:paraId="57AA757F" w14:textId="77777777" w:rsidR="0047070B" w:rsidRPr="00DF17D5" w:rsidRDefault="002370F6">
            <w:pPr>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A breaching party is liable only for damages that arise naturally from the breach, or that were reasonably within the contemplation of both parties at the time of contracting, based on special circumstances actually communicated to them.</w:t>
            </w:r>
          </w:p>
        </w:tc>
      </w:tr>
      <w:tr w:rsidR="0047070B" w:rsidRPr="00DF17D5" w14:paraId="675CC783" w14:textId="77777777">
        <w:tc>
          <w:tcPr>
            <w:tcW w:w="1800" w:type="dxa"/>
            <w:shd w:val="clear" w:color="auto" w:fill="F2F2F2"/>
            <w:tcMar>
              <w:top w:w="100" w:type="dxa"/>
              <w:left w:w="150" w:type="dxa"/>
              <w:bottom w:w="100" w:type="dxa"/>
              <w:right w:w="150" w:type="dxa"/>
            </w:tcMar>
            <w:vAlign w:val="center"/>
          </w:tcPr>
          <w:p w14:paraId="2CC51B91" w14:textId="77777777" w:rsidR="0047070B" w:rsidRPr="00DF17D5" w:rsidRDefault="002370F6">
            <w:pPr>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Application</w:t>
            </w:r>
          </w:p>
        </w:tc>
        <w:tc>
          <w:tcPr>
            <w:tcW w:w="7550" w:type="dxa"/>
            <w:shd w:val="clear" w:color="auto" w:fill="F2F2F2"/>
            <w:tcMar>
              <w:top w:w="100" w:type="dxa"/>
              <w:left w:w="150" w:type="dxa"/>
              <w:bottom w:w="100" w:type="dxa"/>
              <w:right w:w="150" w:type="dxa"/>
            </w:tcMar>
            <w:vAlign w:val="center"/>
          </w:tcPr>
          <w:p w14:paraId="20BF5641" w14:textId="77777777" w:rsidR="0047070B" w:rsidRPr="00DF17D5" w:rsidRDefault="002370F6">
            <w:pPr>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Hadley never informed Pickford's clerk that the mill would remain entirely shut down without the shaft; the carrier had no reason to know that a delay would cause a total loss of milling profit.</w:t>
            </w:r>
          </w:p>
        </w:tc>
      </w:tr>
      <w:tr w:rsidR="0047070B" w:rsidRPr="00DF17D5" w14:paraId="5AE9C13A" w14:textId="77777777">
        <w:tc>
          <w:tcPr>
            <w:tcW w:w="1800" w:type="dxa"/>
            <w:shd w:val="clear" w:color="auto" w:fill="FFFFFF"/>
            <w:tcMar>
              <w:top w:w="100" w:type="dxa"/>
              <w:left w:w="150" w:type="dxa"/>
              <w:bottom w:w="100" w:type="dxa"/>
              <w:right w:w="150" w:type="dxa"/>
            </w:tcMar>
            <w:vAlign w:val="center"/>
          </w:tcPr>
          <w:p w14:paraId="6D5EECDD" w14:textId="77777777" w:rsidR="0047070B" w:rsidRPr="00DF17D5" w:rsidRDefault="002370F6">
            <w:pPr>
              <w:rPr>
                <w:rFonts w:ascii="Times New Roman" w:hAnsi="Times New Roman" w:cs="Times New Roman"/>
                <w:color w:val="000000" w:themeColor="text1"/>
                <w:sz w:val="24"/>
                <w:szCs w:val="24"/>
              </w:rPr>
            </w:pPr>
            <w:r w:rsidRPr="00DF17D5">
              <w:rPr>
                <w:rFonts w:ascii="Times New Roman" w:hAnsi="Times New Roman" w:cs="Times New Roman"/>
                <w:b/>
                <w:bCs/>
                <w:color w:val="000000" w:themeColor="text1"/>
                <w:sz w:val="24"/>
                <w:szCs w:val="24"/>
              </w:rPr>
              <w:t>Conclusion</w:t>
            </w:r>
          </w:p>
        </w:tc>
        <w:tc>
          <w:tcPr>
            <w:tcW w:w="7550" w:type="dxa"/>
            <w:shd w:val="clear" w:color="auto" w:fill="FFFFFF"/>
            <w:tcMar>
              <w:top w:w="100" w:type="dxa"/>
              <w:left w:w="150" w:type="dxa"/>
              <w:bottom w:w="100" w:type="dxa"/>
              <w:right w:w="150" w:type="dxa"/>
            </w:tcMar>
            <w:vAlign w:val="center"/>
          </w:tcPr>
          <w:p w14:paraId="6DB1D949" w14:textId="77777777" w:rsidR="0047070B" w:rsidRPr="00DF17D5" w:rsidRDefault="002370F6">
            <w:pPr>
              <w:rPr>
                <w:rFonts w:ascii="Times New Roman" w:hAnsi="Times New Roman" w:cs="Times New Roman"/>
                <w:color w:val="000000" w:themeColor="text1"/>
                <w:sz w:val="24"/>
                <w:szCs w:val="24"/>
              </w:rPr>
            </w:pPr>
            <w:r w:rsidRPr="00DF17D5">
              <w:rPr>
                <w:rFonts w:ascii="Times New Roman" w:hAnsi="Times New Roman" w:cs="Times New Roman"/>
                <w:color w:val="000000" w:themeColor="text1"/>
                <w:sz w:val="24"/>
                <w:szCs w:val="24"/>
              </w:rPr>
              <w:t>The lost profits were too remote to be recoverable. Baxendale was not liable for Hadley's loss of profits, though liability for other, more foreseeable losses could still apply.</w:t>
            </w:r>
          </w:p>
        </w:tc>
      </w:tr>
    </w:tbl>
    <w:p w14:paraId="54A6A3B6" w14:textId="77777777" w:rsidR="002370F6" w:rsidRPr="0013443B" w:rsidRDefault="002370F6">
      <w:pPr>
        <w:rPr>
          <w:rFonts w:ascii="Times New Roman" w:hAnsi="Times New Roman" w:cs="Times New Roman"/>
          <w:color w:val="000000" w:themeColor="text1"/>
        </w:rPr>
      </w:pPr>
    </w:p>
    <w:sectPr w:rsidR="002370F6" w:rsidRPr="001344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C3C24" w14:textId="77777777" w:rsidR="0089768D" w:rsidRDefault="0089768D">
      <w:r>
        <w:separator/>
      </w:r>
    </w:p>
  </w:endnote>
  <w:endnote w:type="continuationSeparator" w:id="0">
    <w:p w14:paraId="4631C60E" w14:textId="77777777" w:rsidR="0089768D" w:rsidRDefault="00897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12B3" w14:textId="42246FC3" w:rsidR="0047070B" w:rsidRDefault="002370F6">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3443B">
      <w:rPr>
        <w:noProof/>
        <w:color w:val="595959"/>
        <w:sz w:val="18"/>
        <w:szCs w:val="18"/>
      </w:rPr>
      <w:t>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3443B">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FA5E5" w14:textId="77777777" w:rsidR="0089768D" w:rsidRDefault="0089768D">
      <w:r>
        <w:separator/>
      </w:r>
    </w:p>
  </w:footnote>
  <w:footnote w:type="continuationSeparator" w:id="0">
    <w:p w14:paraId="205B37D3" w14:textId="77777777" w:rsidR="0089768D" w:rsidRDefault="00897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DC0E" w14:textId="4C96537F" w:rsidR="0047070B" w:rsidRPr="007654EC" w:rsidRDefault="0047070B" w:rsidP="007654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2492"/>
    <w:multiLevelType w:val="hybridMultilevel"/>
    <w:tmpl w:val="00D08BBC"/>
    <w:lvl w:ilvl="0" w:tplc="2EA4B0CE">
      <w:start w:val="1"/>
      <w:numFmt w:val="bullet"/>
      <w:lvlText w:val="●"/>
      <w:lvlJc w:val="left"/>
      <w:pPr>
        <w:ind w:left="720" w:hanging="360"/>
      </w:pPr>
    </w:lvl>
    <w:lvl w:ilvl="1" w:tplc="79CAB77E">
      <w:start w:val="1"/>
      <w:numFmt w:val="bullet"/>
      <w:lvlText w:val="○"/>
      <w:lvlJc w:val="left"/>
      <w:pPr>
        <w:ind w:left="1440" w:hanging="360"/>
      </w:pPr>
    </w:lvl>
    <w:lvl w:ilvl="2" w:tplc="DA1AA8C4">
      <w:start w:val="1"/>
      <w:numFmt w:val="bullet"/>
      <w:lvlText w:val="■"/>
      <w:lvlJc w:val="left"/>
      <w:pPr>
        <w:ind w:left="2160" w:hanging="360"/>
      </w:pPr>
    </w:lvl>
    <w:lvl w:ilvl="3" w:tplc="ECD098A6">
      <w:start w:val="1"/>
      <w:numFmt w:val="bullet"/>
      <w:lvlText w:val="●"/>
      <w:lvlJc w:val="left"/>
      <w:pPr>
        <w:ind w:left="2880" w:hanging="360"/>
      </w:pPr>
    </w:lvl>
    <w:lvl w:ilvl="4" w:tplc="B92EAD44">
      <w:start w:val="1"/>
      <w:numFmt w:val="bullet"/>
      <w:lvlText w:val="○"/>
      <w:lvlJc w:val="left"/>
      <w:pPr>
        <w:ind w:left="3600" w:hanging="360"/>
      </w:pPr>
    </w:lvl>
    <w:lvl w:ilvl="5" w:tplc="7FAC6816">
      <w:start w:val="1"/>
      <w:numFmt w:val="bullet"/>
      <w:lvlText w:val="■"/>
      <w:lvlJc w:val="left"/>
      <w:pPr>
        <w:ind w:left="4320" w:hanging="360"/>
      </w:pPr>
    </w:lvl>
    <w:lvl w:ilvl="6" w:tplc="A7B2E5A6">
      <w:start w:val="1"/>
      <w:numFmt w:val="bullet"/>
      <w:lvlText w:val="●"/>
      <w:lvlJc w:val="left"/>
      <w:pPr>
        <w:ind w:left="5040" w:hanging="360"/>
      </w:pPr>
    </w:lvl>
    <w:lvl w:ilvl="7" w:tplc="B966FD32">
      <w:start w:val="1"/>
      <w:numFmt w:val="bullet"/>
      <w:lvlText w:val="●"/>
      <w:lvlJc w:val="left"/>
      <w:pPr>
        <w:ind w:left="5760" w:hanging="360"/>
      </w:pPr>
    </w:lvl>
    <w:lvl w:ilvl="8" w:tplc="2166A722">
      <w:start w:val="1"/>
      <w:numFmt w:val="bullet"/>
      <w:lvlText w:val="●"/>
      <w:lvlJc w:val="left"/>
      <w:pPr>
        <w:ind w:left="6480" w:hanging="360"/>
      </w:pPr>
    </w:lvl>
  </w:abstractNum>
  <w:abstractNum w:abstractNumId="1" w15:restartNumberingAfterBreak="0">
    <w:nsid w:val="62103D4E"/>
    <w:multiLevelType w:val="hybridMultilevel"/>
    <w:tmpl w:val="51E64C50"/>
    <w:lvl w:ilvl="0" w:tplc="FF528AB4">
      <w:start w:val="1"/>
      <w:numFmt w:val="bullet"/>
      <w:lvlText w:val="•"/>
      <w:lvlJc w:val="left"/>
      <w:pPr>
        <w:ind w:left="720" w:hanging="360"/>
      </w:pPr>
    </w:lvl>
    <w:lvl w:ilvl="1" w:tplc="A7362B48">
      <w:numFmt w:val="decimal"/>
      <w:lvlText w:val=""/>
      <w:lvlJc w:val="left"/>
    </w:lvl>
    <w:lvl w:ilvl="2" w:tplc="BA78358A">
      <w:numFmt w:val="decimal"/>
      <w:lvlText w:val=""/>
      <w:lvlJc w:val="left"/>
    </w:lvl>
    <w:lvl w:ilvl="3" w:tplc="57E0BA4E">
      <w:numFmt w:val="decimal"/>
      <w:lvlText w:val=""/>
      <w:lvlJc w:val="left"/>
    </w:lvl>
    <w:lvl w:ilvl="4" w:tplc="B0DA3748">
      <w:numFmt w:val="decimal"/>
      <w:lvlText w:val=""/>
      <w:lvlJc w:val="left"/>
    </w:lvl>
    <w:lvl w:ilvl="5" w:tplc="2D9E7320">
      <w:numFmt w:val="decimal"/>
      <w:lvlText w:val=""/>
      <w:lvlJc w:val="left"/>
    </w:lvl>
    <w:lvl w:ilvl="6" w:tplc="1E82C91A">
      <w:numFmt w:val="decimal"/>
      <w:lvlText w:val=""/>
      <w:lvlJc w:val="left"/>
    </w:lvl>
    <w:lvl w:ilvl="7" w:tplc="8564C8B6">
      <w:numFmt w:val="decimal"/>
      <w:lvlText w:val=""/>
      <w:lvlJc w:val="left"/>
    </w:lvl>
    <w:lvl w:ilvl="8" w:tplc="69C87DAE">
      <w:numFmt w:val="decimal"/>
      <w:lvlText w:val=""/>
      <w:lvlJc w:val="left"/>
    </w:lvl>
  </w:abstractNum>
  <w:num w:numId="1" w16cid:durableId="1193105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70B"/>
    <w:rsid w:val="0013443B"/>
    <w:rsid w:val="00157AC4"/>
    <w:rsid w:val="00165A8A"/>
    <w:rsid w:val="001B7324"/>
    <w:rsid w:val="002370F6"/>
    <w:rsid w:val="002D41E3"/>
    <w:rsid w:val="00356392"/>
    <w:rsid w:val="0047070B"/>
    <w:rsid w:val="007654EC"/>
    <w:rsid w:val="0089768D"/>
    <w:rsid w:val="00C66DFE"/>
    <w:rsid w:val="00DC442A"/>
    <w:rsid w:val="00DF17D5"/>
    <w:rsid w:val="00E770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8E4C6CD"/>
  <w15:docId w15:val="{D37B1210-05C3-4A2C-B595-B2C253F6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654EC"/>
    <w:rPr>
      <w:color w:val="2E74B5"/>
      <w:sz w:val="32"/>
      <w:szCs w:val="32"/>
    </w:rPr>
  </w:style>
  <w:style w:type="table" w:styleId="TableGrid">
    <w:name w:val="Table Grid"/>
    <w:basedOn w:val="TableNormal"/>
    <w:uiPriority w:val="39"/>
    <w:rsid w:val="007654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654EC"/>
    <w:pPr>
      <w:tabs>
        <w:tab w:val="center" w:pos="4513"/>
        <w:tab w:val="right" w:pos="9026"/>
      </w:tabs>
    </w:pPr>
  </w:style>
  <w:style w:type="character" w:customStyle="1" w:styleId="HeaderChar">
    <w:name w:val="Header Char"/>
    <w:basedOn w:val="DefaultParagraphFont"/>
    <w:link w:val="Header"/>
    <w:uiPriority w:val="99"/>
    <w:rsid w:val="007654EC"/>
  </w:style>
  <w:style w:type="paragraph" w:styleId="Footer">
    <w:name w:val="footer"/>
    <w:basedOn w:val="Normal"/>
    <w:link w:val="FooterChar"/>
    <w:uiPriority w:val="99"/>
    <w:unhideWhenUsed/>
    <w:rsid w:val="007654EC"/>
    <w:pPr>
      <w:tabs>
        <w:tab w:val="center" w:pos="4513"/>
        <w:tab w:val="right" w:pos="9026"/>
      </w:tabs>
    </w:pPr>
  </w:style>
  <w:style w:type="character" w:customStyle="1" w:styleId="FooterChar">
    <w:name w:val="Footer Char"/>
    <w:basedOn w:val="DefaultParagraphFont"/>
    <w:link w:val="Footer"/>
    <w:uiPriority w:val="99"/>
    <w:rsid w:val="00765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Deenah .N</cp:lastModifiedBy>
  <cp:revision>7</cp:revision>
  <dcterms:created xsi:type="dcterms:W3CDTF">2026-08-10T07:53:00Z</dcterms:created>
  <dcterms:modified xsi:type="dcterms:W3CDTF">2026-08-17T08:50:00Z</dcterms:modified>
</cp:coreProperties>
</file>