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50A88" w14:textId="77777777" w:rsidR="00793CFA" w:rsidRPr="00641FF8" w:rsidRDefault="00793CFA">
      <w:pPr>
        <w:spacing w:before="2200"/>
        <w:rPr>
          <w:rFonts w:ascii="Times New Roman" w:hAnsi="Times New Roman" w:cs="Times New Roman"/>
          <w:color w:val="000000" w:themeColor="text1"/>
        </w:rPr>
      </w:pPr>
    </w:p>
    <w:p w14:paraId="4D01C20C" w14:textId="77777777" w:rsidR="00793CFA" w:rsidRPr="00641FF8" w:rsidRDefault="00505D3E">
      <w:pPr>
        <w:spacing w:after="100"/>
        <w:jc w:val="center"/>
        <w:rPr>
          <w:rFonts w:ascii="Times New Roman" w:hAnsi="Times New Roman" w:cs="Times New Roman"/>
          <w:color w:val="000000" w:themeColor="text1"/>
        </w:rPr>
      </w:pPr>
      <w:r w:rsidRPr="00641FF8">
        <w:rPr>
          <w:rFonts w:ascii="Times New Roman" w:hAnsi="Times New Roman" w:cs="Times New Roman"/>
          <w:b/>
          <w:bCs/>
          <w:color w:val="000000" w:themeColor="text1"/>
          <w:sz w:val="52"/>
          <w:szCs w:val="52"/>
        </w:rPr>
        <w:t>CASE ANALYSIS REPORT</w:t>
      </w:r>
    </w:p>
    <w:p w14:paraId="1BCBA008" w14:textId="2229DA36" w:rsidR="00793CFA" w:rsidRDefault="00505D3E" w:rsidP="00641FF8">
      <w:pPr>
        <w:spacing w:after="600"/>
        <w:jc w:val="center"/>
        <w:rPr>
          <w:rFonts w:ascii="Times New Roman" w:hAnsi="Times New Roman" w:cs="Times New Roman"/>
          <w:color w:val="000000" w:themeColor="text1"/>
        </w:rPr>
      </w:pPr>
      <w:r w:rsidRPr="00641FF8">
        <w:rPr>
          <w:rFonts w:ascii="Times New Roman" w:hAnsi="Times New Roman" w:cs="Times New Roman"/>
          <w:b/>
          <w:bCs/>
          <w:i/>
          <w:iCs/>
          <w:color w:val="000000" w:themeColor="text1"/>
          <w:sz w:val="30"/>
          <w:szCs w:val="30"/>
        </w:rPr>
        <w:t>Salomon v. A Salomon &amp; Co Ltd [1897] AC 22</w:t>
      </w:r>
    </w:p>
    <w:p w14:paraId="6AF80090" w14:textId="77777777" w:rsidR="00641FF8" w:rsidRDefault="00641FF8" w:rsidP="00641FF8">
      <w:pPr>
        <w:spacing w:after="600"/>
        <w:jc w:val="center"/>
        <w:rPr>
          <w:rFonts w:ascii="Times New Roman" w:hAnsi="Times New Roman" w:cs="Times New Roman"/>
          <w:color w:val="000000" w:themeColor="text1"/>
        </w:rPr>
      </w:pPr>
    </w:p>
    <w:p w14:paraId="2C100CE8" w14:textId="77777777" w:rsidR="00641FF8" w:rsidRPr="00641FF8" w:rsidRDefault="00641FF8" w:rsidP="00641FF8">
      <w:pPr>
        <w:spacing w:after="600"/>
        <w:jc w:val="center"/>
        <w:rPr>
          <w:rFonts w:ascii="Times New Roman" w:hAnsi="Times New Roman" w:cs="Times New Roman"/>
          <w:color w:val="000000" w:themeColor="text1"/>
        </w:rPr>
      </w:pPr>
    </w:p>
    <w:p w14:paraId="6DC70C39" w14:textId="77777777" w:rsidR="00793CFA" w:rsidRPr="00641FF8" w:rsidRDefault="00505D3E">
      <w:pPr>
        <w:spacing w:after="200"/>
        <w:jc w:val="center"/>
        <w:rPr>
          <w:rFonts w:ascii="Times New Roman" w:hAnsi="Times New Roman" w:cs="Times New Roman"/>
          <w:color w:val="000000" w:themeColor="text1"/>
        </w:rPr>
      </w:pPr>
      <w:r w:rsidRPr="00641FF8">
        <w:rPr>
          <w:rFonts w:ascii="Times New Roman" w:hAnsi="Times New Roman" w:cs="Times New Roman"/>
          <w:b/>
          <w:bCs/>
          <w:color w:val="000000" w:themeColor="text1"/>
          <w:sz w:val="24"/>
          <w:szCs w:val="24"/>
        </w:rPr>
        <w:t xml:space="preserve">Activity Title:  </w:t>
      </w:r>
      <w:r w:rsidRPr="00641FF8">
        <w:rPr>
          <w:rFonts w:ascii="Times New Roman" w:hAnsi="Times New Roman" w:cs="Times New Roman"/>
          <w:color w:val="000000" w:themeColor="text1"/>
          <w:sz w:val="24"/>
          <w:szCs w:val="24"/>
        </w:rPr>
        <w:t>Case Analysis on Separate Legal Personality and Limited Liability</w:t>
      </w:r>
    </w:p>
    <w:p w14:paraId="082CE531" w14:textId="77777777" w:rsidR="00793CFA" w:rsidRPr="00641FF8" w:rsidRDefault="00505D3E">
      <w:pPr>
        <w:spacing w:after="200"/>
        <w:jc w:val="center"/>
        <w:rPr>
          <w:rFonts w:ascii="Times New Roman" w:hAnsi="Times New Roman" w:cs="Times New Roman"/>
          <w:color w:val="000000" w:themeColor="text1"/>
        </w:rPr>
      </w:pPr>
      <w:r w:rsidRPr="00641FF8">
        <w:rPr>
          <w:rFonts w:ascii="Times New Roman" w:hAnsi="Times New Roman" w:cs="Times New Roman"/>
          <w:b/>
          <w:bCs/>
          <w:color w:val="000000" w:themeColor="text1"/>
          <w:sz w:val="24"/>
          <w:szCs w:val="24"/>
        </w:rPr>
        <w:t xml:space="preserve">Student Name:  </w:t>
      </w:r>
      <w:r w:rsidRPr="00641FF8">
        <w:rPr>
          <w:rFonts w:ascii="Times New Roman" w:hAnsi="Times New Roman" w:cs="Times New Roman"/>
          <w:color w:val="000000" w:themeColor="text1"/>
          <w:sz w:val="24"/>
          <w:szCs w:val="24"/>
        </w:rPr>
        <w:t>Deenah N</w:t>
      </w:r>
    </w:p>
    <w:p w14:paraId="3D612D4B" w14:textId="77777777" w:rsidR="00793CFA" w:rsidRPr="00641FF8" w:rsidRDefault="00505D3E">
      <w:pPr>
        <w:spacing w:after="200"/>
        <w:jc w:val="center"/>
        <w:rPr>
          <w:rFonts w:ascii="Times New Roman" w:hAnsi="Times New Roman" w:cs="Times New Roman"/>
          <w:color w:val="000000" w:themeColor="text1"/>
        </w:rPr>
      </w:pPr>
      <w:r w:rsidRPr="00641FF8">
        <w:rPr>
          <w:rFonts w:ascii="Times New Roman" w:hAnsi="Times New Roman" w:cs="Times New Roman"/>
          <w:b/>
          <w:bCs/>
          <w:color w:val="000000" w:themeColor="text1"/>
          <w:sz w:val="24"/>
          <w:szCs w:val="24"/>
        </w:rPr>
        <w:t xml:space="preserve">Register Number:  </w:t>
      </w:r>
      <w:r w:rsidRPr="00641FF8">
        <w:rPr>
          <w:rFonts w:ascii="Times New Roman" w:hAnsi="Times New Roman" w:cs="Times New Roman"/>
          <w:color w:val="000000" w:themeColor="text1"/>
          <w:sz w:val="24"/>
          <w:szCs w:val="24"/>
        </w:rPr>
        <w:t>5272510203</w:t>
      </w:r>
    </w:p>
    <w:p w14:paraId="54135B54" w14:textId="77777777" w:rsidR="00793CFA" w:rsidRPr="00641FF8" w:rsidRDefault="00505D3E">
      <w:pPr>
        <w:spacing w:after="200"/>
        <w:jc w:val="center"/>
        <w:rPr>
          <w:rFonts w:ascii="Times New Roman" w:hAnsi="Times New Roman" w:cs="Times New Roman"/>
          <w:color w:val="000000" w:themeColor="text1"/>
        </w:rPr>
      </w:pPr>
      <w:r w:rsidRPr="00641FF8">
        <w:rPr>
          <w:rFonts w:ascii="Times New Roman" w:hAnsi="Times New Roman" w:cs="Times New Roman"/>
          <w:b/>
          <w:bCs/>
          <w:color w:val="000000" w:themeColor="text1"/>
          <w:sz w:val="24"/>
          <w:szCs w:val="24"/>
        </w:rPr>
        <w:t xml:space="preserve">Course:  </w:t>
      </w:r>
      <w:proofErr w:type="gramStart"/>
      <w:r w:rsidRPr="00641FF8">
        <w:rPr>
          <w:rFonts w:ascii="Times New Roman" w:hAnsi="Times New Roman" w:cs="Times New Roman"/>
          <w:color w:val="000000" w:themeColor="text1"/>
          <w:sz w:val="24"/>
          <w:szCs w:val="24"/>
        </w:rPr>
        <w:t>B.Com</w:t>
      </w:r>
      <w:proofErr w:type="gramEnd"/>
      <w:r w:rsidRPr="00641FF8">
        <w:rPr>
          <w:rFonts w:ascii="Times New Roman" w:hAnsi="Times New Roman" w:cs="Times New Roman"/>
          <w:color w:val="000000" w:themeColor="text1"/>
          <w:sz w:val="24"/>
          <w:szCs w:val="24"/>
        </w:rPr>
        <w:t xml:space="preserve"> Fintech with AI</w:t>
      </w:r>
    </w:p>
    <w:p w14:paraId="05A3917E" w14:textId="77777777" w:rsidR="00793CFA" w:rsidRPr="00641FF8" w:rsidRDefault="00793CFA">
      <w:pPr>
        <w:spacing w:before="2000"/>
        <w:rPr>
          <w:rFonts w:ascii="Times New Roman" w:hAnsi="Times New Roman" w:cs="Times New Roman"/>
          <w:color w:val="000000" w:themeColor="text1"/>
        </w:rPr>
      </w:pPr>
    </w:p>
    <w:p w14:paraId="6F11386E" w14:textId="77777777" w:rsidR="00793CFA" w:rsidRPr="00641FF8" w:rsidRDefault="00793CFA">
      <w:pPr>
        <w:rPr>
          <w:rFonts w:ascii="Times New Roman" w:hAnsi="Times New Roman" w:cs="Times New Roman"/>
          <w:color w:val="000000" w:themeColor="text1"/>
        </w:rPr>
        <w:sectPr w:rsidR="00793CFA" w:rsidRPr="00641FF8">
          <w:pgSz w:w="12240" w:h="15840"/>
          <w:pgMar w:top="1440" w:right="1440" w:bottom="1440" w:left="1440" w:header="708" w:footer="708" w:gutter="0"/>
          <w:cols w:space="720"/>
          <w:docGrid w:linePitch="360"/>
        </w:sectPr>
      </w:pPr>
    </w:p>
    <w:p w14:paraId="02AED3DE" w14:textId="77777777" w:rsidR="00793CFA" w:rsidRPr="00641FF8" w:rsidRDefault="00505D3E" w:rsidP="00B44808">
      <w:pPr>
        <w:pBdr>
          <w:bottom w:val="single" w:sz="6" w:space="4" w:color="1F3864"/>
        </w:pBdr>
        <w:spacing w:after="300"/>
        <w:jc w:val="center"/>
        <w:rPr>
          <w:rFonts w:ascii="Times New Roman" w:hAnsi="Times New Roman" w:cs="Times New Roman"/>
          <w:color w:val="000000" w:themeColor="text1"/>
        </w:rPr>
      </w:pPr>
      <w:r w:rsidRPr="00641FF8">
        <w:rPr>
          <w:rFonts w:ascii="Times New Roman" w:hAnsi="Times New Roman" w:cs="Times New Roman"/>
          <w:b/>
          <w:bCs/>
          <w:color w:val="000000" w:themeColor="text1"/>
          <w:sz w:val="32"/>
          <w:szCs w:val="32"/>
        </w:rPr>
        <w:lastRenderedPageBreak/>
        <w:t>Table of Contents</w:t>
      </w:r>
    </w:p>
    <w:p w14:paraId="17412627" w14:textId="77777777" w:rsidR="00B44808" w:rsidRDefault="00B44808" w:rsidP="00B44808">
      <w:pPr>
        <w:rPr>
          <w:rFonts w:ascii="Times New Roman" w:hAnsi="Times New Roman" w:cs="Times New Roman"/>
          <w:color w:val="000000" w:themeColor="text1"/>
          <w:sz w:val="24"/>
          <w:szCs w:val="24"/>
        </w:rPr>
      </w:pPr>
    </w:p>
    <w:p w14:paraId="382B4A94" w14:textId="77777777" w:rsidR="00B44808" w:rsidRDefault="00B44808" w:rsidP="00B44808">
      <w:pPr>
        <w:rPr>
          <w:rFonts w:ascii="Times New Roman" w:hAnsi="Times New Roman" w:cs="Times New Roman"/>
          <w:color w:val="000000" w:themeColor="text1"/>
          <w:sz w:val="24"/>
          <w:szCs w:val="24"/>
        </w:rPr>
      </w:pPr>
    </w:p>
    <w:p w14:paraId="6DB7E5CD" w14:textId="77777777" w:rsidR="00B44808" w:rsidRPr="00DF17D5" w:rsidRDefault="00B44808" w:rsidP="00B44808">
      <w:pPr>
        <w:rPr>
          <w:rFonts w:ascii="Times New Roman" w:hAnsi="Times New Roman" w:cs="Times New Roman"/>
          <w:color w:val="000000" w:themeColor="text1"/>
          <w:sz w:val="24"/>
          <w:szCs w:val="24"/>
        </w:rPr>
      </w:pPr>
    </w:p>
    <w:tbl>
      <w:tblPr>
        <w:tblStyle w:val="TableGrid"/>
        <w:tblW w:w="0" w:type="auto"/>
        <w:tblLook w:val="04A0" w:firstRow="1" w:lastRow="0" w:firstColumn="1" w:lastColumn="0" w:noHBand="0" w:noVBand="1"/>
      </w:tblPr>
      <w:tblGrid>
        <w:gridCol w:w="1129"/>
        <w:gridCol w:w="8221"/>
      </w:tblGrid>
      <w:tr w:rsidR="00B44808" w:rsidRPr="00DF17D5" w14:paraId="504846A9" w14:textId="77777777" w:rsidTr="00B44808">
        <w:trPr>
          <w:trHeight w:val="948"/>
        </w:trPr>
        <w:tc>
          <w:tcPr>
            <w:tcW w:w="1129" w:type="dxa"/>
          </w:tcPr>
          <w:p w14:paraId="39615AB2" w14:textId="77777777" w:rsidR="00B44808" w:rsidRPr="00DF17D5" w:rsidRDefault="00B44808" w:rsidP="00CD1625">
            <w:pPr>
              <w:pStyle w:val="Heading1"/>
              <w:spacing w:before="360" w:after="200"/>
              <w:jc w:val="both"/>
              <w:rPr>
                <w:rFonts w:ascii="Times New Roman" w:hAnsi="Times New Roman" w:cs="Times New Roman"/>
                <w:b/>
                <w:bCs/>
                <w:color w:val="000000" w:themeColor="text1"/>
                <w:sz w:val="24"/>
                <w:szCs w:val="24"/>
              </w:rPr>
            </w:pPr>
          </w:p>
          <w:p w14:paraId="66E11ECD" w14:textId="77777777" w:rsidR="00B44808" w:rsidRPr="00DF17D5" w:rsidRDefault="00B44808" w:rsidP="00CD1625">
            <w:pPr>
              <w:pStyle w:val="Heading1"/>
              <w:spacing w:before="360" w:after="200"/>
              <w:jc w:val="both"/>
              <w:rPr>
                <w:rFonts w:ascii="Times New Roman" w:hAnsi="Times New Roman" w:cs="Times New Roman"/>
                <w:b/>
                <w:bCs/>
                <w:color w:val="000000" w:themeColor="text1"/>
                <w:sz w:val="24"/>
                <w:szCs w:val="24"/>
              </w:rPr>
            </w:pPr>
            <w:r w:rsidRPr="00DF17D5">
              <w:rPr>
                <w:rFonts w:ascii="Times New Roman" w:hAnsi="Times New Roman" w:cs="Times New Roman"/>
                <w:b/>
                <w:bCs/>
                <w:color w:val="000000" w:themeColor="text1"/>
                <w:sz w:val="24"/>
                <w:szCs w:val="24"/>
              </w:rPr>
              <w:t>S.NO</w:t>
            </w:r>
          </w:p>
        </w:tc>
        <w:tc>
          <w:tcPr>
            <w:tcW w:w="8221" w:type="dxa"/>
          </w:tcPr>
          <w:p w14:paraId="65678AE4" w14:textId="77777777" w:rsidR="00B44808" w:rsidRPr="00DF17D5" w:rsidRDefault="00B44808" w:rsidP="00CD1625">
            <w:pPr>
              <w:pStyle w:val="Heading1"/>
              <w:spacing w:before="360" w:after="200"/>
              <w:jc w:val="center"/>
              <w:rPr>
                <w:rFonts w:ascii="Times New Roman" w:hAnsi="Times New Roman" w:cs="Times New Roman"/>
                <w:b/>
                <w:bCs/>
                <w:color w:val="000000" w:themeColor="text1"/>
                <w:sz w:val="24"/>
                <w:szCs w:val="24"/>
              </w:rPr>
            </w:pPr>
            <w:r w:rsidRPr="00DF17D5">
              <w:rPr>
                <w:rFonts w:ascii="Times New Roman" w:hAnsi="Times New Roman" w:cs="Times New Roman"/>
                <w:b/>
                <w:bCs/>
                <w:color w:val="000000" w:themeColor="text1"/>
                <w:sz w:val="24"/>
                <w:szCs w:val="24"/>
              </w:rPr>
              <w:t>Topics</w:t>
            </w:r>
          </w:p>
        </w:tc>
      </w:tr>
      <w:tr w:rsidR="00B44808" w:rsidRPr="00DF17D5" w14:paraId="29065B86" w14:textId="77777777" w:rsidTr="00CD1625">
        <w:trPr>
          <w:trHeight w:val="569"/>
        </w:trPr>
        <w:tc>
          <w:tcPr>
            <w:tcW w:w="1129" w:type="dxa"/>
          </w:tcPr>
          <w:p w14:paraId="7FCBA891" w14:textId="77777777" w:rsidR="00B44808" w:rsidRPr="00DF17D5" w:rsidRDefault="00B44808" w:rsidP="00CD1625">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1</w:t>
            </w:r>
          </w:p>
        </w:tc>
        <w:tc>
          <w:tcPr>
            <w:tcW w:w="8221" w:type="dxa"/>
          </w:tcPr>
          <w:p w14:paraId="430EC773" w14:textId="77777777" w:rsidR="00B44808" w:rsidRPr="00DF17D5" w:rsidRDefault="00B44808" w:rsidP="00CD1625">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Introduction</w:t>
            </w:r>
          </w:p>
        </w:tc>
      </w:tr>
      <w:tr w:rsidR="00B44808" w:rsidRPr="00DF17D5" w14:paraId="48BD40F9" w14:textId="77777777" w:rsidTr="00CD1625">
        <w:tc>
          <w:tcPr>
            <w:tcW w:w="1129" w:type="dxa"/>
          </w:tcPr>
          <w:p w14:paraId="73F1E7DD" w14:textId="77777777" w:rsidR="00B44808" w:rsidRPr="00DF17D5" w:rsidRDefault="00B44808" w:rsidP="00CD1625">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2</w:t>
            </w:r>
          </w:p>
        </w:tc>
        <w:tc>
          <w:tcPr>
            <w:tcW w:w="8221" w:type="dxa"/>
          </w:tcPr>
          <w:p w14:paraId="2258EE5E" w14:textId="77777777" w:rsidR="00B44808" w:rsidRPr="00DF17D5" w:rsidRDefault="00B44808" w:rsidP="00CD1625">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Facts of the case</w:t>
            </w:r>
          </w:p>
        </w:tc>
      </w:tr>
      <w:tr w:rsidR="00B44808" w:rsidRPr="00DF17D5" w14:paraId="47D21D60" w14:textId="77777777" w:rsidTr="00CD1625">
        <w:tc>
          <w:tcPr>
            <w:tcW w:w="1129" w:type="dxa"/>
          </w:tcPr>
          <w:p w14:paraId="1F726C79" w14:textId="77777777" w:rsidR="00B44808" w:rsidRPr="00DF17D5" w:rsidRDefault="00B44808" w:rsidP="00CD1625">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3</w:t>
            </w:r>
          </w:p>
        </w:tc>
        <w:tc>
          <w:tcPr>
            <w:tcW w:w="8221" w:type="dxa"/>
          </w:tcPr>
          <w:p w14:paraId="03B81389" w14:textId="77777777" w:rsidR="00B44808" w:rsidRPr="00DF17D5" w:rsidRDefault="00B44808" w:rsidP="00CD1625">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Legal Issue</w:t>
            </w:r>
          </w:p>
        </w:tc>
      </w:tr>
      <w:tr w:rsidR="00B44808" w:rsidRPr="00DF17D5" w14:paraId="3F95C1A7" w14:textId="77777777" w:rsidTr="00CD1625">
        <w:tc>
          <w:tcPr>
            <w:tcW w:w="1129" w:type="dxa"/>
          </w:tcPr>
          <w:p w14:paraId="62BDC4F7" w14:textId="77777777" w:rsidR="00B44808" w:rsidRPr="00DF17D5" w:rsidRDefault="00B44808" w:rsidP="00CD1625">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4</w:t>
            </w:r>
          </w:p>
        </w:tc>
        <w:tc>
          <w:tcPr>
            <w:tcW w:w="8221" w:type="dxa"/>
          </w:tcPr>
          <w:p w14:paraId="253A1073" w14:textId="77777777" w:rsidR="00B44808" w:rsidRPr="00DF17D5" w:rsidRDefault="00B44808" w:rsidP="00CD1625">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Judgement</w:t>
            </w:r>
          </w:p>
        </w:tc>
      </w:tr>
      <w:tr w:rsidR="00B44808" w:rsidRPr="00DF17D5" w14:paraId="29A1C66F" w14:textId="77777777" w:rsidTr="00CD1625">
        <w:tc>
          <w:tcPr>
            <w:tcW w:w="1129" w:type="dxa"/>
          </w:tcPr>
          <w:p w14:paraId="6F32EE25" w14:textId="77777777" w:rsidR="00B44808" w:rsidRPr="00DF17D5" w:rsidRDefault="00B44808" w:rsidP="00CD1625">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5</w:t>
            </w:r>
          </w:p>
        </w:tc>
        <w:tc>
          <w:tcPr>
            <w:tcW w:w="8221" w:type="dxa"/>
          </w:tcPr>
          <w:p w14:paraId="0FE6F06A" w14:textId="77777777" w:rsidR="00B44808" w:rsidRPr="00DF17D5" w:rsidRDefault="00B44808" w:rsidP="00CD1625">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Legal Principle: Contract Formation Analysis</w:t>
            </w:r>
          </w:p>
        </w:tc>
      </w:tr>
      <w:tr w:rsidR="00B44808" w:rsidRPr="00DF17D5" w14:paraId="1B80DABE" w14:textId="77777777" w:rsidTr="00CD1625">
        <w:tc>
          <w:tcPr>
            <w:tcW w:w="1129" w:type="dxa"/>
          </w:tcPr>
          <w:p w14:paraId="3E466571" w14:textId="77777777" w:rsidR="00B44808" w:rsidRPr="00DF17D5" w:rsidRDefault="00B44808" w:rsidP="00CD1625">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6</w:t>
            </w:r>
          </w:p>
        </w:tc>
        <w:tc>
          <w:tcPr>
            <w:tcW w:w="8221" w:type="dxa"/>
          </w:tcPr>
          <w:p w14:paraId="2DAE8714" w14:textId="77777777" w:rsidR="00B44808" w:rsidRPr="00DF17D5" w:rsidRDefault="00B44808" w:rsidP="00CD1625">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Business Relevance</w:t>
            </w:r>
          </w:p>
        </w:tc>
      </w:tr>
      <w:tr w:rsidR="00B44808" w:rsidRPr="00DF17D5" w14:paraId="3BE49EC8" w14:textId="77777777" w:rsidTr="00CD1625">
        <w:tc>
          <w:tcPr>
            <w:tcW w:w="1129" w:type="dxa"/>
          </w:tcPr>
          <w:p w14:paraId="395461A6" w14:textId="77777777" w:rsidR="00B44808" w:rsidRPr="00DF17D5" w:rsidRDefault="00B44808" w:rsidP="00CD1625">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7</w:t>
            </w:r>
          </w:p>
        </w:tc>
        <w:tc>
          <w:tcPr>
            <w:tcW w:w="8221" w:type="dxa"/>
          </w:tcPr>
          <w:p w14:paraId="7532E0BD" w14:textId="77777777" w:rsidR="00B44808" w:rsidRPr="00DF17D5" w:rsidRDefault="00B44808" w:rsidP="00CD1625">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Conclusion</w:t>
            </w:r>
          </w:p>
        </w:tc>
      </w:tr>
    </w:tbl>
    <w:p w14:paraId="1E755D24" w14:textId="77777777" w:rsidR="00793CFA" w:rsidRDefault="00793CFA" w:rsidP="00B44808">
      <w:pPr>
        <w:ind w:firstLine="720"/>
        <w:rPr>
          <w:rFonts w:ascii="Times New Roman" w:hAnsi="Times New Roman" w:cs="Times New Roman"/>
          <w:b/>
          <w:bCs/>
          <w:color w:val="000000" w:themeColor="text1"/>
          <w:sz w:val="32"/>
          <w:szCs w:val="32"/>
        </w:rPr>
      </w:pPr>
    </w:p>
    <w:p w14:paraId="334750BF" w14:textId="1782FD6E" w:rsidR="00B44808" w:rsidRPr="00B44808" w:rsidRDefault="00B44808" w:rsidP="00B44808">
      <w:pPr>
        <w:tabs>
          <w:tab w:val="left" w:pos="888"/>
        </w:tabs>
        <w:rPr>
          <w:rFonts w:ascii="Times New Roman" w:hAnsi="Times New Roman" w:cs="Times New Roman"/>
        </w:rPr>
        <w:sectPr w:rsidR="00B44808" w:rsidRPr="00B44808">
          <w:pgSz w:w="12240" w:h="15840"/>
          <w:pgMar w:top="1440" w:right="1440" w:bottom="1440" w:left="1440" w:header="708" w:footer="708" w:gutter="0"/>
          <w:cols w:space="720"/>
          <w:docGrid w:linePitch="360"/>
        </w:sectPr>
      </w:pPr>
      <w:r>
        <w:rPr>
          <w:rFonts w:ascii="Times New Roman" w:hAnsi="Times New Roman" w:cs="Times New Roman"/>
        </w:rPr>
        <w:tab/>
      </w:r>
    </w:p>
    <w:p w14:paraId="51F19058" w14:textId="77777777" w:rsidR="00793CFA" w:rsidRPr="00641FF8" w:rsidRDefault="00505D3E">
      <w:pPr>
        <w:pStyle w:val="Heading1"/>
        <w:pBdr>
          <w:bottom w:val="single" w:sz="6" w:space="4" w:color="1F3864"/>
        </w:pBdr>
        <w:spacing w:before="360" w:after="20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lastRenderedPageBreak/>
        <w:t>1. Introduction</w:t>
      </w:r>
    </w:p>
    <w:p w14:paraId="3B3B5B75" w14:textId="77777777" w:rsidR="00793CFA" w:rsidRPr="00641FF8" w:rsidRDefault="00505D3E">
      <w:pPr>
        <w:pStyle w:val="Heading2"/>
        <w:spacing w:before="280" w:after="14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1.1 Case Citation &amp; Jurisdiction</w:t>
      </w:r>
    </w:p>
    <w:p w14:paraId="6F306906"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Case Name: Salomon v. A Salomon &amp; Co Ltd</w:t>
      </w:r>
    </w:p>
    <w:p w14:paraId="2F39FCFF"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Citation: [1897] AC 22.</w:t>
      </w:r>
    </w:p>
    <w:p w14:paraId="5EAB992D"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Court: House of Lords, United Kingdom (the highest court of appeal in the UK at the time).</w:t>
      </w:r>
    </w:p>
    <w:p w14:paraId="78204BAE"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 xml:space="preserve">Relevant Legislation: The Companies Act, 1862 (the English </w:t>
      </w:r>
      <w:proofErr w:type="gramStart"/>
      <w:r w:rsidRPr="00641FF8">
        <w:rPr>
          <w:rFonts w:ascii="Times New Roman" w:hAnsi="Times New Roman" w:cs="Times New Roman"/>
          <w:color w:val="000000" w:themeColor="text1"/>
          <w:sz w:val="24"/>
          <w:szCs w:val="24"/>
        </w:rPr>
        <w:t>companies</w:t>
      </w:r>
      <w:proofErr w:type="gramEnd"/>
      <w:r w:rsidRPr="00641FF8">
        <w:rPr>
          <w:rFonts w:ascii="Times New Roman" w:hAnsi="Times New Roman" w:cs="Times New Roman"/>
          <w:color w:val="000000" w:themeColor="text1"/>
          <w:sz w:val="24"/>
          <w:szCs w:val="24"/>
        </w:rPr>
        <w:t xml:space="preserve"> legislation in force at the time).</w:t>
      </w:r>
    </w:p>
    <w:p w14:paraId="0A04477A"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Year of Judgment: 1897.</w:t>
      </w:r>
    </w:p>
    <w:p w14:paraId="6136D122" w14:textId="77777777" w:rsidR="00793CFA" w:rsidRPr="00641FF8" w:rsidRDefault="00505D3E">
      <w:pPr>
        <w:pStyle w:val="Heading2"/>
        <w:spacing w:before="280" w:after="14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1.2 Brief Introduction to the Case</w:t>
      </w:r>
    </w:p>
    <w:p w14:paraId="0F01FFF0"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Salomon v. A Salomon &amp; Co Ltd is the single most important case in the whole of company law, and it is the case every student meets first when learning what a company actually is in the eyes of the law. Mr. Aron Salomon was a successful boot and shoe manufacturer who decided to convert his sole-proprietorship business into a limited company, largely so that his family could hold shares in it alongside him. He sold his existing business to this newly formed company, took the vast majority of its shares for h</w:t>
      </w:r>
      <w:r w:rsidRPr="00641FF8">
        <w:rPr>
          <w:rFonts w:ascii="Times New Roman" w:hAnsi="Times New Roman" w:cs="Times New Roman"/>
          <w:color w:val="000000" w:themeColor="text1"/>
          <w:sz w:val="24"/>
          <w:szCs w:val="24"/>
        </w:rPr>
        <w:t>imself, and also held a secured debenture, essentially a secured loan, over the company's assets. When the company later ran into financial trouble and was wound up, its unsecured creditors found there was not enough left to pay them after Mr. Salomon, as the secured debenture holder, was paid first. The liquidator, acting for the unsecured creditors, argued that the company was really just Mr. Salomon in disguise, and that he should be made personally liable for its debts. The House of Lords disagreed, and</w:t>
      </w:r>
      <w:r w:rsidRPr="00641FF8">
        <w:rPr>
          <w:rFonts w:ascii="Times New Roman" w:hAnsi="Times New Roman" w:cs="Times New Roman"/>
          <w:color w:val="000000" w:themeColor="text1"/>
          <w:sz w:val="24"/>
          <w:szCs w:val="24"/>
        </w:rPr>
        <w:t xml:space="preserve"> in doing so laid down one of the most fundamental principles of modern company law: that once properly incorporated, a company is a completely separate legal person from the people who own or run it, even if one person holds nearly all of its shares.</w:t>
      </w:r>
    </w:p>
    <w:p w14:paraId="5AC453F5" w14:textId="77777777" w:rsidR="00793CFA" w:rsidRPr="00641FF8" w:rsidRDefault="00505D3E">
      <w:pPr>
        <w:pStyle w:val="Heading1"/>
        <w:pBdr>
          <w:bottom w:val="single" w:sz="6" w:space="4" w:color="1F3864"/>
        </w:pBdr>
        <w:spacing w:before="360" w:after="20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2. Facts of the Case</w:t>
      </w:r>
    </w:p>
    <w:p w14:paraId="38D5B991" w14:textId="77777777" w:rsidR="00793CFA" w:rsidRPr="00641FF8" w:rsidRDefault="00505D3E">
      <w:pPr>
        <w:pStyle w:val="Heading2"/>
        <w:spacing w:before="280" w:after="14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2.1 Chronological Summary of Events</w:t>
      </w:r>
    </w:p>
    <w:p w14:paraId="7A3CC82A"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Mr. Aron Salomon had run a successful boot and shoe manufacturing business as a sole trader for many years.</w:t>
      </w:r>
    </w:p>
    <w:p w14:paraId="08D7E0F5"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Wishing to give his family a stake in the business, and to take advantage of the benefits of incorporation, he decided to convert his sole-proprietorship into a limited company, named A Salomon &amp; Co Ltd.</w:t>
      </w:r>
    </w:p>
    <w:p w14:paraId="5CDDC77B"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lastRenderedPageBreak/>
        <w:t>Mr. Salomon sold his existing business to the newly incorporated company for a price that was later disputed as possibly being overvalued.</w:t>
      </w:r>
    </w:p>
    <w:p w14:paraId="433AA787"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In payment for the business, Mr. Salomon received the vast majority of the company's shares: he held 20,001 of the company's 20,007 shares, while the remaining six shares were distributed one each to his wife and five of his children, purely to satisfy the legal requirement at the time that a company have at least seven shareholders.</w:t>
      </w:r>
    </w:p>
    <w:p w14:paraId="3C39CAD2"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As part of the arrangement, Mr. Salomon also received a debenture from the company, a document creating a secured charge over the company's assets, securing a loan of £10,000 that he had effectively advanced to the company as part of the sale price.</w:t>
      </w:r>
    </w:p>
    <w:p w14:paraId="1026BFE5"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The company subsequently borrowed further money from outside, unsecured creditors to help run its business.</w:t>
      </w:r>
    </w:p>
    <w:p w14:paraId="399C735B"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The boot-making business did not perform as well as hoped, and the company eventually fell into financial difficulty and went into insolvent liquidation.</w:t>
      </w:r>
    </w:p>
    <w:p w14:paraId="4202489E"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Upon liquidation, the company's assets were insufficient to pay both Mr. Salomon, as the secured debenture holder, and the unsecured trade creditors.</w:t>
      </w:r>
    </w:p>
    <w:p w14:paraId="6CA8B814"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Since Mr. Salomon's debenture was secured, he had first claim to whatever assets the company had, leaving little or nothing for the unsecured creditors.</w:t>
      </w:r>
    </w:p>
    <w:p w14:paraId="1FAAB993"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The liquidator, acting on behalf of the unsecured creditors, brought a claim arguing that the company was merely an agent, trustee, or sham for Mr. Salomon personally, and that he should be made personally liable to indemnify the company's debts.</w:t>
      </w:r>
    </w:p>
    <w:p w14:paraId="739DFBDD"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The case proceeded through the lower courts before reaching the House of Lords, which delivered its judgment in 1897.</w:t>
      </w:r>
    </w:p>
    <w:p w14:paraId="0ED447B9" w14:textId="77777777" w:rsidR="00793CFA" w:rsidRPr="00641FF8" w:rsidRDefault="00505D3E">
      <w:pPr>
        <w:pStyle w:val="Heading2"/>
        <w:spacing w:before="280" w:after="14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2.2 Material Commercial Context</w:t>
      </w:r>
    </w:p>
    <w:p w14:paraId="00D03032"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The underlying transaction was the incorporation of a previously unincorporated, sole-proprietorship business into a limited company, followed by ordinary commercial borrowing by that company from trade creditors. Incorporating an existing business in this way was, and remains, an extremely common commercial practice, allowing a business owner to formalise their enterprise, bring in family members or partners as shareholders, and benefit from the legal advantages that come with operating through a company r</w:t>
      </w:r>
      <w:r w:rsidRPr="00641FF8">
        <w:rPr>
          <w:rFonts w:ascii="Times New Roman" w:hAnsi="Times New Roman" w:cs="Times New Roman"/>
          <w:color w:val="000000" w:themeColor="text1"/>
          <w:sz w:val="24"/>
          <w:szCs w:val="24"/>
        </w:rPr>
        <w:t xml:space="preserve">ather than as an individual trader. What made this case significant was that the new company was, in every practical sense, still controlled and dominated by one person, Mr. Salomon, who held nearly all of its shares and had also secured his own investment ahead of other creditors. This raised a pressing commercial and legal question: does incorporating a business actually create a truly separate entity, with its own legal existence, </w:t>
      </w:r>
      <w:r w:rsidRPr="00641FF8">
        <w:rPr>
          <w:rFonts w:ascii="Times New Roman" w:hAnsi="Times New Roman" w:cs="Times New Roman"/>
          <w:color w:val="000000" w:themeColor="text1"/>
          <w:sz w:val="24"/>
          <w:szCs w:val="24"/>
        </w:rPr>
        <w:lastRenderedPageBreak/>
        <w:t>or is it merely a convenient legal label that can be ignored whenever it suits the creditors of a struggling business?</w:t>
      </w:r>
    </w:p>
    <w:p w14:paraId="4DD5932E" w14:textId="77777777" w:rsidR="00793CFA" w:rsidRPr="00641FF8" w:rsidRDefault="00505D3E">
      <w:pPr>
        <w:pStyle w:val="Heading1"/>
        <w:pBdr>
          <w:bottom w:val="single" w:sz="6" w:space="4" w:color="1F3864"/>
        </w:pBdr>
        <w:spacing w:before="360" w:after="20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3. Legal Issue</w:t>
      </w:r>
    </w:p>
    <w:p w14:paraId="157C1B37" w14:textId="77777777" w:rsidR="00793CFA" w:rsidRPr="00641FF8" w:rsidRDefault="00505D3E">
      <w:pPr>
        <w:pStyle w:val="Heading2"/>
        <w:spacing w:before="280" w:after="14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3.1 Primary Question of Law</w:t>
      </w:r>
    </w:p>
    <w:p w14:paraId="552CC134"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The central legal question before the House of Lords was: Once a company has been validly incorporated in accordance with the Companies Act, does it become a separate legal person, distinct from its shareholders, even where one shareholder holds almost all of its shares and effectively controls the business, or can the company be disregarded as a mere agent or alter ego of that dominant shareholder?</w:t>
      </w:r>
    </w:p>
    <w:p w14:paraId="30FCD8E2"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This broad question can be broken down into smaller issues that the court actually examined:</w:t>
      </w:r>
    </w:p>
    <w:p w14:paraId="6F192CA4"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Was A Salomon &amp; Co Ltd validly incorporated as a company under the Companies Act, 1862, despite Mr. Salomon holding almost all of its shares?</w:t>
      </w:r>
    </w:p>
    <w:p w14:paraId="33D287EA"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If the company was validly incorporated, did that incorporation create a legal entity separate from Mr. Salomon himself, such that the company's debts were its own and not his?</w:t>
      </w:r>
    </w:p>
    <w:p w14:paraId="2EB4EB0F"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Could Mr. Salomon, as a secured debenture holder, lawfully claim priority over the company's unsecured creditors when the company was wound up?</w:t>
      </w:r>
    </w:p>
    <w:p w14:paraId="6DAA6A20"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Could the unsecured creditors succeed in making Mr. Salomon personally liable for the company's debts by arguing that the company was merely his agent or nominee?</w:t>
      </w:r>
    </w:p>
    <w:p w14:paraId="3DB638FF" w14:textId="77777777" w:rsidR="00793CFA" w:rsidRPr="00641FF8" w:rsidRDefault="00505D3E">
      <w:pPr>
        <w:pStyle w:val="Heading2"/>
        <w:spacing w:before="280" w:after="14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3.2 Points of Contention</w:t>
      </w:r>
    </w:p>
    <w:p w14:paraId="12B573B8"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Arguments on behalf of the Liquidator/Unsecured Creditors (Appellants):</w:t>
      </w:r>
    </w:p>
    <w:p w14:paraId="56250E98"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The company was not a genuine, independent business but merely a vehicle set up by Mr. Salomon to continue running his existing enterprise while shielding himself from personal liability.</w:t>
      </w:r>
    </w:p>
    <w:p w14:paraId="66ADB243"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Since Mr. Salomon held virtually all of the shares and completely controlled the company's operations, the company should be treated as his agent or trustee, meaning its debts were, in substance, his own.</w:t>
      </w:r>
    </w:p>
    <w:p w14:paraId="309C9466"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It was unfair and improper for Mr. Salomon to secure his own investment through a debenture and then claim priority over ordinary trade creditors who had extended credit to the business in good faith.</w:t>
      </w:r>
    </w:p>
    <w:p w14:paraId="01F5E1A7"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Arguments on behalf of Mr. Salomon (Respondent):</w:t>
      </w:r>
    </w:p>
    <w:p w14:paraId="50DE79EA"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lastRenderedPageBreak/>
        <w:t>The company had been formed in full compliance with the requirements of the Companies Act, 1862, including having the minimum number of shareholders required at the time.</w:t>
      </w:r>
    </w:p>
    <w:p w14:paraId="01F7F356"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Once validly incorporated, the company became its own distinct legal person, capable of owning property, entering contracts, and incurring debts in its own name, entirely separate from Mr. Salomon as an individual.</w:t>
      </w:r>
    </w:p>
    <w:p w14:paraId="203ECEE2"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The debenture had been properly and lawfully granted to secure a genuine debt owed by the company to Mr. Salomon, and there was nothing in law preventing a secured creditor, even one who was also a shareholder, from being paid ahead of unsecured creditors.</w:t>
      </w:r>
    </w:p>
    <w:p w14:paraId="24938720" w14:textId="77777777" w:rsidR="00793CFA" w:rsidRPr="00641FF8" w:rsidRDefault="00505D3E">
      <w:pPr>
        <w:pStyle w:val="Heading1"/>
        <w:pBdr>
          <w:bottom w:val="single" w:sz="6" w:space="4" w:color="1F3864"/>
        </w:pBdr>
        <w:spacing w:before="360" w:after="20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4. Judgment</w:t>
      </w:r>
    </w:p>
    <w:p w14:paraId="4AB3AAFE" w14:textId="77777777" w:rsidR="00793CFA" w:rsidRPr="00641FF8" w:rsidRDefault="00505D3E">
      <w:pPr>
        <w:pStyle w:val="Heading2"/>
        <w:spacing w:before="280" w:after="14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4.1 Court's Decision</w:t>
      </w:r>
    </w:p>
    <w:p w14:paraId="69B3C057"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The House of Lords ruled unanimously in favour of Mr. Salomon, reversing the decisions of the lower courts. The court held that A Salomon &amp; Co Ltd was validly incorporated and constituted a legal entity entirely separate from Mr. Salomon himself. As a result, Mr. Salomon was not personally liable for the company's debts, and his secured debenture entitled him to be paid ahead of the unsecured creditors on the company's liquidation.</w:t>
      </w:r>
    </w:p>
    <w:p w14:paraId="2FE6C34A" w14:textId="77777777" w:rsidR="00793CFA" w:rsidRPr="00641FF8" w:rsidRDefault="00505D3E">
      <w:pPr>
        <w:pStyle w:val="Heading2"/>
        <w:spacing w:before="280" w:after="14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4.2 Ratio Decidendi (Judicial Reasoning)</w:t>
      </w:r>
    </w:p>
    <w:p w14:paraId="42DEC71F"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On the effect of valid incorporation: The House of Lords held that once a company is properly registered and incorporated in accordance with the requirements of the Companies Act, it becomes a legal person in its own right, entirely distinct from its subscribers or shareholders, however small their individual shareholdings, and regardless of how much control any single shareholder may exercise over it.</w:t>
      </w:r>
    </w:p>
    <w:p w14:paraId="7789D6E9"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On the irrelevance of Mr. Salomon's dominant shareholding: The court rejected the argument that the company was simply Mr. Salomon operating under another name. It held that the motives behind incorporating the company, and the fact that Mr. Salomon owned nearly all of the shares, did not affect the legal reality that the company, once formed, existed as its own person under the law. The Act did not require shareholders to be independent of one another or to hold roughly equal shares; it only required the s</w:t>
      </w:r>
      <w:r w:rsidRPr="00641FF8">
        <w:rPr>
          <w:rFonts w:ascii="Times New Roman" w:hAnsi="Times New Roman" w:cs="Times New Roman"/>
          <w:color w:val="000000" w:themeColor="text1"/>
          <w:sz w:val="24"/>
          <w:szCs w:val="24"/>
        </w:rPr>
        <w:t>tatutory formalities to be observed, which they had been.</w:t>
      </w:r>
    </w:p>
    <w:p w14:paraId="7E06A300"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On the debts being the company's own: Because the company was a separate legal person, the debts incurred in running the business were the company's debts, not Mr. Salomon's personal debts. The unsecured creditors had extended credit to the company, not to Mr. Salomon individually, and therefore had no legal basis to pursue him personally for repayment.</w:t>
      </w:r>
    </w:p>
    <w:p w14:paraId="5FA828AA"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lastRenderedPageBreak/>
        <w:t>On the priority of the debenture: The House of Lords confirmed that Mr. Salomon's debenture, properly created to secure a real debt owed to him by the company, gave him a valid security interest that ranked ahead of the unsecured creditors' claims, exactly as would be the case for any other secured creditor, whether or not that creditor also happened to be a shareholder.</w:t>
      </w:r>
    </w:p>
    <w:p w14:paraId="512CF0BA" w14:textId="77777777" w:rsidR="00793CFA" w:rsidRPr="00641FF8" w:rsidRDefault="00505D3E">
      <w:pPr>
        <w:pBdr>
          <w:left w:val="single" w:sz="16" w:space="8" w:color="8C6D1F"/>
        </w:pBdr>
        <w:spacing w:before="120" w:after="200" w:line="280" w:lineRule="auto"/>
        <w:ind w:left="500" w:right="500"/>
        <w:rPr>
          <w:rFonts w:ascii="Times New Roman" w:hAnsi="Times New Roman" w:cs="Times New Roman"/>
          <w:color w:val="000000" w:themeColor="text1"/>
          <w:sz w:val="24"/>
          <w:szCs w:val="24"/>
        </w:rPr>
      </w:pPr>
      <w:r w:rsidRPr="00641FF8">
        <w:rPr>
          <w:rFonts w:ascii="Times New Roman" w:hAnsi="Times New Roman" w:cs="Times New Roman"/>
          <w:i/>
          <w:iCs/>
          <w:color w:val="000000" w:themeColor="text1"/>
          <w:sz w:val="24"/>
          <w:szCs w:val="24"/>
        </w:rPr>
        <w:t>The company is at law a different person altogether from the subscribers... and, though it may be that after incorporation the business is precisely the same as it was before, the company is not in law the agent of the subscribers or trustee for them.</w:t>
      </w:r>
    </w:p>
    <w:p w14:paraId="441BE9C9"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Taken together, the court concluded that the corporate veil, the legal separation between a company and its members, could not be lifted simply because one person owned almost all the shares and controlled the business; the company's separate legal identity had to be respected, and Mr. Salomon could not be held personally liable for its debts.</w:t>
      </w:r>
    </w:p>
    <w:p w14:paraId="7DE4922B" w14:textId="77777777" w:rsidR="00793CFA" w:rsidRPr="00641FF8" w:rsidRDefault="00505D3E">
      <w:pPr>
        <w:pStyle w:val="Heading1"/>
        <w:pBdr>
          <w:bottom w:val="single" w:sz="6" w:space="4" w:color="1F3864"/>
        </w:pBdr>
        <w:spacing w:before="360" w:after="20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5. Legal Principle: Separate Legal Personality</w:t>
      </w:r>
    </w:p>
    <w:p w14:paraId="44C866C5"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This section breaks down the two central legal principles established in Salomon v. A Salomon &amp; Co Ltd: the separate legal personality of a company, and the limited liability this creates for its shareholders.</w:t>
      </w:r>
    </w:p>
    <w:p w14:paraId="571B63D0" w14:textId="77777777" w:rsidR="00793CFA" w:rsidRPr="00641FF8" w:rsidRDefault="00505D3E">
      <w:pPr>
        <w:pStyle w:val="Heading2"/>
        <w:spacing w:before="280" w:after="14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5.1 The Company as a Distinct Legal Entity</w:t>
      </w:r>
    </w:p>
    <w:p w14:paraId="50D11102"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The most significant and enduring principle from this case is that a validly incorporated company is treated, in law, as a person in its own right, entirely separate from the people who own or manage it. This means the company can own property, sue and be sued, enter into contracts, and incur debts, all in its own name, independent of its shareholders or directors. Before this case, there had been real uncertainty about whether this separation held true in a 'one-man company', where a single individual effe</w:t>
      </w:r>
      <w:r w:rsidRPr="00641FF8">
        <w:rPr>
          <w:rFonts w:ascii="Times New Roman" w:hAnsi="Times New Roman" w:cs="Times New Roman"/>
          <w:color w:val="000000" w:themeColor="text1"/>
          <w:sz w:val="24"/>
          <w:szCs w:val="24"/>
        </w:rPr>
        <w:t>ctively owns and controls the entire business through the corporate structure. Salomon settled this question decisively: the number of shares one person holds, and the degree of control they exercise, does not undo the legal fact of incorporation. As long as the formal requirements for incorporation are met, the resulting company stands as its own legal person, distinct even from its dominant, controlling shareholder.</w:t>
      </w:r>
    </w:p>
    <w:p w14:paraId="7F864986" w14:textId="77777777" w:rsidR="00793CFA" w:rsidRPr="00641FF8" w:rsidRDefault="00505D3E">
      <w:pPr>
        <w:pStyle w:val="Heading2"/>
        <w:spacing w:before="280" w:after="14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5.2 Limited Liability of Shareholders</w:t>
      </w:r>
    </w:p>
    <w:p w14:paraId="5DBF84AD"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Flowing directly from the principle of separate legal personality is the doctrine of limited liability: because the company's debts belong to the company and not to its shareholders, a shareholder's financial exposure is generally limited to the amount they have invested or agreed to invest in the company's shares. In Salomon's case, this meant that even though the company owed money to unsecured creditors that it could not fully repay, Mr. Salomon himself could not be made to dig into his personal assets t</w:t>
      </w:r>
      <w:r w:rsidRPr="00641FF8">
        <w:rPr>
          <w:rFonts w:ascii="Times New Roman" w:hAnsi="Times New Roman" w:cs="Times New Roman"/>
          <w:color w:val="000000" w:themeColor="text1"/>
          <w:sz w:val="24"/>
          <w:szCs w:val="24"/>
        </w:rPr>
        <w:t xml:space="preserve">o cover the shortfall, since the debts were legally the company's own, not </w:t>
      </w:r>
      <w:r w:rsidRPr="00641FF8">
        <w:rPr>
          <w:rFonts w:ascii="Times New Roman" w:hAnsi="Times New Roman" w:cs="Times New Roman"/>
          <w:color w:val="000000" w:themeColor="text1"/>
          <w:sz w:val="24"/>
          <w:szCs w:val="24"/>
        </w:rPr>
        <w:lastRenderedPageBreak/>
        <w:t>his. This protection is one of the primary reasons individuals and families choose to incorporate businesses rather than operate as sole traders or partnerships, where personal assets typically remain exposed to business debts.</w:t>
      </w:r>
    </w:p>
    <w:p w14:paraId="1751C960" w14:textId="77777777" w:rsidR="00793CFA" w:rsidRPr="00641FF8" w:rsidRDefault="00505D3E">
      <w:pPr>
        <w:pStyle w:val="Heading2"/>
        <w:spacing w:before="280" w:after="14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5.3 Ancillary Pillars &amp; Later Case Law</w:t>
      </w:r>
    </w:p>
    <w:p w14:paraId="37A72A43"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The Salomon principle has remained the bedrock of company law for over a century, though later cases and statutes have carved out limited exceptions where courts are willing to look behind the corporate structure.</w:t>
      </w:r>
    </w:p>
    <w:p w14:paraId="230D23A2"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Piercing or lifting the corporate veil: Despite the strength of the Salomon principle, courts have, in exceptional circumstances, been willing to disregard a company's separate personality, for example, where the corporate form is used as a mere façade to conceal fraud, evade an existing legal obligation, or perpetrate a clear injustice, as seen in later cases such as Gilford Motor Co v. Horne [1933] and Jones v. Lipman [1962].</w:t>
      </w:r>
    </w:p>
    <w:p w14:paraId="4A1CC8C8"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Statutory exceptions: Modern company law statutes in many jurisdictions, including India's Companies Act, 2013, also provide specific statutory grounds on which directors or shareholders can be made personally liable, such as for fraudulent trading or improper reduction in the number of members, without disturbing the general Salomon principle for ordinary, honestly run companies.</w:t>
      </w:r>
    </w:p>
    <w:p w14:paraId="4D4F6CB5"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Despite these exceptions, they remain narrow and are applied sparingly; the general rule from Salomon, that a company's separate legal personality must be respected, continues to be the default position in company law across the common law world, including India.</w:t>
      </w:r>
    </w:p>
    <w:p w14:paraId="7B0A439A" w14:textId="77777777" w:rsidR="00793CFA" w:rsidRPr="00641FF8" w:rsidRDefault="00505D3E">
      <w:pPr>
        <w:pStyle w:val="Heading1"/>
        <w:pBdr>
          <w:bottom w:val="single" w:sz="6" w:space="4" w:color="1F3864"/>
        </w:pBdr>
        <w:spacing w:before="360" w:after="20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6. Business Relevance</w:t>
      </w:r>
    </w:p>
    <w:p w14:paraId="53D061B5" w14:textId="77777777" w:rsidR="00793CFA" w:rsidRPr="00641FF8" w:rsidRDefault="00505D3E">
      <w:pPr>
        <w:pStyle w:val="Heading2"/>
        <w:spacing w:before="280" w:after="14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6.1 Application in Modern Business</w:t>
      </w:r>
    </w:p>
    <w:p w14:paraId="7C4132D8"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The Salomon principle underpins the entire modern practice of incorporating businesses, and it remains directly relevant to entrepreneurs, start-ups, and family businesses today. Anyone setting up a private limited company, including a one-person or family-controlled fintech start-up, relies on exactly the protection established in this case: that the company's debts and liabilities belong to the company itself, not to its founders or majority shareholders personally, provided the company is genuinely and p</w:t>
      </w:r>
      <w:r w:rsidRPr="00641FF8">
        <w:rPr>
          <w:rFonts w:ascii="Times New Roman" w:hAnsi="Times New Roman" w:cs="Times New Roman"/>
          <w:color w:val="000000" w:themeColor="text1"/>
          <w:sz w:val="24"/>
          <w:szCs w:val="24"/>
        </w:rPr>
        <w:t>roperly run as a separate entity.</w:t>
      </w:r>
    </w:p>
    <w:p w14:paraId="6C487D5B"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 xml:space="preserve">This is especially relevant for founders raising external debt or investment, since lenders and investors need to clearly understand that, absent fraud or misuse of the corporate structure, they generally cannot pursue a shareholder's personal assets if the company itself cannot repay its debts. At the same time, this case is a reminder to creditors, including banks and fintech lenders, that </w:t>
      </w:r>
      <w:r w:rsidRPr="00641FF8">
        <w:rPr>
          <w:rFonts w:ascii="Times New Roman" w:hAnsi="Times New Roman" w:cs="Times New Roman"/>
          <w:color w:val="000000" w:themeColor="text1"/>
          <w:sz w:val="24"/>
          <w:szCs w:val="24"/>
        </w:rPr>
        <w:lastRenderedPageBreak/>
        <w:t>lending to a company carries genuine credit risk distinct from the personal wealth of its owners, which is precisely why lenders often ask founders for personal guarantees when they want additional security beyond the company's own assets.</w:t>
      </w:r>
    </w:p>
    <w:p w14:paraId="33FDF3AF" w14:textId="77777777" w:rsidR="00793CFA" w:rsidRPr="00641FF8" w:rsidRDefault="00505D3E">
      <w:pPr>
        <w:pStyle w:val="Heading2"/>
        <w:spacing w:before="280" w:after="14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6.2 Risk Management &amp; Operational Compliance</w:t>
      </w:r>
    </w:p>
    <w:p w14:paraId="307A6282"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Several practical lessons for businesses and professionals follow from this case:</w:t>
      </w:r>
    </w:p>
    <w:p w14:paraId="6221D836"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Respect the corporate form in practice, not just on paper: To retain the protection of limited liability, businesses should maintain proper corporate formalities, separate company finances clearly from personal finances, and avoid treating company assets as personal property.</w:t>
      </w:r>
    </w:p>
    <w:p w14:paraId="4770784B"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Understand the limits of limited liability: Founders and directors should be aware that while ordinary business debts are shielded from personal assets, courts can pierce the corporate veil in cases of fraud, sham transactions, or misuse of the company structure to evade legal obligations.</w:t>
      </w:r>
    </w:p>
    <w:p w14:paraId="40C3A592"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Use security interests thoughtfully: As Mr. Salomon did with his debenture, founders providing loans to their own company can take security over its assets, but should be aware that this priority may be scrutinised, especially where it disadvantages other creditors, and should be properly documented and justified.</w:t>
      </w:r>
    </w:p>
    <w:p w14:paraId="2CB3A117"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Communicate credit risk clearly to lenders: Since a company's separate personality means creditors generally cannot pursue shareholders personally, lenders should assess the company's own creditworthiness carefully, and may require personal guarantees from founders where additional security is needed.</w:t>
      </w:r>
    </w:p>
    <w:p w14:paraId="0237BB0A" w14:textId="77777777" w:rsidR="00793CFA" w:rsidRPr="00641FF8" w:rsidRDefault="00505D3E">
      <w:pPr>
        <w:pStyle w:val="ListParagraph"/>
        <w:numPr>
          <w:ilvl w:val="0"/>
          <w:numId w:val="1"/>
        </w:numPr>
        <w:spacing w:after="100" w:line="300" w:lineRule="auto"/>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Plan for insolvency scenarios: Businesses should understand how secured and unsecured creditors are ranked on liquidation, since, as this case shows, secured creditors, even those who are also shareholders, are generally paid ahead of unsecured creditors.</w:t>
      </w:r>
    </w:p>
    <w:p w14:paraId="2F0F0D48" w14:textId="77777777" w:rsidR="00793CFA" w:rsidRPr="00641FF8" w:rsidRDefault="00505D3E">
      <w:pPr>
        <w:pStyle w:val="Heading1"/>
        <w:pBdr>
          <w:bottom w:val="single" w:sz="6" w:space="4" w:color="1F3864"/>
        </w:pBdr>
        <w:spacing w:before="360" w:after="20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7. Conclusion</w:t>
      </w:r>
    </w:p>
    <w:p w14:paraId="6F7D41CC" w14:textId="77777777" w:rsidR="00793CFA" w:rsidRPr="00641FF8" w:rsidRDefault="00505D3E">
      <w:pPr>
        <w:pStyle w:val="Heading2"/>
        <w:spacing w:before="280" w:after="14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7.1 Personal Learning and Observations</w:t>
      </w:r>
    </w:p>
    <w:p w14:paraId="33521A42"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 xml:space="preserve">Studying Salomon </w:t>
      </w:r>
      <w:proofErr w:type="gramStart"/>
      <w:r w:rsidRPr="00641FF8">
        <w:rPr>
          <w:rFonts w:ascii="Times New Roman" w:hAnsi="Times New Roman" w:cs="Times New Roman"/>
          <w:color w:val="000000" w:themeColor="text1"/>
          <w:sz w:val="24"/>
          <w:szCs w:val="24"/>
        </w:rPr>
        <w:t>v.</w:t>
      </w:r>
      <w:proofErr w:type="gramEnd"/>
      <w:r w:rsidRPr="00641FF8">
        <w:rPr>
          <w:rFonts w:ascii="Times New Roman" w:hAnsi="Times New Roman" w:cs="Times New Roman"/>
          <w:color w:val="000000" w:themeColor="text1"/>
          <w:sz w:val="24"/>
          <w:szCs w:val="24"/>
        </w:rPr>
        <w:t xml:space="preserve"> A Salomon &amp; Co Ltd has helped me understand that incorporating a company is not just a formality or a piece of paperwork; it genuinely creates a new legal person, separate from the people who set it up and run it. What stood out most to me is how firmly the House of Lords protected this principle, even in a situation where one person owned nearly all the shares and controlled every aspect of the business. It would have been easy for the court to say that Mr. </w:t>
      </w:r>
      <w:r w:rsidRPr="00641FF8">
        <w:rPr>
          <w:rFonts w:ascii="Times New Roman" w:hAnsi="Times New Roman" w:cs="Times New Roman"/>
          <w:color w:val="000000" w:themeColor="text1"/>
          <w:sz w:val="24"/>
          <w:szCs w:val="24"/>
        </w:rPr>
        <w:lastRenderedPageBreak/>
        <w:t>Salomon and his company were, in reality, the same thing, but the judges instead insisted that the law had to respect the legal form of incorporation once its formal requirements were satisfied.</w:t>
      </w:r>
    </w:p>
    <w:p w14:paraId="6FC62639"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 xml:space="preserve">I also found it interesting that this same structure, which protected Mr. Salomon from personal liability, also allowed him to be paid ahead of the very creditors who were left unpaid, showing how the same legal principle can benefit different people in very different ways depending on their position in a company's capital structure. As someone studying commerce and financial technology, I think this case is essential to understanding how limited liability companies function as vehicles for raising capital </w:t>
      </w:r>
      <w:r w:rsidRPr="00641FF8">
        <w:rPr>
          <w:rFonts w:ascii="Times New Roman" w:hAnsi="Times New Roman" w:cs="Times New Roman"/>
          <w:color w:val="000000" w:themeColor="text1"/>
          <w:sz w:val="24"/>
          <w:szCs w:val="24"/>
        </w:rPr>
        <w:t>and managing risk, and it reminds me that behind every 'company', however small or closely held, stands a distinct legal person whose separate existence the law is generally very reluctant to disturb.</w:t>
      </w:r>
    </w:p>
    <w:p w14:paraId="1FB54727" w14:textId="77777777" w:rsidR="00793CFA" w:rsidRPr="00641FF8" w:rsidRDefault="00505D3E">
      <w:pPr>
        <w:pStyle w:val="Heading1"/>
        <w:pBdr>
          <w:bottom w:val="single" w:sz="6" w:space="4" w:color="1F3864"/>
        </w:pBdr>
        <w:spacing w:before="360" w:after="200"/>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Annexure: IRAC Summary</w:t>
      </w:r>
    </w:p>
    <w:p w14:paraId="0877731F" w14:textId="77777777" w:rsidR="00793CFA" w:rsidRPr="00641FF8" w:rsidRDefault="00505D3E">
      <w:pPr>
        <w:spacing w:after="180" w:line="300" w:lineRule="auto"/>
        <w:jc w:val="both"/>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The following table summarises the case using the IRAC (Issue, Rule, Application, Conclusion) method commonly used in legal case analysis:</w:t>
      </w:r>
    </w:p>
    <w:tbl>
      <w:tblPr>
        <w:tblW w:w="9350" w:type="dxa"/>
        <w:tblBorders>
          <w:top w:val="single" w:sz="4" w:space="0" w:color="8C8C8C"/>
          <w:left w:val="single" w:sz="4" w:space="0" w:color="8C8C8C"/>
          <w:bottom w:val="single" w:sz="4" w:space="0" w:color="8C8C8C"/>
          <w:right w:val="single" w:sz="4" w:space="0" w:color="8C8C8C"/>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800"/>
        <w:gridCol w:w="7550"/>
      </w:tblGrid>
      <w:tr w:rsidR="00793CFA" w:rsidRPr="00641FF8" w14:paraId="4778E1E0" w14:textId="77777777">
        <w:trPr>
          <w:tblHeader/>
        </w:trPr>
        <w:tc>
          <w:tcPr>
            <w:tcW w:w="1800" w:type="dxa"/>
            <w:shd w:val="clear" w:color="auto" w:fill="1F3864"/>
            <w:tcMar>
              <w:top w:w="100" w:type="dxa"/>
              <w:left w:w="150" w:type="dxa"/>
              <w:bottom w:w="100" w:type="dxa"/>
              <w:right w:w="150" w:type="dxa"/>
            </w:tcMar>
            <w:vAlign w:val="center"/>
          </w:tcPr>
          <w:p w14:paraId="69881878" w14:textId="77777777" w:rsidR="00793CFA" w:rsidRPr="00641FF8" w:rsidRDefault="00505D3E">
            <w:pPr>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Element</w:t>
            </w:r>
          </w:p>
        </w:tc>
        <w:tc>
          <w:tcPr>
            <w:tcW w:w="7550" w:type="dxa"/>
            <w:shd w:val="clear" w:color="auto" w:fill="1F3864"/>
            <w:tcMar>
              <w:top w:w="100" w:type="dxa"/>
              <w:left w:w="150" w:type="dxa"/>
              <w:bottom w:w="100" w:type="dxa"/>
              <w:right w:w="150" w:type="dxa"/>
            </w:tcMar>
            <w:vAlign w:val="center"/>
          </w:tcPr>
          <w:p w14:paraId="251F93E1" w14:textId="77777777" w:rsidR="00793CFA" w:rsidRPr="00641FF8" w:rsidRDefault="00505D3E">
            <w:pPr>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Application to Salomon v. A Salomon &amp; Co Ltd</w:t>
            </w:r>
          </w:p>
        </w:tc>
      </w:tr>
      <w:tr w:rsidR="00793CFA" w:rsidRPr="00641FF8" w14:paraId="2866C90E" w14:textId="77777777">
        <w:tc>
          <w:tcPr>
            <w:tcW w:w="1800" w:type="dxa"/>
            <w:shd w:val="clear" w:color="auto" w:fill="F2F2F2"/>
            <w:tcMar>
              <w:top w:w="100" w:type="dxa"/>
              <w:left w:w="150" w:type="dxa"/>
              <w:bottom w:w="100" w:type="dxa"/>
              <w:right w:w="150" w:type="dxa"/>
            </w:tcMar>
            <w:vAlign w:val="center"/>
          </w:tcPr>
          <w:p w14:paraId="037E1EA1" w14:textId="77777777" w:rsidR="00793CFA" w:rsidRPr="00641FF8" w:rsidRDefault="00505D3E">
            <w:pPr>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Issue</w:t>
            </w:r>
          </w:p>
        </w:tc>
        <w:tc>
          <w:tcPr>
            <w:tcW w:w="7550" w:type="dxa"/>
            <w:shd w:val="clear" w:color="auto" w:fill="F2F2F2"/>
            <w:tcMar>
              <w:top w:w="100" w:type="dxa"/>
              <w:left w:w="150" w:type="dxa"/>
              <w:bottom w:w="100" w:type="dxa"/>
              <w:right w:w="150" w:type="dxa"/>
            </w:tcMar>
            <w:vAlign w:val="center"/>
          </w:tcPr>
          <w:p w14:paraId="1869A835" w14:textId="77777777" w:rsidR="00793CFA" w:rsidRPr="00641FF8" w:rsidRDefault="00505D3E">
            <w:pPr>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Was A Salomon &amp; Co Ltd a legal entity separate from Mr. Salomon, such that he could not be made personally liable for its debts despite owning nearly all of its shares?</w:t>
            </w:r>
          </w:p>
        </w:tc>
      </w:tr>
      <w:tr w:rsidR="00793CFA" w:rsidRPr="00641FF8" w14:paraId="57F01FE6" w14:textId="77777777">
        <w:tc>
          <w:tcPr>
            <w:tcW w:w="1800" w:type="dxa"/>
            <w:shd w:val="clear" w:color="auto" w:fill="FFFFFF"/>
            <w:tcMar>
              <w:top w:w="100" w:type="dxa"/>
              <w:left w:w="150" w:type="dxa"/>
              <w:bottom w:w="100" w:type="dxa"/>
              <w:right w:w="150" w:type="dxa"/>
            </w:tcMar>
            <w:vAlign w:val="center"/>
          </w:tcPr>
          <w:p w14:paraId="0A3BE2B9" w14:textId="77777777" w:rsidR="00793CFA" w:rsidRPr="00641FF8" w:rsidRDefault="00505D3E">
            <w:pPr>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Rule</w:t>
            </w:r>
          </w:p>
        </w:tc>
        <w:tc>
          <w:tcPr>
            <w:tcW w:w="7550" w:type="dxa"/>
            <w:shd w:val="clear" w:color="auto" w:fill="FFFFFF"/>
            <w:tcMar>
              <w:top w:w="100" w:type="dxa"/>
              <w:left w:w="150" w:type="dxa"/>
              <w:bottom w:w="100" w:type="dxa"/>
              <w:right w:w="150" w:type="dxa"/>
            </w:tcMar>
            <w:vAlign w:val="center"/>
          </w:tcPr>
          <w:p w14:paraId="3675955F" w14:textId="77777777" w:rsidR="00793CFA" w:rsidRPr="00641FF8" w:rsidRDefault="00505D3E">
            <w:pPr>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A company validly incorporated under the Companies Act becomes a separate legal person, distinct from its shareholders, whose debts are its own; shareholders' liability is generally limited to their investment.</w:t>
            </w:r>
          </w:p>
        </w:tc>
      </w:tr>
      <w:tr w:rsidR="00793CFA" w:rsidRPr="00641FF8" w14:paraId="07FC90E5" w14:textId="77777777">
        <w:tc>
          <w:tcPr>
            <w:tcW w:w="1800" w:type="dxa"/>
            <w:shd w:val="clear" w:color="auto" w:fill="F2F2F2"/>
            <w:tcMar>
              <w:top w:w="100" w:type="dxa"/>
              <w:left w:w="150" w:type="dxa"/>
              <w:bottom w:w="100" w:type="dxa"/>
              <w:right w:w="150" w:type="dxa"/>
            </w:tcMar>
            <w:vAlign w:val="center"/>
          </w:tcPr>
          <w:p w14:paraId="320491D9" w14:textId="77777777" w:rsidR="00793CFA" w:rsidRPr="00641FF8" w:rsidRDefault="00505D3E">
            <w:pPr>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Application</w:t>
            </w:r>
          </w:p>
        </w:tc>
        <w:tc>
          <w:tcPr>
            <w:tcW w:w="7550" w:type="dxa"/>
            <w:shd w:val="clear" w:color="auto" w:fill="F2F2F2"/>
            <w:tcMar>
              <w:top w:w="100" w:type="dxa"/>
              <w:left w:w="150" w:type="dxa"/>
              <w:bottom w:w="100" w:type="dxa"/>
              <w:right w:w="150" w:type="dxa"/>
            </w:tcMar>
            <w:vAlign w:val="center"/>
          </w:tcPr>
          <w:p w14:paraId="745BFCC2" w14:textId="77777777" w:rsidR="00793CFA" w:rsidRPr="00641FF8" w:rsidRDefault="00505D3E">
            <w:pPr>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Mr. Salomon incorporated his business in compliance with statutory requirements, held nearly all the shares, and took a secured debenture over the company's assets before it became insolvent.</w:t>
            </w:r>
          </w:p>
        </w:tc>
      </w:tr>
      <w:tr w:rsidR="00793CFA" w:rsidRPr="00641FF8" w14:paraId="5AEB09BB" w14:textId="77777777">
        <w:tc>
          <w:tcPr>
            <w:tcW w:w="1800" w:type="dxa"/>
            <w:shd w:val="clear" w:color="auto" w:fill="FFFFFF"/>
            <w:tcMar>
              <w:top w:w="100" w:type="dxa"/>
              <w:left w:w="150" w:type="dxa"/>
              <w:bottom w:w="100" w:type="dxa"/>
              <w:right w:w="150" w:type="dxa"/>
            </w:tcMar>
            <w:vAlign w:val="center"/>
          </w:tcPr>
          <w:p w14:paraId="7F4F62C0" w14:textId="77777777" w:rsidR="00793CFA" w:rsidRPr="00641FF8" w:rsidRDefault="00505D3E">
            <w:pPr>
              <w:rPr>
                <w:rFonts w:ascii="Times New Roman" w:hAnsi="Times New Roman" w:cs="Times New Roman"/>
                <w:color w:val="000000" w:themeColor="text1"/>
                <w:sz w:val="24"/>
                <w:szCs w:val="24"/>
              </w:rPr>
            </w:pPr>
            <w:r w:rsidRPr="00641FF8">
              <w:rPr>
                <w:rFonts w:ascii="Times New Roman" w:hAnsi="Times New Roman" w:cs="Times New Roman"/>
                <w:b/>
                <w:bCs/>
                <w:color w:val="000000" w:themeColor="text1"/>
                <w:sz w:val="24"/>
                <w:szCs w:val="24"/>
              </w:rPr>
              <w:t>Conclusion</w:t>
            </w:r>
          </w:p>
        </w:tc>
        <w:tc>
          <w:tcPr>
            <w:tcW w:w="7550" w:type="dxa"/>
            <w:shd w:val="clear" w:color="auto" w:fill="FFFFFF"/>
            <w:tcMar>
              <w:top w:w="100" w:type="dxa"/>
              <w:left w:w="150" w:type="dxa"/>
              <w:bottom w:w="100" w:type="dxa"/>
              <w:right w:w="150" w:type="dxa"/>
            </w:tcMar>
            <w:vAlign w:val="center"/>
          </w:tcPr>
          <w:p w14:paraId="238C5D7B" w14:textId="77777777" w:rsidR="00793CFA" w:rsidRPr="00641FF8" w:rsidRDefault="00505D3E">
            <w:pPr>
              <w:rPr>
                <w:rFonts w:ascii="Times New Roman" w:hAnsi="Times New Roman" w:cs="Times New Roman"/>
                <w:color w:val="000000" w:themeColor="text1"/>
                <w:sz w:val="24"/>
                <w:szCs w:val="24"/>
              </w:rPr>
            </w:pPr>
            <w:r w:rsidRPr="00641FF8">
              <w:rPr>
                <w:rFonts w:ascii="Times New Roman" w:hAnsi="Times New Roman" w:cs="Times New Roman"/>
                <w:color w:val="000000" w:themeColor="text1"/>
                <w:sz w:val="24"/>
                <w:szCs w:val="24"/>
              </w:rPr>
              <w:t>The company's debts were its own, not Mr. Salomon's personally. His secured debenture ranked ahead of unsecured creditors, and he bore no personal liability for the company's debts.</w:t>
            </w:r>
          </w:p>
        </w:tc>
      </w:tr>
    </w:tbl>
    <w:p w14:paraId="05E120CE" w14:textId="77777777" w:rsidR="00AB17C9" w:rsidRPr="00641FF8" w:rsidRDefault="00AB17C9">
      <w:pPr>
        <w:rPr>
          <w:rFonts w:ascii="Times New Roman" w:hAnsi="Times New Roman" w:cs="Times New Roman"/>
          <w:color w:val="000000" w:themeColor="text1"/>
          <w:sz w:val="24"/>
          <w:szCs w:val="24"/>
        </w:rPr>
      </w:pPr>
    </w:p>
    <w:sectPr w:rsidR="00AB17C9" w:rsidRPr="00641FF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22127" w14:textId="77777777" w:rsidR="00505D3E" w:rsidRDefault="00505D3E">
      <w:r>
        <w:separator/>
      </w:r>
    </w:p>
  </w:endnote>
  <w:endnote w:type="continuationSeparator" w:id="0">
    <w:p w14:paraId="2EE22486" w14:textId="77777777" w:rsidR="00505D3E" w:rsidRDefault="00505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594EF" w14:textId="4F633077" w:rsidR="00793CFA" w:rsidRDefault="00505D3E">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474CF">
      <w:rPr>
        <w:noProof/>
        <w:color w:val="595959"/>
        <w:sz w:val="18"/>
        <w:szCs w:val="18"/>
      </w:rPr>
      <w:t>3</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0474CF">
      <w:rPr>
        <w:noProof/>
        <w:color w:val="595959"/>
        <w:sz w:val="18"/>
        <w:szCs w:val="18"/>
      </w:rPr>
      <w:t>4</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74DAE" w14:textId="77777777" w:rsidR="00505D3E" w:rsidRDefault="00505D3E">
      <w:r>
        <w:separator/>
      </w:r>
    </w:p>
  </w:footnote>
  <w:footnote w:type="continuationSeparator" w:id="0">
    <w:p w14:paraId="762FFE7A" w14:textId="77777777" w:rsidR="00505D3E" w:rsidRDefault="00505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1E4B9" w14:textId="77777777" w:rsidR="00793CFA" w:rsidRDefault="00505D3E">
    <w:pPr>
      <w:pBdr>
        <w:bottom w:val="single" w:sz="4" w:space="4" w:color="BFBFBF"/>
      </w:pBdr>
      <w:jc w:val="right"/>
    </w:pPr>
    <w:r>
      <w:rPr>
        <w:i/>
        <w:iCs/>
        <w:color w:val="595959"/>
        <w:sz w:val="16"/>
        <w:szCs w:val="16"/>
      </w:rPr>
      <w:t>Salomon v. A Salomon &amp; Co Ltd — Case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025AB"/>
    <w:multiLevelType w:val="hybridMultilevel"/>
    <w:tmpl w:val="9E8CCE5A"/>
    <w:lvl w:ilvl="0" w:tplc="E4B0B5E6">
      <w:start w:val="1"/>
      <w:numFmt w:val="bullet"/>
      <w:lvlText w:val="•"/>
      <w:lvlJc w:val="left"/>
      <w:pPr>
        <w:ind w:left="720" w:hanging="360"/>
      </w:pPr>
    </w:lvl>
    <w:lvl w:ilvl="1" w:tplc="C4E8B544">
      <w:numFmt w:val="decimal"/>
      <w:lvlText w:val=""/>
      <w:lvlJc w:val="left"/>
    </w:lvl>
    <w:lvl w:ilvl="2" w:tplc="A1CCA012">
      <w:numFmt w:val="decimal"/>
      <w:lvlText w:val=""/>
      <w:lvlJc w:val="left"/>
    </w:lvl>
    <w:lvl w:ilvl="3" w:tplc="4DD695AA">
      <w:numFmt w:val="decimal"/>
      <w:lvlText w:val=""/>
      <w:lvlJc w:val="left"/>
    </w:lvl>
    <w:lvl w:ilvl="4" w:tplc="2280F9AC">
      <w:numFmt w:val="decimal"/>
      <w:lvlText w:val=""/>
      <w:lvlJc w:val="left"/>
    </w:lvl>
    <w:lvl w:ilvl="5" w:tplc="02086ECA">
      <w:numFmt w:val="decimal"/>
      <w:lvlText w:val=""/>
      <w:lvlJc w:val="left"/>
    </w:lvl>
    <w:lvl w:ilvl="6" w:tplc="BCBC0F7A">
      <w:numFmt w:val="decimal"/>
      <w:lvlText w:val=""/>
      <w:lvlJc w:val="left"/>
    </w:lvl>
    <w:lvl w:ilvl="7" w:tplc="2FB49854">
      <w:numFmt w:val="decimal"/>
      <w:lvlText w:val=""/>
      <w:lvlJc w:val="left"/>
    </w:lvl>
    <w:lvl w:ilvl="8" w:tplc="68224F1E">
      <w:numFmt w:val="decimal"/>
      <w:lvlText w:val=""/>
      <w:lvlJc w:val="left"/>
    </w:lvl>
  </w:abstractNum>
  <w:abstractNum w:abstractNumId="1" w15:restartNumberingAfterBreak="0">
    <w:nsid w:val="589E7759"/>
    <w:multiLevelType w:val="hybridMultilevel"/>
    <w:tmpl w:val="BDCCE096"/>
    <w:lvl w:ilvl="0" w:tplc="7CD471A8">
      <w:start w:val="1"/>
      <w:numFmt w:val="bullet"/>
      <w:lvlText w:val="●"/>
      <w:lvlJc w:val="left"/>
      <w:pPr>
        <w:ind w:left="720" w:hanging="360"/>
      </w:pPr>
    </w:lvl>
    <w:lvl w:ilvl="1" w:tplc="B560B2BC">
      <w:start w:val="1"/>
      <w:numFmt w:val="bullet"/>
      <w:lvlText w:val="○"/>
      <w:lvlJc w:val="left"/>
      <w:pPr>
        <w:ind w:left="1440" w:hanging="360"/>
      </w:pPr>
    </w:lvl>
    <w:lvl w:ilvl="2" w:tplc="6BE22788">
      <w:start w:val="1"/>
      <w:numFmt w:val="bullet"/>
      <w:lvlText w:val="■"/>
      <w:lvlJc w:val="left"/>
      <w:pPr>
        <w:ind w:left="2160" w:hanging="360"/>
      </w:pPr>
    </w:lvl>
    <w:lvl w:ilvl="3" w:tplc="D188FC0A">
      <w:start w:val="1"/>
      <w:numFmt w:val="bullet"/>
      <w:lvlText w:val="●"/>
      <w:lvlJc w:val="left"/>
      <w:pPr>
        <w:ind w:left="2880" w:hanging="360"/>
      </w:pPr>
    </w:lvl>
    <w:lvl w:ilvl="4" w:tplc="B1BAB838">
      <w:start w:val="1"/>
      <w:numFmt w:val="bullet"/>
      <w:lvlText w:val="○"/>
      <w:lvlJc w:val="left"/>
      <w:pPr>
        <w:ind w:left="3600" w:hanging="360"/>
      </w:pPr>
    </w:lvl>
    <w:lvl w:ilvl="5" w:tplc="B9101414">
      <w:start w:val="1"/>
      <w:numFmt w:val="bullet"/>
      <w:lvlText w:val="■"/>
      <w:lvlJc w:val="left"/>
      <w:pPr>
        <w:ind w:left="4320" w:hanging="360"/>
      </w:pPr>
    </w:lvl>
    <w:lvl w:ilvl="6" w:tplc="C2A6D046">
      <w:start w:val="1"/>
      <w:numFmt w:val="bullet"/>
      <w:lvlText w:val="●"/>
      <w:lvlJc w:val="left"/>
      <w:pPr>
        <w:ind w:left="5040" w:hanging="360"/>
      </w:pPr>
    </w:lvl>
    <w:lvl w:ilvl="7" w:tplc="A0BCF5CE">
      <w:start w:val="1"/>
      <w:numFmt w:val="bullet"/>
      <w:lvlText w:val="●"/>
      <w:lvlJc w:val="left"/>
      <w:pPr>
        <w:ind w:left="5760" w:hanging="360"/>
      </w:pPr>
    </w:lvl>
    <w:lvl w:ilvl="8" w:tplc="8A5A3BB0">
      <w:start w:val="1"/>
      <w:numFmt w:val="bullet"/>
      <w:lvlText w:val="●"/>
      <w:lvlJc w:val="left"/>
      <w:pPr>
        <w:ind w:left="6480" w:hanging="360"/>
      </w:pPr>
    </w:lvl>
  </w:abstractNum>
  <w:num w:numId="1" w16cid:durableId="8442016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CFA"/>
    <w:rsid w:val="000474CF"/>
    <w:rsid w:val="00197BA6"/>
    <w:rsid w:val="003C189A"/>
    <w:rsid w:val="005041EB"/>
    <w:rsid w:val="00505D3E"/>
    <w:rsid w:val="00641FF8"/>
    <w:rsid w:val="00793CFA"/>
    <w:rsid w:val="00AB17C9"/>
    <w:rsid w:val="00B44808"/>
    <w:rsid w:val="00E73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01FB9"/>
  <w15:docId w15:val="{08228A80-7CFB-491D-BA34-61E166DFB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B44808"/>
    <w:rPr>
      <w:color w:val="2E74B5"/>
      <w:sz w:val="32"/>
      <w:szCs w:val="32"/>
    </w:rPr>
  </w:style>
  <w:style w:type="table" w:styleId="TableGrid">
    <w:name w:val="Table Grid"/>
    <w:basedOn w:val="TableNormal"/>
    <w:uiPriority w:val="39"/>
    <w:rsid w:val="00B448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2870</Words>
  <Characters>16365</Characters>
  <Application>Microsoft Office Word</Application>
  <DocSecurity>0</DocSecurity>
  <Lines>136</Lines>
  <Paragraphs>38</Paragraphs>
  <ScaleCrop>false</ScaleCrop>
  <Company/>
  <LinksUpToDate>false</LinksUpToDate>
  <CharactersWithSpaces>19197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Deenah .N</cp:lastModifiedBy>
  <cp:revision>6</cp:revision>
  <dcterms:created xsi:type="dcterms:W3CDTF">2026-08-17T08:45:00Z</dcterms:created>
  <dcterms:modified xsi:type="dcterms:W3CDTF">2026-08-17T08:52:00Z</dcterms:modified>
</cp:coreProperties>
</file>