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62A4F" w:rsidR="001E3C10" w:rsidRDefault="001E3C10" w14:paraId="3BF081C9" w14:textId="77777777">
      <w:pPr>
        <w:spacing w:before="2200"/>
        <w:rPr>
          <w:rFonts w:ascii="Times New Roman" w:hAnsi="Times New Roman" w:cs="Times New Roman"/>
          <w:color w:val="000000" w:themeColor="text1"/>
        </w:rPr>
      </w:pPr>
    </w:p>
    <w:p w:rsidRPr="00653825" w:rsidR="001E3C10" w:rsidRDefault="00000000" w14:paraId="14AFD3FD" w14:textId="77777777">
      <w:pPr>
        <w:spacing w:after="100"/>
        <w:jc w:val="center"/>
        <w:rPr>
          <w:rFonts w:ascii="Times New Roman" w:hAnsi="Times New Roman" w:cs="Times New Roman"/>
          <w:color w:val="000000" w:themeColor="text1"/>
          <w:sz w:val="36"/>
          <w:szCs w:val="36"/>
        </w:rPr>
      </w:pPr>
      <w:r w:rsidRPr="00653825">
        <w:rPr>
          <w:rFonts w:ascii="Times New Roman" w:hAnsi="Times New Roman" w:cs="Times New Roman"/>
          <w:b/>
          <w:bCs/>
          <w:color w:val="000000" w:themeColor="text1"/>
          <w:sz w:val="36"/>
          <w:szCs w:val="36"/>
        </w:rPr>
        <w:t>CASE ANALYSIS REPORT</w:t>
      </w:r>
    </w:p>
    <w:p w:rsidRPr="00653825" w:rsidR="001E3C10" w:rsidP="00162A4F" w:rsidRDefault="00000000" w14:paraId="7B0A8B57" w14:textId="16CEB99F">
      <w:pPr>
        <w:spacing w:after="600"/>
        <w:jc w:val="center"/>
        <w:rPr>
          <w:rFonts w:ascii="Times New Roman" w:hAnsi="Times New Roman" w:cs="Times New Roman"/>
          <w:color w:val="000000" w:themeColor="text1"/>
          <w:sz w:val="36"/>
          <w:szCs w:val="36"/>
        </w:rPr>
      </w:pPr>
      <w:r w:rsidRPr="00653825">
        <w:rPr>
          <w:rFonts w:ascii="Times New Roman" w:hAnsi="Times New Roman" w:cs="Times New Roman"/>
          <w:b/>
          <w:bCs/>
          <w:i/>
          <w:iCs/>
          <w:color w:val="000000" w:themeColor="text1"/>
          <w:sz w:val="36"/>
          <w:szCs w:val="36"/>
        </w:rPr>
        <w:t>ICICI Bank v. Shanti Devi Sharma &amp; Others (2008 INSC 686)</w:t>
      </w:r>
    </w:p>
    <w:p w:rsidRPr="00162A4F" w:rsidR="00162A4F" w:rsidP="00162A4F" w:rsidRDefault="00162A4F" w14:paraId="7209D92A" w14:textId="77777777">
      <w:pPr>
        <w:spacing w:after="600"/>
        <w:jc w:val="center"/>
        <w:rPr>
          <w:rFonts w:ascii="Times New Roman" w:hAnsi="Times New Roman" w:cs="Times New Roman"/>
          <w:color w:val="000000" w:themeColor="text1"/>
        </w:rPr>
      </w:pPr>
    </w:p>
    <w:p w:rsidR="001E20A8" w:rsidRDefault="001E20A8" w14:paraId="768785E1" w14:textId="77777777">
      <w:pPr>
        <w:spacing w:after="200"/>
        <w:jc w:val="center"/>
        <w:rPr>
          <w:rFonts w:ascii="Times New Roman" w:hAnsi="Times New Roman" w:cs="Times New Roman"/>
          <w:b/>
          <w:bCs/>
          <w:color w:val="000000" w:themeColor="text1"/>
          <w:sz w:val="24"/>
          <w:szCs w:val="24"/>
        </w:rPr>
      </w:pPr>
    </w:p>
    <w:p w:rsidR="001E20A8" w:rsidRDefault="001E20A8" w14:paraId="42B539AE" w14:textId="77777777">
      <w:pPr>
        <w:spacing w:after="200"/>
        <w:jc w:val="center"/>
        <w:rPr>
          <w:rFonts w:ascii="Times New Roman" w:hAnsi="Times New Roman" w:cs="Times New Roman"/>
          <w:b/>
          <w:bCs/>
          <w:color w:val="000000" w:themeColor="text1"/>
          <w:sz w:val="24"/>
          <w:szCs w:val="24"/>
        </w:rPr>
      </w:pPr>
    </w:p>
    <w:p w:rsidR="001E20A8" w:rsidRDefault="001E20A8" w14:paraId="71EABC74" w14:textId="77777777">
      <w:pPr>
        <w:spacing w:after="200"/>
        <w:jc w:val="center"/>
        <w:rPr>
          <w:rFonts w:ascii="Times New Roman" w:hAnsi="Times New Roman" w:cs="Times New Roman"/>
          <w:b/>
          <w:bCs/>
          <w:color w:val="000000" w:themeColor="text1"/>
          <w:sz w:val="24"/>
          <w:szCs w:val="24"/>
        </w:rPr>
      </w:pPr>
    </w:p>
    <w:p w:rsidRPr="00FA52FF" w:rsidR="001E3C10" w:rsidRDefault="00000000" w14:paraId="66B86328" w14:textId="3D72A32D">
      <w:pPr>
        <w:spacing w:after="200"/>
        <w:jc w:val="center"/>
        <w:rPr>
          <w:rFonts w:ascii="Times New Roman" w:hAnsi="Times New Roman" w:cs="Times New Roman"/>
          <w:color w:val="000000" w:themeColor="text1"/>
          <w:sz w:val="28"/>
          <w:szCs w:val="28"/>
        </w:rPr>
      </w:pPr>
      <w:r w:rsidRPr="00FA52FF">
        <w:rPr>
          <w:rFonts w:ascii="Times New Roman" w:hAnsi="Times New Roman" w:cs="Times New Roman"/>
          <w:b/>
          <w:bCs/>
          <w:color w:val="000000" w:themeColor="text1"/>
          <w:sz w:val="28"/>
          <w:szCs w:val="28"/>
        </w:rPr>
        <w:t xml:space="preserve">Student Name:  </w:t>
      </w:r>
      <w:r w:rsidRPr="00FA52FF">
        <w:rPr>
          <w:rFonts w:ascii="Times New Roman" w:hAnsi="Times New Roman" w:cs="Times New Roman"/>
          <w:color w:val="000000" w:themeColor="text1"/>
          <w:sz w:val="28"/>
          <w:szCs w:val="28"/>
        </w:rPr>
        <w:t>Deenah N</w:t>
      </w:r>
    </w:p>
    <w:p w:rsidRPr="00FA52FF" w:rsidR="001E3C10" w:rsidRDefault="00000000" w14:paraId="4AC0D8E3" w14:textId="77777777">
      <w:pPr>
        <w:spacing w:after="200"/>
        <w:jc w:val="center"/>
        <w:rPr>
          <w:rFonts w:ascii="Times New Roman" w:hAnsi="Times New Roman" w:cs="Times New Roman"/>
          <w:color w:val="000000" w:themeColor="text1"/>
          <w:sz w:val="28"/>
          <w:szCs w:val="28"/>
        </w:rPr>
      </w:pPr>
      <w:r w:rsidRPr="00FA52FF">
        <w:rPr>
          <w:rFonts w:ascii="Times New Roman" w:hAnsi="Times New Roman" w:cs="Times New Roman"/>
          <w:b/>
          <w:bCs/>
          <w:color w:val="000000" w:themeColor="text1"/>
          <w:sz w:val="28"/>
          <w:szCs w:val="28"/>
        </w:rPr>
        <w:t xml:space="preserve">Register Number:  </w:t>
      </w:r>
      <w:r w:rsidRPr="00FA52FF">
        <w:rPr>
          <w:rFonts w:ascii="Times New Roman" w:hAnsi="Times New Roman" w:cs="Times New Roman"/>
          <w:color w:val="000000" w:themeColor="text1"/>
          <w:sz w:val="28"/>
          <w:szCs w:val="28"/>
        </w:rPr>
        <w:t>5272510203</w:t>
      </w:r>
    </w:p>
    <w:p w:rsidRPr="00FA52FF" w:rsidR="001E3C10" w:rsidRDefault="00000000" w14:paraId="634D50C2" w14:textId="5B48CF5B">
      <w:pPr>
        <w:spacing w:after="200"/>
        <w:jc w:val="center"/>
        <w:rPr>
          <w:rFonts w:ascii="Times New Roman" w:hAnsi="Times New Roman" w:cs="Times New Roman"/>
          <w:color w:val="000000" w:themeColor="text1"/>
          <w:sz w:val="28"/>
          <w:szCs w:val="28"/>
        </w:rPr>
      </w:pPr>
      <w:r w:rsidRPr="00FA52FF">
        <w:rPr>
          <w:rFonts w:ascii="Times New Roman" w:hAnsi="Times New Roman" w:cs="Times New Roman"/>
          <w:b/>
          <w:bCs/>
          <w:color w:val="000000" w:themeColor="text1"/>
          <w:sz w:val="28"/>
          <w:szCs w:val="28"/>
        </w:rPr>
        <w:t xml:space="preserve">Course:  </w:t>
      </w:r>
      <w:r w:rsidRPr="00FA52FF">
        <w:rPr>
          <w:rFonts w:ascii="Times New Roman" w:hAnsi="Times New Roman" w:cs="Times New Roman"/>
          <w:color w:val="000000" w:themeColor="text1"/>
          <w:sz w:val="28"/>
          <w:szCs w:val="28"/>
        </w:rPr>
        <w:t>B.</w:t>
      </w:r>
      <w:r w:rsidR="00FA52FF">
        <w:rPr>
          <w:rFonts w:ascii="Times New Roman" w:hAnsi="Times New Roman" w:cs="Times New Roman"/>
          <w:color w:val="000000" w:themeColor="text1"/>
          <w:sz w:val="28"/>
          <w:szCs w:val="28"/>
        </w:rPr>
        <w:t>c</w:t>
      </w:r>
      <w:r w:rsidRPr="00FA52FF">
        <w:rPr>
          <w:rFonts w:ascii="Times New Roman" w:hAnsi="Times New Roman" w:cs="Times New Roman"/>
          <w:color w:val="000000" w:themeColor="text1"/>
          <w:sz w:val="28"/>
          <w:szCs w:val="28"/>
        </w:rPr>
        <w:t>om Fintech with AI</w:t>
      </w:r>
    </w:p>
    <w:p w:rsidRPr="00162A4F" w:rsidR="001E3C10" w:rsidRDefault="001E3C10" w14:paraId="28200994" w14:textId="77777777">
      <w:pPr>
        <w:spacing w:before="2000"/>
        <w:rPr>
          <w:rFonts w:ascii="Times New Roman" w:hAnsi="Times New Roman" w:cs="Times New Roman"/>
          <w:color w:val="000000" w:themeColor="text1"/>
        </w:rPr>
      </w:pPr>
    </w:p>
    <w:p w:rsidRPr="00162A4F" w:rsidR="001E3C10" w:rsidRDefault="001E3C10" w14:paraId="701C4A34" w14:textId="77777777">
      <w:pPr>
        <w:rPr>
          <w:rFonts w:ascii="Times New Roman" w:hAnsi="Times New Roman" w:cs="Times New Roman"/>
          <w:color w:val="000000" w:themeColor="text1"/>
        </w:rPr>
        <w:sectPr w:rsidRPr="00162A4F" w:rsidR="001E3C10">
          <w:pgSz w:w="12240" w:h="15840" w:orient="portrait"/>
          <w:pgMar w:top="1440" w:right="1440" w:bottom="1440" w:left="1440" w:header="708" w:footer="708" w:gutter="0"/>
          <w:cols w:space="720"/>
          <w:docGrid w:linePitch="360"/>
        </w:sectPr>
      </w:pPr>
    </w:p>
    <w:p w:rsidRPr="00162A4F" w:rsidR="001E3C10" w:rsidRDefault="00000000" w14:paraId="0857AC1F" w14:textId="77777777">
      <w:pPr>
        <w:pBdr>
          <w:bottom w:val="single" w:color="1F3864" w:sz="6" w:space="4"/>
        </w:pBdr>
        <w:spacing w:after="300"/>
        <w:rPr>
          <w:rFonts w:ascii="Times New Roman" w:hAnsi="Times New Roman" w:cs="Times New Roman"/>
          <w:color w:val="000000" w:themeColor="text1"/>
        </w:rPr>
      </w:pPr>
      <w:r w:rsidRPr="00162A4F">
        <w:rPr>
          <w:rFonts w:ascii="Times New Roman" w:hAnsi="Times New Roman" w:cs="Times New Roman"/>
          <w:b/>
          <w:bCs/>
          <w:color w:val="000000" w:themeColor="text1"/>
          <w:sz w:val="32"/>
          <w:szCs w:val="32"/>
        </w:rPr>
        <w:lastRenderedPageBreak/>
        <w:t>Table of Contents</w:t>
      </w:r>
    </w:p>
    <w:p w:rsidR="001E3C10" w:rsidRDefault="001E3C10" w14:paraId="6FC112F2" w14:textId="77777777">
      <w:pPr>
        <w:rPr>
          <w:rFonts w:ascii="Times New Roman" w:hAnsi="Times New Roman" w:cs="Times New Roman"/>
          <w:b/>
          <w:bCs/>
          <w:color w:val="000000" w:themeColor="text1"/>
          <w:sz w:val="32"/>
          <w:szCs w:val="32"/>
        </w:rPr>
      </w:pPr>
    </w:p>
    <w:tbl>
      <w:tblPr>
        <w:tblStyle w:val="TableGrid"/>
        <w:tblW w:w="0" w:type="auto"/>
        <w:tblLook w:val="04A0" w:firstRow="1" w:lastRow="0" w:firstColumn="1" w:lastColumn="0" w:noHBand="0" w:noVBand="1"/>
      </w:tblPr>
      <w:tblGrid>
        <w:gridCol w:w="1129"/>
        <w:gridCol w:w="8221"/>
      </w:tblGrid>
      <w:tr w:rsidRPr="00DF17D5" w:rsidR="00504D25" w:rsidTr="00E7675A" w14:paraId="13D7B929" w14:textId="77777777">
        <w:trPr>
          <w:trHeight w:val="1077"/>
        </w:trPr>
        <w:tc>
          <w:tcPr>
            <w:tcW w:w="1129" w:type="dxa"/>
          </w:tcPr>
          <w:p w:rsidRPr="00DF17D5" w:rsidR="00504D25" w:rsidP="00E7675A" w:rsidRDefault="00504D25" w14:paraId="2B275273" w14:textId="77777777">
            <w:pPr>
              <w:pStyle w:val="Heading1"/>
              <w:spacing w:before="360" w:after="200"/>
              <w:jc w:val="both"/>
              <w:rPr>
                <w:rFonts w:ascii="Times New Roman" w:hAnsi="Times New Roman" w:cs="Times New Roman"/>
                <w:b/>
                <w:bCs/>
                <w:color w:val="000000" w:themeColor="text1"/>
                <w:sz w:val="24"/>
                <w:szCs w:val="24"/>
              </w:rPr>
            </w:pPr>
          </w:p>
          <w:p w:rsidRPr="00DF17D5" w:rsidR="00504D25" w:rsidP="00E7675A" w:rsidRDefault="00504D25" w14:paraId="1E92D68D" w14:textId="77777777">
            <w:pPr>
              <w:pStyle w:val="Heading1"/>
              <w:spacing w:before="360" w:after="200"/>
              <w:jc w:val="both"/>
              <w:rPr>
                <w:rFonts w:ascii="Times New Roman" w:hAnsi="Times New Roman" w:cs="Times New Roman"/>
                <w:b/>
                <w:bCs/>
                <w:color w:val="000000" w:themeColor="text1"/>
                <w:sz w:val="24"/>
                <w:szCs w:val="24"/>
              </w:rPr>
            </w:pPr>
            <w:r w:rsidRPr="00DF17D5">
              <w:rPr>
                <w:rFonts w:ascii="Times New Roman" w:hAnsi="Times New Roman" w:cs="Times New Roman"/>
                <w:b/>
                <w:bCs/>
                <w:color w:val="000000" w:themeColor="text1"/>
                <w:sz w:val="24"/>
                <w:szCs w:val="24"/>
              </w:rPr>
              <w:t>S.NO</w:t>
            </w:r>
          </w:p>
        </w:tc>
        <w:tc>
          <w:tcPr>
            <w:tcW w:w="8221" w:type="dxa"/>
          </w:tcPr>
          <w:p w:rsidRPr="00DF17D5" w:rsidR="00504D25" w:rsidP="00E7675A" w:rsidRDefault="00504D25" w14:paraId="023DB1B9" w14:textId="77777777">
            <w:pPr>
              <w:pStyle w:val="Heading1"/>
              <w:spacing w:before="360" w:after="200"/>
              <w:jc w:val="center"/>
              <w:rPr>
                <w:rFonts w:ascii="Times New Roman" w:hAnsi="Times New Roman" w:cs="Times New Roman"/>
                <w:b/>
                <w:bCs/>
                <w:color w:val="000000" w:themeColor="text1"/>
                <w:sz w:val="24"/>
                <w:szCs w:val="24"/>
              </w:rPr>
            </w:pPr>
            <w:r w:rsidRPr="00DF17D5">
              <w:rPr>
                <w:rFonts w:ascii="Times New Roman" w:hAnsi="Times New Roman" w:cs="Times New Roman"/>
                <w:b/>
                <w:bCs/>
                <w:color w:val="000000" w:themeColor="text1"/>
                <w:sz w:val="24"/>
                <w:szCs w:val="24"/>
              </w:rPr>
              <w:t>Topics</w:t>
            </w:r>
          </w:p>
        </w:tc>
      </w:tr>
      <w:tr w:rsidRPr="00DF17D5" w:rsidR="00504D25" w:rsidTr="00E7675A" w14:paraId="6E0DDAE5" w14:textId="77777777">
        <w:trPr>
          <w:trHeight w:val="569"/>
        </w:trPr>
        <w:tc>
          <w:tcPr>
            <w:tcW w:w="1129" w:type="dxa"/>
          </w:tcPr>
          <w:p w:rsidRPr="00DF17D5" w:rsidR="00504D25" w:rsidP="00E7675A" w:rsidRDefault="00504D25" w14:paraId="55E72127" w14:textId="77777777">
            <w:pPr>
              <w:pStyle w:val="Heading1"/>
              <w:spacing w:before="360" w:after="200"/>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1</w:t>
            </w:r>
          </w:p>
        </w:tc>
        <w:tc>
          <w:tcPr>
            <w:tcW w:w="8221" w:type="dxa"/>
          </w:tcPr>
          <w:p w:rsidRPr="00DF17D5" w:rsidR="00504D25" w:rsidP="00E7675A" w:rsidRDefault="00504D25" w14:paraId="1EEFBC0C" w14:textId="77777777">
            <w:pPr>
              <w:pStyle w:val="Heading1"/>
              <w:spacing w:before="360" w:after="200"/>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Introduction</w:t>
            </w:r>
          </w:p>
        </w:tc>
      </w:tr>
      <w:tr w:rsidRPr="00DF17D5" w:rsidR="00504D25" w:rsidTr="00E7675A" w14:paraId="64013F68" w14:textId="77777777">
        <w:tc>
          <w:tcPr>
            <w:tcW w:w="1129" w:type="dxa"/>
          </w:tcPr>
          <w:p w:rsidRPr="00DF17D5" w:rsidR="00504D25" w:rsidP="00E7675A" w:rsidRDefault="00504D25" w14:paraId="2493686C" w14:textId="77777777">
            <w:pPr>
              <w:pStyle w:val="Heading1"/>
              <w:spacing w:before="360" w:after="200"/>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2</w:t>
            </w:r>
          </w:p>
        </w:tc>
        <w:tc>
          <w:tcPr>
            <w:tcW w:w="8221" w:type="dxa"/>
          </w:tcPr>
          <w:p w:rsidRPr="00DF17D5" w:rsidR="00504D25" w:rsidP="00E7675A" w:rsidRDefault="00504D25" w14:paraId="4619B9FF" w14:textId="77777777">
            <w:pPr>
              <w:pStyle w:val="Heading1"/>
              <w:spacing w:before="360" w:after="200"/>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Facts of the case</w:t>
            </w:r>
          </w:p>
        </w:tc>
      </w:tr>
      <w:tr w:rsidRPr="00DF17D5" w:rsidR="00504D25" w:rsidTr="00E7675A" w14:paraId="38E3868F" w14:textId="77777777">
        <w:tc>
          <w:tcPr>
            <w:tcW w:w="1129" w:type="dxa"/>
          </w:tcPr>
          <w:p w:rsidRPr="00DF17D5" w:rsidR="00504D25" w:rsidP="00E7675A" w:rsidRDefault="00504D25" w14:paraId="1EEA5578" w14:textId="77777777">
            <w:pPr>
              <w:pStyle w:val="Heading1"/>
              <w:spacing w:before="360" w:after="200"/>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3</w:t>
            </w:r>
          </w:p>
        </w:tc>
        <w:tc>
          <w:tcPr>
            <w:tcW w:w="8221" w:type="dxa"/>
          </w:tcPr>
          <w:p w:rsidRPr="00DF17D5" w:rsidR="00504D25" w:rsidP="00E7675A" w:rsidRDefault="00504D25" w14:paraId="1EDDAA86" w14:textId="77777777">
            <w:pPr>
              <w:pStyle w:val="Heading1"/>
              <w:spacing w:before="360" w:after="200"/>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Legal Issue</w:t>
            </w:r>
          </w:p>
        </w:tc>
      </w:tr>
      <w:tr w:rsidRPr="00DF17D5" w:rsidR="00504D25" w:rsidTr="00E7675A" w14:paraId="573724A6" w14:textId="77777777">
        <w:tc>
          <w:tcPr>
            <w:tcW w:w="1129" w:type="dxa"/>
          </w:tcPr>
          <w:p w:rsidRPr="00DF17D5" w:rsidR="00504D25" w:rsidP="00E7675A" w:rsidRDefault="00504D25" w14:paraId="0BADF86A" w14:textId="77777777">
            <w:pPr>
              <w:pStyle w:val="Heading1"/>
              <w:spacing w:before="360" w:after="200"/>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4</w:t>
            </w:r>
          </w:p>
        </w:tc>
        <w:tc>
          <w:tcPr>
            <w:tcW w:w="8221" w:type="dxa"/>
          </w:tcPr>
          <w:p w:rsidRPr="00DF17D5" w:rsidR="00504D25" w:rsidP="00E7675A" w:rsidRDefault="00504D25" w14:paraId="2C1FB388" w14:textId="77777777">
            <w:pPr>
              <w:pStyle w:val="Heading1"/>
              <w:spacing w:before="360" w:after="200"/>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Judgement</w:t>
            </w:r>
          </w:p>
        </w:tc>
      </w:tr>
      <w:tr w:rsidRPr="00DF17D5" w:rsidR="00504D25" w:rsidTr="00E7675A" w14:paraId="2D2FFEE4" w14:textId="77777777">
        <w:tc>
          <w:tcPr>
            <w:tcW w:w="1129" w:type="dxa"/>
          </w:tcPr>
          <w:p w:rsidRPr="00DF17D5" w:rsidR="00504D25" w:rsidP="00E7675A" w:rsidRDefault="00504D25" w14:paraId="7985CFA4" w14:textId="77777777">
            <w:pPr>
              <w:pStyle w:val="Heading1"/>
              <w:spacing w:before="360" w:after="200"/>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5</w:t>
            </w:r>
          </w:p>
        </w:tc>
        <w:tc>
          <w:tcPr>
            <w:tcW w:w="8221" w:type="dxa"/>
          </w:tcPr>
          <w:p w:rsidRPr="00DF17D5" w:rsidR="00504D25" w:rsidP="00E7675A" w:rsidRDefault="00504D25" w14:paraId="1D7BB087" w14:textId="77777777">
            <w:pPr>
              <w:pStyle w:val="Heading1"/>
              <w:spacing w:before="360" w:after="200"/>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Legal Principle: Contract Formation Analysis</w:t>
            </w:r>
          </w:p>
        </w:tc>
      </w:tr>
      <w:tr w:rsidRPr="00DF17D5" w:rsidR="00504D25" w:rsidTr="00E7675A" w14:paraId="525AD3CB" w14:textId="77777777">
        <w:tc>
          <w:tcPr>
            <w:tcW w:w="1129" w:type="dxa"/>
          </w:tcPr>
          <w:p w:rsidRPr="00DF17D5" w:rsidR="00504D25" w:rsidP="00E7675A" w:rsidRDefault="00504D25" w14:paraId="25522E1F" w14:textId="77777777">
            <w:pPr>
              <w:pStyle w:val="Heading1"/>
              <w:spacing w:before="360" w:after="200"/>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6</w:t>
            </w:r>
          </w:p>
        </w:tc>
        <w:tc>
          <w:tcPr>
            <w:tcW w:w="8221" w:type="dxa"/>
          </w:tcPr>
          <w:p w:rsidRPr="00DF17D5" w:rsidR="00504D25" w:rsidP="00E7675A" w:rsidRDefault="00504D25" w14:paraId="5CC02511" w14:textId="77777777">
            <w:pPr>
              <w:pStyle w:val="Heading1"/>
              <w:spacing w:before="360" w:after="200"/>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Business Relevance</w:t>
            </w:r>
          </w:p>
        </w:tc>
      </w:tr>
      <w:tr w:rsidRPr="00DF17D5" w:rsidR="00504D25" w:rsidTr="00E7675A" w14:paraId="446915F6" w14:textId="77777777">
        <w:tc>
          <w:tcPr>
            <w:tcW w:w="1129" w:type="dxa"/>
          </w:tcPr>
          <w:p w:rsidRPr="00DF17D5" w:rsidR="00504D25" w:rsidP="00E7675A" w:rsidRDefault="00504D25" w14:paraId="017BEBB1" w14:textId="77777777">
            <w:pPr>
              <w:pStyle w:val="Heading1"/>
              <w:spacing w:before="360" w:after="200"/>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7</w:t>
            </w:r>
          </w:p>
        </w:tc>
        <w:tc>
          <w:tcPr>
            <w:tcW w:w="8221" w:type="dxa"/>
          </w:tcPr>
          <w:p w:rsidRPr="00DF17D5" w:rsidR="00504D25" w:rsidP="00E7675A" w:rsidRDefault="00504D25" w14:paraId="0A0D89B8" w14:textId="77777777">
            <w:pPr>
              <w:pStyle w:val="Heading1"/>
              <w:spacing w:before="360" w:after="200"/>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Conclusion</w:t>
            </w:r>
          </w:p>
        </w:tc>
      </w:tr>
    </w:tbl>
    <w:p w:rsidRPr="00ED209F" w:rsidR="00ED209F" w:rsidP="00ED209F" w:rsidRDefault="00ED209F" w14:paraId="7F6F4EFE" w14:textId="77777777">
      <w:pPr>
        <w:rPr>
          <w:rFonts w:ascii="Times New Roman" w:hAnsi="Times New Roman" w:cs="Times New Roman"/>
        </w:rPr>
      </w:pPr>
    </w:p>
    <w:p w:rsidRPr="00ED209F" w:rsidR="00ED209F" w:rsidP="00ED209F" w:rsidRDefault="00ED209F" w14:paraId="7C375CF6" w14:textId="77777777">
      <w:pPr>
        <w:rPr>
          <w:rFonts w:ascii="Times New Roman" w:hAnsi="Times New Roman" w:cs="Times New Roman"/>
        </w:rPr>
      </w:pPr>
    </w:p>
    <w:p w:rsidRPr="00ED209F" w:rsidR="00ED209F" w:rsidP="00ED209F" w:rsidRDefault="00ED209F" w14:paraId="6B6BCF10" w14:textId="77777777">
      <w:pPr>
        <w:rPr>
          <w:rFonts w:ascii="Times New Roman" w:hAnsi="Times New Roman" w:cs="Times New Roman"/>
        </w:rPr>
      </w:pPr>
    </w:p>
    <w:p w:rsidRPr="00ED209F" w:rsidR="00ED209F" w:rsidP="00ED209F" w:rsidRDefault="00ED209F" w14:paraId="166DA0CB" w14:textId="77777777">
      <w:pPr>
        <w:rPr>
          <w:rFonts w:ascii="Times New Roman" w:hAnsi="Times New Roman" w:cs="Times New Roman"/>
        </w:rPr>
      </w:pPr>
    </w:p>
    <w:p w:rsidRPr="00ED209F" w:rsidR="00ED209F" w:rsidP="00ED209F" w:rsidRDefault="00ED209F" w14:paraId="4CEDCF79" w14:textId="77777777">
      <w:pPr>
        <w:rPr>
          <w:rFonts w:ascii="Times New Roman" w:hAnsi="Times New Roman" w:cs="Times New Roman"/>
        </w:rPr>
      </w:pPr>
    </w:p>
    <w:p w:rsidRPr="00ED209F" w:rsidR="00ED209F" w:rsidP="00ED209F" w:rsidRDefault="00ED209F" w14:paraId="76EE88A7" w14:textId="77777777">
      <w:pPr>
        <w:rPr>
          <w:rFonts w:ascii="Times New Roman" w:hAnsi="Times New Roman" w:cs="Times New Roman"/>
        </w:rPr>
      </w:pPr>
    </w:p>
    <w:p w:rsidRPr="00ED209F" w:rsidR="00ED209F" w:rsidP="00ED209F" w:rsidRDefault="00ED209F" w14:paraId="0CCA7E6B" w14:textId="77777777">
      <w:pPr>
        <w:rPr>
          <w:rFonts w:ascii="Times New Roman" w:hAnsi="Times New Roman" w:cs="Times New Roman"/>
        </w:rPr>
      </w:pPr>
    </w:p>
    <w:p w:rsidRPr="00ED209F" w:rsidR="00ED209F" w:rsidP="00ED209F" w:rsidRDefault="00ED209F" w14:paraId="47A2DD68" w14:textId="77777777">
      <w:pPr>
        <w:rPr>
          <w:rFonts w:ascii="Times New Roman" w:hAnsi="Times New Roman" w:cs="Times New Roman"/>
        </w:rPr>
      </w:pPr>
    </w:p>
    <w:p w:rsidRPr="00ED209F" w:rsidR="00ED209F" w:rsidP="00ED209F" w:rsidRDefault="00ED209F" w14:paraId="099CF8BA" w14:textId="77777777">
      <w:pPr>
        <w:rPr>
          <w:rFonts w:ascii="Times New Roman" w:hAnsi="Times New Roman" w:cs="Times New Roman"/>
        </w:rPr>
      </w:pPr>
    </w:p>
    <w:p w:rsidR="00ED209F" w:rsidP="00ED209F" w:rsidRDefault="00ED209F" w14:paraId="73F7F3EB" w14:textId="77777777">
      <w:pPr>
        <w:rPr>
          <w:rFonts w:ascii="Times New Roman" w:hAnsi="Times New Roman" w:cs="Times New Roman"/>
          <w:b/>
          <w:bCs/>
          <w:color w:val="000000" w:themeColor="text1"/>
          <w:sz w:val="32"/>
          <w:szCs w:val="32"/>
        </w:rPr>
      </w:pPr>
    </w:p>
    <w:p w:rsidR="00ED209F" w:rsidP="00ED209F" w:rsidRDefault="00ED209F" w14:paraId="0CE87EF3" w14:textId="77777777">
      <w:pPr>
        <w:rPr>
          <w:rFonts w:ascii="Times New Roman" w:hAnsi="Times New Roman" w:cs="Times New Roman"/>
          <w:b/>
          <w:bCs/>
          <w:color w:val="000000" w:themeColor="text1"/>
          <w:sz w:val="32"/>
          <w:szCs w:val="32"/>
        </w:rPr>
      </w:pPr>
    </w:p>
    <w:p w:rsidRPr="00ED209F" w:rsidR="00ED209F" w:rsidP="00ED209F" w:rsidRDefault="00ED209F" w14:paraId="4A5BF42E" w14:textId="77777777">
      <w:pPr>
        <w:rPr>
          <w:rFonts w:ascii="Times New Roman" w:hAnsi="Times New Roman" w:cs="Times New Roman"/>
        </w:rPr>
        <w:sectPr w:rsidRPr="00ED209F" w:rsidR="00ED209F">
          <w:pgSz w:w="12240" w:h="15840" w:orient="portrait"/>
          <w:pgMar w:top="1440" w:right="1440" w:bottom="1440" w:left="1440" w:header="708" w:footer="708" w:gutter="0"/>
          <w:cols w:space="720"/>
          <w:docGrid w:linePitch="360"/>
        </w:sectPr>
      </w:pPr>
    </w:p>
    <w:p w:rsidRPr="00162A4F" w:rsidR="001E3C10" w:rsidP="77DE2045" w:rsidRDefault="00000000" w14:paraId="44B36DF0" w14:textId="61E7B5F9">
      <w:pPr>
        <w:pStyle w:val="Heading1"/>
        <w:pBdr>
          <w:bottom w:val="single" w:color="1F3864" w:sz="6" w:space="4"/>
        </w:pBdr>
        <w:spacing w:before="360" w:after="200"/>
        <w:rPr>
          <w:rFonts w:ascii="Times New Roman" w:hAnsi="Times New Roman" w:cs="Times New Roman"/>
          <w:color w:val="000000" w:themeColor="text1"/>
        </w:rPr>
      </w:pPr>
      <w:r w:rsidRPr="77DE2045" w:rsidR="77DE2045">
        <w:rPr>
          <w:rFonts w:ascii="Times New Roman" w:hAnsi="Times New Roman" w:cs="Times New Roman"/>
          <w:b w:val="1"/>
          <w:bCs w:val="1"/>
          <w:color w:val="000000" w:themeColor="text1" w:themeTint="FF" w:themeShade="FF"/>
          <w:sz w:val="30"/>
          <w:szCs w:val="30"/>
        </w:rPr>
        <w:t>1. Introduction</w:t>
      </w:r>
    </w:p>
    <w:p w:rsidRPr="00162A4F" w:rsidR="001E3C10" w:rsidRDefault="00000000" w14:paraId="328D793D" w14:textId="029D60FA">
      <w:pPr>
        <w:pStyle w:val="Heading2"/>
        <w:spacing w:before="280" w:after="140"/>
        <w:rPr>
          <w:rFonts w:ascii="Times New Roman" w:hAnsi="Times New Roman" w:cs="Times New Roman"/>
          <w:color w:val="000000" w:themeColor="text1"/>
        </w:rPr>
      </w:pPr>
      <w:r w:rsidRPr="77DE2045" w:rsidR="77DE2045">
        <w:rPr>
          <w:rFonts w:ascii="Times New Roman" w:hAnsi="Times New Roman" w:cs="Times New Roman"/>
          <w:b w:val="1"/>
          <w:bCs w:val="1"/>
          <w:color w:val="000000" w:themeColor="text1" w:themeTint="FF" w:themeShade="FF"/>
          <w:sz w:val="24"/>
          <w:szCs w:val="24"/>
        </w:rPr>
        <w:t>1.1 Case Citation &amp; Jurisdiction</w:t>
      </w:r>
    </w:p>
    <w:p w:rsidRPr="00162A4F" w:rsidR="001E3C10" w:rsidRDefault="00000000" w14:paraId="7870E5F5" w14:textId="1E46D94F">
      <w:pPr>
        <w:spacing w:after="180" w:line="300" w:lineRule="auto"/>
        <w:jc w:val="both"/>
        <w:rPr>
          <w:rFonts w:ascii="Times New Roman" w:hAnsi="Times New Roman" w:cs="Times New Roman"/>
          <w:color w:val="000000" w:themeColor="text1"/>
        </w:rPr>
      </w:pPr>
      <w:r w:rsidRPr="77DE2045" w:rsidR="77DE2045">
        <w:rPr>
          <w:rFonts w:ascii="Times New Roman" w:hAnsi="Times New Roman" w:cs="Times New Roman"/>
          <w:color w:val="000000" w:themeColor="text1" w:themeTint="FF" w:themeShade="FF"/>
        </w:rPr>
        <w:t>Case Name: ICICI Bank v. Shanti Devi Sharma &amp; Others</w:t>
      </w:r>
    </w:p>
    <w:p w:rsidRPr="00162A4F" w:rsidR="001E3C10" w:rsidRDefault="00000000" w14:paraId="1E32EF2D" w14:textId="1A4A6A8B">
      <w:pPr>
        <w:spacing w:after="180" w:line="300" w:lineRule="auto"/>
        <w:jc w:val="both"/>
        <w:rPr>
          <w:rFonts w:ascii="Times New Roman" w:hAnsi="Times New Roman" w:cs="Times New Roman"/>
          <w:color w:val="000000" w:themeColor="text1"/>
        </w:rPr>
      </w:pPr>
      <w:r w:rsidRPr="77DE2045" w:rsidR="77DE2045">
        <w:rPr>
          <w:rFonts w:ascii="Times New Roman" w:hAnsi="Times New Roman" w:cs="Times New Roman"/>
          <w:color w:val="000000" w:themeColor="text1" w:themeTint="FF" w:themeShade="FF"/>
        </w:rPr>
        <w:t>Citation: 2008 INSC 686; Criminal Appeal No. 900 of 2008, arising out of SLP (Crl.) No. 4935 of 2006.</w:t>
      </w:r>
    </w:p>
    <w:p w:rsidRPr="00162A4F" w:rsidR="001E3C10" w:rsidRDefault="00000000" w14:paraId="230E5EE7" w14:textId="1578FE14">
      <w:pPr>
        <w:spacing w:after="180" w:line="300" w:lineRule="auto"/>
        <w:jc w:val="both"/>
        <w:rPr>
          <w:rFonts w:ascii="Times New Roman" w:hAnsi="Times New Roman" w:cs="Times New Roman"/>
          <w:color w:val="000000" w:themeColor="text1"/>
        </w:rPr>
      </w:pPr>
      <w:r w:rsidRPr="77DE2045" w:rsidR="77DE2045">
        <w:rPr>
          <w:rFonts w:ascii="Times New Roman" w:hAnsi="Times New Roman" w:cs="Times New Roman"/>
          <w:color w:val="000000" w:themeColor="text1" w:themeTint="FF" w:themeShade="FF"/>
        </w:rPr>
        <w:t>Court: Supreme Court of India, decided by a Bench of Justice Dalveer Bhandari and Justice Tarun Chatterjee.</w:t>
      </w:r>
    </w:p>
    <w:p w:rsidRPr="00162A4F" w:rsidR="001E3C10" w:rsidRDefault="00000000" w14:paraId="795B7751" w14:textId="3C23C01A">
      <w:pPr>
        <w:spacing w:after="180" w:line="300" w:lineRule="auto"/>
        <w:jc w:val="both"/>
        <w:rPr>
          <w:rFonts w:ascii="Times New Roman" w:hAnsi="Times New Roman" w:cs="Times New Roman"/>
          <w:color w:val="000000" w:themeColor="text1"/>
        </w:rPr>
      </w:pPr>
      <w:r w:rsidRPr="77DE2045" w:rsidR="77DE2045">
        <w:rPr>
          <w:rFonts w:ascii="Times New Roman" w:hAnsi="Times New Roman" w:cs="Times New Roman"/>
          <w:color w:val="000000" w:themeColor="text1" w:themeTint="FF" w:themeShade="FF"/>
        </w:rPr>
        <w:t>Decided On: 15 May 2008.</w:t>
      </w:r>
    </w:p>
    <w:p w:rsidRPr="00162A4F" w:rsidR="001E3C10" w:rsidRDefault="00000000" w14:paraId="44FD4F7E" w14:textId="1CC4577A">
      <w:pPr>
        <w:spacing w:after="180" w:line="300" w:lineRule="auto"/>
        <w:jc w:val="both"/>
        <w:rPr>
          <w:rFonts w:ascii="Times New Roman" w:hAnsi="Times New Roman" w:cs="Times New Roman"/>
          <w:color w:val="000000" w:themeColor="text1"/>
        </w:rPr>
      </w:pPr>
      <w:r w:rsidRPr="77DE2045" w:rsidR="77DE2045">
        <w:rPr>
          <w:rFonts w:ascii="Times New Roman" w:hAnsi="Times New Roman" w:cs="Times New Roman"/>
          <w:color w:val="000000" w:themeColor="text1" w:themeTint="FF" w:themeShade="FF"/>
        </w:rPr>
        <w:t>Regulatory Backdrop: The Reserve Bank of India's Fair Practices Code for Lenders, and the SARFAESI Act, 2002, framed the broader legal context in which the case arose.</w:t>
      </w:r>
    </w:p>
    <w:p w:rsidRPr="00162A4F" w:rsidR="001E3C10" w:rsidRDefault="00000000" w14:paraId="44DF725C" w14:textId="55F5A944">
      <w:pPr>
        <w:pStyle w:val="Heading2"/>
        <w:spacing w:before="280" w:after="140"/>
        <w:rPr>
          <w:rFonts w:ascii="Times New Roman" w:hAnsi="Times New Roman" w:cs="Times New Roman"/>
          <w:color w:val="000000" w:themeColor="text1"/>
        </w:rPr>
      </w:pPr>
      <w:r w:rsidRPr="77DE2045" w:rsidR="77DE2045">
        <w:rPr>
          <w:rFonts w:ascii="Times New Roman" w:hAnsi="Times New Roman" w:cs="Times New Roman"/>
          <w:b w:val="1"/>
          <w:bCs w:val="1"/>
          <w:color w:val="000000" w:themeColor="text1" w:themeTint="FF" w:themeShade="FF"/>
          <w:sz w:val="24"/>
          <w:szCs w:val="24"/>
        </w:rPr>
        <w:t>1.2 Brief Introduction to the Case</w:t>
      </w:r>
    </w:p>
    <w:p w:rsidRPr="00162A4F" w:rsidR="001E3C10" w:rsidRDefault="00000000" w14:paraId="4B33083E" w14:textId="6C82FEE3">
      <w:pPr>
        <w:spacing w:after="180" w:line="300" w:lineRule="auto"/>
        <w:jc w:val="both"/>
        <w:rPr>
          <w:rFonts w:ascii="Times New Roman" w:hAnsi="Times New Roman" w:cs="Times New Roman"/>
          <w:color w:val="000000" w:themeColor="text1"/>
        </w:rPr>
      </w:pPr>
      <w:r w:rsidRPr="77DE2045" w:rsidR="77DE2045">
        <w:rPr>
          <w:rFonts w:ascii="Times New Roman" w:hAnsi="Times New Roman" w:cs="Times New Roman"/>
          <w:color w:val="000000" w:themeColor="text1" w:themeTint="FF" w:themeShade="FF"/>
        </w:rPr>
        <w:t>ICICI Bank v. Shanti Devi Sharma &amp; Others is one of the most widely discussed cases in the debate over how Indian banks recover overdue loans, particularly the practice of hiring third-party 'recovery agents' to repossess vehicles and pursue defaulting borrowers. The case arose after a young man died by suicide, shortly after recovery agents engaged by ICICI Bank forcibly repossessed his motorcycle and publicly humiliated him in front of his friends over an overdue two-wheeler and personal loan. His mother, Shanti Devi Sharma, filed a petition in the Delhi High Court asking the police to be directed to investigate and act against the bank and its agents. When the High Court made strong observations condemning the bank's conduct, ICICI Bank appealed to the Supreme Court, asking that those observations be removed from the record on the ground that they could unfairly influence the still-ongoing criminal investigation. While the Supreme Court's actual decision on that specific point was narrow, the judgment became a landmark reference point in Indian banking law because of the strong language the Court used to remind banks that loan recovery must always follow lawful, humane methods, and that banks are responsible, as principals, for the conduct of the recovery agents they engage.</w:t>
      </w:r>
    </w:p>
    <w:p w:rsidRPr="00162A4F" w:rsidR="001E3C10" w:rsidRDefault="00000000" w14:paraId="7FCFFDAC" w14:textId="77777777">
      <w:pPr>
        <w:pStyle w:val="Heading1"/>
        <w:pBdr>
          <w:bottom w:val="single" w:color="1F3864" w:sz="6" w:space="4"/>
        </w:pBdr>
        <w:spacing w:before="360" w:after="200"/>
        <w:rPr>
          <w:rFonts w:ascii="Times New Roman" w:hAnsi="Times New Roman" w:cs="Times New Roman"/>
          <w:color w:val="000000" w:themeColor="text1"/>
        </w:rPr>
      </w:pPr>
      <w:r w:rsidRPr="00162A4F">
        <w:rPr>
          <w:rFonts w:ascii="Times New Roman" w:hAnsi="Times New Roman" w:cs="Times New Roman"/>
          <w:b/>
          <w:bCs/>
          <w:color w:val="000000" w:themeColor="text1"/>
          <w:sz w:val="30"/>
          <w:szCs w:val="30"/>
        </w:rPr>
        <w:t>2. Facts of the Case</w:t>
      </w:r>
    </w:p>
    <w:p w:rsidRPr="00162A4F" w:rsidR="001E3C10" w:rsidRDefault="00000000" w14:paraId="6943B6CD" w14:textId="77777777">
      <w:pPr>
        <w:pStyle w:val="Heading2"/>
        <w:spacing w:before="280" w:after="140"/>
        <w:rPr>
          <w:rFonts w:ascii="Times New Roman" w:hAnsi="Times New Roman" w:cs="Times New Roman"/>
          <w:color w:val="000000" w:themeColor="text1"/>
        </w:rPr>
      </w:pPr>
      <w:r w:rsidRPr="00162A4F">
        <w:rPr>
          <w:rFonts w:ascii="Times New Roman" w:hAnsi="Times New Roman" w:cs="Times New Roman"/>
          <w:b/>
          <w:bCs/>
          <w:color w:val="000000" w:themeColor="text1"/>
          <w:sz w:val="24"/>
          <w:szCs w:val="24"/>
        </w:rPr>
        <w:t>2.1 Chronological Summary of Events</w:t>
      </w:r>
    </w:p>
    <w:p w:rsidRPr="00162A4F" w:rsidR="001E3C10" w:rsidRDefault="00000000" w14:paraId="65C8D879" w14:textId="77777777">
      <w:pPr>
        <w:pStyle w:val="ListParagraph"/>
        <w:numPr>
          <w:ilvl w:val="0"/>
          <w:numId w:val="1"/>
        </w:numPr>
        <w:spacing w:after="100" w:line="300" w:lineRule="auto"/>
        <w:rPr>
          <w:rFonts w:ascii="Times New Roman" w:hAnsi="Times New Roman" w:cs="Times New Roman"/>
          <w:color w:val="000000" w:themeColor="text1"/>
        </w:rPr>
      </w:pPr>
      <w:r w:rsidRPr="00162A4F">
        <w:rPr>
          <w:rFonts w:ascii="Times New Roman" w:hAnsi="Times New Roman" w:cs="Times New Roman"/>
          <w:color w:val="000000" w:themeColor="text1"/>
        </w:rPr>
        <w:t>The deceased, the son of the petitioner Shanti Devi Sharma, had taken a loan for a two-wheeler (motorcycle) as well as a separate personal loan from ICICI Bank, and had fallen behind on the repayments for both.</w:t>
      </w:r>
    </w:p>
    <w:p w:rsidRPr="00162A4F" w:rsidR="001E3C10" w:rsidRDefault="00000000" w14:paraId="6525796A" w14:textId="77777777">
      <w:pPr>
        <w:pStyle w:val="ListParagraph"/>
        <w:numPr>
          <w:ilvl w:val="0"/>
          <w:numId w:val="1"/>
        </w:numPr>
        <w:spacing w:after="100" w:line="300" w:lineRule="auto"/>
        <w:rPr>
          <w:rFonts w:ascii="Times New Roman" w:hAnsi="Times New Roman" w:cs="Times New Roman"/>
          <w:color w:val="000000" w:themeColor="text1"/>
        </w:rPr>
      </w:pPr>
      <w:r w:rsidRPr="00162A4F">
        <w:rPr>
          <w:rFonts w:ascii="Times New Roman" w:hAnsi="Times New Roman" w:cs="Times New Roman"/>
          <w:color w:val="000000" w:themeColor="text1"/>
        </w:rPr>
        <w:t>On 16 October 2005, at around 1:00 p.m., two recovery agents engaged by ICICI Bank, described in the subsequent complaint as 'goons', forcibly entered the deceased's bedroom and began harassing and humiliating him over the overdue payments.</w:t>
      </w:r>
    </w:p>
    <w:p w:rsidRPr="00162A4F" w:rsidR="001E3C10" w:rsidRDefault="00000000" w14:paraId="69AFC114" w14:textId="77777777">
      <w:pPr>
        <w:pStyle w:val="ListParagraph"/>
        <w:numPr>
          <w:ilvl w:val="0"/>
          <w:numId w:val="1"/>
        </w:numPr>
        <w:spacing w:after="100" w:line="300" w:lineRule="auto"/>
        <w:rPr>
          <w:rFonts w:ascii="Times New Roman" w:hAnsi="Times New Roman" w:cs="Times New Roman"/>
          <w:color w:val="000000" w:themeColor="text1"/>
        </w:rPr>
      </w:pPr>
      <w:r w:rsidRPr="00162A4F">
        <w:rPr>
          <w:rFonts w:ascii="Times New Roman" w:hAnsi="Times New Roman" w:cs="Times New Roman"/>
          <w:color w:val="000000" w:themeColor="text1"/>
        </w:rPr>
        <w:lastRenderedPageBreak/>
        <w:t>The recovery agents repossessed his motorcycle in the presence of his friends, who reportedly mocked him for losing his vehicle in this manner.</w:t>
      </w:r>
    </w:p>
    <w:p w:rsidRPr="00162A4F" w:rsidR="001E3C10" w:rsidRDefault="00000000" w14:paraId="168F19D9" w14:textId="77777777">
      <w:pPr>
        <w:pStyle w:val="ListParagraph"/>
        <w:numPr>
          <w:ilvl w:val="0"/>
          <w:numId w:val="1"/>
        </w:numPr>
        <w:spacing w:after="100" w:line="300" w:lineRule="auto"/>
        <w:rPr>
          <w:rFonts w:ascii="Times New Roman" w:hAnsi="Times New Roman" w:cs="Times New Roman"/>
          <w:color w:val="000000" w:themeColor="text1"/>
        </w:rPr>
      </w:pPr>
      <w:r w:rsidRPr="00162A4F">
        <w:rPr>
          <w:rFonts w:ascii="Times New Roman" w:hAnsi="Times New Roman" w:cs="Times New Roman"/>
          <w:color w:val="000000" w:themeColor="text1"/>
        </w:rPr>
        <w:t>The deceased ran a small restaurant and had relied on the motorcycle to transport vegetables for his business. Without it, he was forced to carry the vegetables on his back, which drew further ridicule from people in his neighbourhood.</w:t>
      </w:r>
    </w:p>
    <w:p w:rsidRPr="00162A4F" w:rsidR="001E3C10" w:rsidRDefault="00000000" w14:paraId="0ADF5DCC" w14:textId="77777777">
      <w:pPr>
        <w:pStyle w:val="ListParagraph"/>
        <w:numPr>
          <w:ilvl w:val="0"/>
          <w:numId w:val="1"/>
        </w:numPr>
        <w:spacing w:after="100" w:line="300" w:lineRule="auto"/>
        <w:rPr>
          <w:rFonts w:ascii="Times New Roman" w:hAnsi="Times New Roman" w:cs="Times New Roman"/>
          <w:color w:val="000000" w:themeColor="text1"/>
        </w:rPr>
      </w:pPr>
      <w:r w:rsidRPr="00162A4F">
        <w:rPr>
          <w:rFonts w:ascii="Times New Roman" w:hAnsi="Times New Roman" w:cs="Times New Roman"/>
          <w:color w:val="000000" w:themeColor="text1"/>
        </w:rPr>
        <w:t>According to the first information report (FIR) later filed, the deceased broke down before his wife, saying he had never experienced such humiliation and disgrace in his life. Later that same day, while his wife was occupied with household chores, he went into an inner room and ended his life.</w:t>
      </w:r>
    </w:p>
    <w:p w:rsidRPr="00162A4F" w:rsidR="001E3C10" w:rsidRDefault="00000000" w14:paraId="361E04EC" w14:textId="77777777">
      <w:pPr>
        <w:pStyle w:val="ListParagraph"/>
        <w:numPr>
          <w:ilvl w:val="0"/>
          <w:numId w:val="1"/>
        </w:numPr>
        <w:spacing w:after="100" w:line="300" w:lineRule="auto"/>
        <w:rPr>
          <w:rFonts w:ascii="Times New Roman" w:hAnsi="Times New Roman" w:cs="Times New Roman"/>
          <w:color w:val="000000" w:themeColor="text1"/>
        </w:rPr>
      </w:pPr>
      <w:r w:rsidRPr="00162A4F">
        <w:rPr>
          <w:rFonts w:ascii="Times New Roman" w:hAnsi="Times New Roman" w:cs="Times New Roman"/>
          <w:color w:val="000000" w:themeColor="text1"/>
        </w:rPr>
        <w:t>On 29 November 2005, the deceased's mother, Shanti Devi Sharma, lodged an FIR alleging that the bank's recovery agents' conduct had driven her son to suicide.</w:t>
      </w:r>
    </w:p>
    <w:p w:rsidRPr="00162A4F" w:rsidR="001E3C10" w:rsidRDefault="00000000" w14:paraId="38AF92D9" w14:textId="77777777">
      <w:pPr>
        <w:pStyle w:val="ListParagraph"/>
        <w:numPr>
          <w:ilvl w:val="0"/>
          <w:numId w:val="1"/>
        </w:numPr>
        <w:spacing w:after="100" w:line="300" w:lineRule="auto"/>
        <w:rPr>
          <w:rFonts w:ascii="Times New Roman" w:hAnsi="Times New Roman" w:cs="Times New Roman"/>
          <w:color w:val="000000" w:themeColor="text1"/>
        </w:rPr>
      </w:pPr>
      <w:r w:rsidRPr="00162A4F">
        <w:rPr>
          <w:rFonts w:ascii="Times New Roman" w:hAnsi="Times New Roman" w:cs="Times New Roman"/>
          <w:color w:val="000000" w:themeColor="text1"/>
        </w:rPr>
        <w:t>She filed Writ Petition (Criminal) No. 576 of 2006 before the Delhi High Court, seeking a writ of mandamus directing the Commissioner of Police to take action against the bank.</w:t>
      </w:r>
    </w:p>
    <w:p w:rsidRPr="00162A4F" w:rsidR="001E3C10" w:rsidRDefault="00000000" w14:paraId="42A162C0" w14:textId="77777777">
      <w:pPr>
        <w:pStyle w:val="ListParagraph"/>
        <w:numPr>
          <w:ilvl w:val="0"/>
          <w:numId w:val="1"/>
        </w:numPr>
        <w:spacing w:after="100" w:line="300" w:lineRule="auto"/>
        <w:rPr>
          <w:rFonts w:ascii="Times New Roman" w:hAnsi="Times New Roman" w:cs="Times New Roman"/>
          <w:color w:val="000000" w:themeColor="text1"/>
        </w:rPr>
      </w:pPr>
      <w:r w:rsidRPr="00162A4F">
        <w:rPr>
          <w:rFonts w:ascii="Times New Roman" w:hAnsi="Times New Roman" w:cs="Times New Roman"/>
          <w:color w:val="000000" w:themeColor="text1"/>
        </w:rPr>
        <w:t>The Delhi High Court reviewed status reports on the police investigation and, unsatisfied with their progress, directed the investigating officer to complete the investigation as expeditiously as possible. In doing so, the High Court made strong observations, stating that the bank's recovery methods were 'extra-legal' and that banks like ICICI could not be permitted to employ 'musclemen and goons' for recovery.</w:t>
      </w:r>
    </w:p>
    <w:p w:rsidRPr="00162A4F" w:rsidR="001E3C10" w:rsidRDefault="00000000" w14:paraId="44564A5F" w14:textId="77777777">
      <w:pPr>
        <w:pStyle w:val="ListParagraph"/>
        <w:numPr>
          <w:ilvl w:val="0"/>
          <w:numId w:val="1"/>
        </w:numPr>
        <w:spacing w:after="100" w:line="300" w:lineRule="auto"/>
        <w:rPr>
          <w:rFonts w:ascii="Times New Roman" w:hAnsi="Times New Roman" w:cs="Times New Roman"/>
          <w:color w:val="000000" w:themeColor="text1"/>
        </w:rPr>
      </w:pPr>
      <w:r w:rsidRPr="00162A4F">
        <w:rPr>
          <w:rFonts w:ascii="Times New Roman" w:hAnsi="Times New Roman" w:cs="Times New Roman"/>
          <w:color w:val="000000" w:themeColor="text1"/>
        </w:rPr>
        <w:t>ICICI Bank, aggrieved by these observations, asked the High Court to expunge (remove) them from its order, arguing they were unnecessary for deciding the case and could prejudice the still-ongoing criminal investigation. The High Court declined to expunge the observations but clarified that they would not influence or affect any future proceedings against the bank or its employees.</w:t>
      </w:r>
    </w:p>
    <w:p w:rsidRPr="00162A4F" w:rsidR="001E3C10" w:rsidRDefault="00000000" w14:paraId="3D700A8F" w14:textId="77777777">
      <w:pPr>
        <w:pStyle w:val="ListParagraph"/>
        <w:numPr>
          <w:ilvl w:val="0"/>
          <w:numId w:val="1"/>
        </w:numPr>
        <w:spacing w:after="100" w:line="300" w:lineRule="auto"/>
        <w:rPr>
          <w:rFonts w:ascii="Times New Roman" w:hAnsi="Times New Roman" w:cs="Times New Roman"/>
          <w:color w:val="000000" w:themeColor="text1"/>
        </w:rPr>
      </w:pPr>
      <w:r w:rsidRPr="00162A4F">
        <w:rPr>
          <w:rFonts w:ascii="Times New Roman" w:hAnsi="Times New Roman" w:cs="Times New Roman"/>
          <w:color w:val="000000" w:themeColor="text1"/>
        </w:rPr>
        <w:t>ICICI Bank then appealed to the Supreme Court, seeking to have the High Court's observations formally expunged from the record.</w:t>
      </w:r>
    </w:p>
    <w:p w:rsidRPr="00162A4F" w:rsidR="001E3C10" w:rsidRDefault="00000000" w14:paraId="0E51E6F2" w14:textId="77777777">
      <w:pPr>
        <w:pStyle w:val="Heading2"/>
        <w:spacing w:before="280" w:after="140"/>
        <w:rPr>
          <w:rFonts w:ascii="Times New Roman" w:hAnsi="Times New Roman" w:cs="Times New Roman"/>
          <w:color w:val="000000" w:themeColor="text1"/>
        </w:rPr>
      </w:pPr>
      <w:r w:rsidRPr="00162A4F">
        <w:rPr>
          <w:rFonts w:ascii="Times New Roman" w:hAnsi="Times New Roman" w:cs="Times New Roman"/>
          <w:b/>
          <w:bCs/>
          <w:color w:val="000000" w:themeColor="text1"/>
          <w:sz w:val="24"/>
          <w:szCs w:val="24"/>
        </w:rPr>
        <w:t>2.2 Material Regulatory Context</w:t>
      </w:r>
    </w:p>
    <w:p w:rsidRPr="00162A4F" w:rsidR="001E3C10" w:rsidRDefault="00000000" w14:paraId="771580F7" w14:textId="15FD7B35">
      <w:pPr>
        <w:spacing w:after="180" w:line="300" w:lineRule="auto"/>
        <w:jc w:val="both"/>
        <w:rPr>
          <w:rFonts w:ascii="Times New Roman" w:hAnsi="Times New Roman" w:cs="Times New Roman"/>
          <w:color w:val="000000" w:themeColor="text1"/>
        </w:rPr>
      </w:pPr>
      <w:r w:rsidRPr="77DE2045" w:rsidR="77DE2045">
        <w:rPr>
          <w:rFonts w:ascii="Times New Roman" w:hAnsi="Times New Roman" w:cs="Times New Roman"/>
          <w:color w:val="000000" w:themeColor="text1" w:themeTint="FF" w:themeShade="FF"/>
        </w:rPr>
        <w:t>This case must be understood against the backdrop of India's post-liberalisation banking sector, where the rapid expansion of consumer credit, including two-wheeler loans, auto loans, housing loans, and personal loans, was accompanied by rising defaults and non-performing assets. To manage recovery at scale, many banks outsourced debt collection to third-party recovery agents rather than relying solely on formal legal remedies such as civil suits or, later, the streamlined procedures introduced under the SARFAESI Act, 2002. The Reserve Bank of India had already issued a Fair Practices Code for Lenders in 2003, requiring that recovery of loans not involve undue harassment or the use of 'muscle power'. The events in this case, and the broader public concern they generated, unfolded precisely within this tension between banks' commercial interest in fast, low-cost recovery and the RBI's and courts' insistence on lawful and dignified treatment of borrowers.</w:t>
      </w:r>
    </w:p>
    <w:p w:rsidRPr="00162A4F" w:rsidR="001E3C10" w:rsidRDefault="00000000" w14:paraId="0F0186A2" w14:textId="77777777">
      <w:pPr>
        <w:pStyle w:val="Heading1"/>
        <w:pBdr>
          <w:bottom w:val="single" w:color="1F3864" w:sz="6" w:space="4"/>
        </w:pBdr>
        <w:spacing w:before="360" w:after="200"/>
        <w:rPr>
          <w:rFonts w:ascii="Times New Roman" w:hAnsi="Times New Roman" w:cs="Times New Roman"/>
          <w:color w:val="000000" w:themeColor="text1"/>
        </w:rPr>
      </w:pPr>
      <w:r w:rsidRPr="00162A4F">
        <w:rPr>
          <w:rFonts w:ascii="Times New Roman" w:hAnsi="Times New Roman" w:cs="Times New Roman"/>
          <w:b/>
          <w:bCs/>
          <w:color w:val="000000" w:themeColor="text1"/>
          <w:sz w:val="30"/>
          <w:szCs w:val="30"/>
        </w:rPr>
        <w:lastRenderedPageBreak/>
        <w:t>3. Legal Issue</w:t>
      </w:r>
    </w:p>
    <w:p w:rsidRPr="00162A4F" w:rsidR="001E3C10" w:rsidRDefault="00000000" w14:paraId="4896B4EA" w14:textId="77777777">
      <w:pPr>
        <w:pStyle w:val="Heading2"/>
        <w:spacing w:before="280" w:after="140"/>
        <w:rPr>
          <w:rFonts w:ascii="Times New Roman" w:hAnsi="Times New Roman" w:cs="Times New Roman"/>
          <w:color w:val="000000" w:themeColor="text1"/>
        </w:rPr>
      </w:pPr>
      <w:r w:rsidRPr="00162A4F">
        <w:rPr>
          <w:rFonts w:ascii="Times New Roman" w:hAnsi="Times New Roman" w:cs="Times New Roman"/>
          <w:b/>
          <w:bCs/>
          <w:color w:val="000000" w:themeColor="text1"/>
          <w:sz w:val="24"/>
          <w:szCs w:val="24"/>
        </w:rPr>
        <w:t>3.1 Primary Question of Law</w:t>
      </w:r>
    </w:p>
    <w:p w:rsidRPr="00162A4F" w:rsidR="001E3C10" w:rsidRDefault="00000000" w14:paraId="58A75A76" w14:textId="77777777">
      <w:pPr>
        <w:spacing w:after="180" w:line="300" w:lineRule="auto"/>
        <w:jc w:val="both"/>
        <w:rPr>
          <w:rFonts w:ascii="Times New Roman" w:hAnsi="Times New Roman" w:cs="Times New Roman"/>
          <w:color w:val="000000" w:themeColor="text1"/>
        </w:rPr>
      </w:pPr>
      <w:r w:rsidRPr="00162A4F">
        <w:rPr>
          <w:rFonts w:ascii="Times New Roman" w:hAnsi="Times New Roman" w:cs="Times New Roman"/>
          <w:color w:val="000000" w:themeColor="text1"/>
        </w:rPr>
        <w:t>The specific legal question before the Supreme Court was narrowly framed: Should the adverse observations made by the Delhi High Court against ICICI Bank, in particular its description of the bank's recovery methods as 'extra-legal' and carried out by 'musclemen and goons', be expunged from the record, on the ground that they might unfairly influence the outcome of the still-ongoing criminal investigation into the bank's recovery agents?</w:t>
      </w:r>
    </w:p>
    <w:p w:rsidRPr="00162A4F" w:rsidR="001E3C10" w:rsidRDefault="00000000" w14:paraId="27463876" w14:textId="77777777">
      <w:pPr>
        <w:spacing w:after="180" w:line="300" w:lineRule="auto"/>
        <w:jc w:val="both"/>
        <w:rPr>
          <w:rFonts w:ascii="Times New Roman" w:hAnsi="Times New Roman" w:cs="Times New Roman"/>
          <w:color w:val="000000" w:themeColor="text1"/>
        </w:rPr>
      </w:pPr>
      <w:r w:rsidRPr="00162A4F">
        <w:rPr>
          <w:rFonts w:ascii="Times New Roman" w:hAnsi="Times New Roman" w:cs="Times New Roman"/>
          <w:color w:val="000000" w:themeColor="text1"/>
        </w:rPr>
        <w:t>Within and around this narrow question, the case also raised broader issues that the Supreme Court addressed in its reasoning:</w:t>
      </w:r>
    </w:p>
    <w:p w:rsidRPr="00162A4F" w:rsidR="001E3C10" w:rsidRDefault="00000000" w14:paraId="4BF0C74E" w14:textId="77777777">
      <w:pPr>
        <w:pStyle w:val="ListParagraph"/>
        <w:numPr>
          <w:ilvl w:val="0"/>
          <w:numId w:val="1"/>
        </w:numPr>
        <w:spacing w:after="100" w:line="300" w:lineRule="auto"/>
        <w:rPr>
          <w:rFonts w:ascii="Times New Roman" w:hAnsi="Times New Roman" w:cs="Times New Roman"/>
          <w:color w:val="000000" w:themeColor="text1"/>
        </w:rPr>
      </w:pPr>
      <w:r w:rsidRPr="00162A4F">
        <w:rPr>
          <w:rFonts w:ascii="Times New Roman" w:hAnsi="Times New Roman" w:cs="Times New Roman"/>
          <w:color w:val="000000" w:themeColor="text1"/>
        </w:rPr>
        <w:t>Can banks lawfully use coercive, extra-legal methods, including forceful repossession and public humiliation of borrowers, to recover overdue loans?</w:t>
      </w:r>
    </w:p>
    <w:p w:rsidRPr="00162A4F" w:rsidR="001E3C10" w:rsidRDefault="00000000" w14:paraId="6F1ADD44" w14:textId="77777777">
      <w:pPr>
        <w:pStyle w:val="ListParagraph"/>
        <w:numPr>
          <w:ilvl w:val="0"/>
          <w:numId w:val="1"/>
        </w:numPr>
        <w:spacing w:after="100" w:line="300" w:lineRule="auto"/>
        <w:rPr>
          <w:rFonts w:ascii="Times New Roman" w:hAnsi="Times New Roman" w:cs="Times New Roman"/>
          <w:color w:val="000000" w:themeColor="text1"/>
        </w:rPr>
      </w:pPr>
      <w:r w:rsidRPr="00162A4F">
        <w:rPr>
          <w:rFonts w:ascii="Times New Roman" w:hAnsi="Times New Roman" w:cs="Times New Roman"/>
          <w:color w:val="000000" w:themeColor="text1"/>
        </w:rPr>
        <w:t>To what extent are banks responsible, as principals, for the wrongful conduct of the third-party recovery agents they engage to collect dues?</w:t>
      </w:r>
    </w:p>
    <w:p w:rsidRPr="00162A4F" w:rsidR="001E3C10" w:rsidRDefault="00000000" w14:paraId="74A7630D" w14:textId="77777777">
      <w:pPr>
        <w:pStyle w:val="ListParagraph"/>
        <w:numPr>
          <w:ilvl w:val="0"/>
          <w:numId w:val="1"/>
        </w:numPr>
        <w:spacing w:after="100" w:line="300" w:lineRule="auto"/>
        <w:rPr>
          <w:rFonts w:ascii="Times New Roman" w:hAnsi="Times New Roman" w:cs="Times New Roman"/>
          <w:color w:val="000000" w:themeColor="text1"/>
        </w:rPr>
      </w:pPr>
      <w:r w:rsidRPr="00162A4F">
        <w:rPr>
          <w:rFonts w:ascii="Times New Roman" w:hAnsi="Times New Roman" w:cs="Times New Roman"/>
          <w:color w:val="000000" w:themeColor="text1"/>
        </w:rPr>
        <w:t>What role do RBI's Fair Practices Code and related guidelines play in setting the legal and ethical standard for how loan recovery must be conducted in India?</w:t>
      </w:r>
    </w:p>
    <w:p w:rsidRPr="00162A4F" w:rsidR="001E3C10" w:rsidRDefault="00000000" w14:paraId="548FD28C" w14:textId="77777777">
      <w:pPr>
        <w:pStyle w:val="Heading2"/>
        <w:spacing w:before="280" w:after="140"/>
        <w:rPr>
          <w:rFonts w:ascii="Times New Roman" w:hAnsi="Times New Roman" w:cs="Times New Roman"/>
          <w:color w:val="000000" w:themeColor="text1"/>
        </w:rPr>
      </w:pPr>
      <w:r w:rsidRPr="00162A4F">
        <w:rPr>
          <w:rFonts w:ascii="Times New Roman" w:hAnsi="Times New Roman" w:cs="Times New Roman"/>
          <w:b/>
          <w:bCs/>
          <w:color w:val="000000" w:themeColor="text1"/>
          <w:sz w:val="24"/>
          <w:szCs w:val="24"/>
        </w:rPr>
        <w:t>3.2 Points of Contention</w:t>
      </w:r>
    </w:p>
    <w:p w:rsidRPr="00162A4F" w:rsidR="001E3C10" w:rsidRDefault="00000000" w14:paraId="2C8D2332" w14:textId="77777777">
      <w:pPr>
        <w:spacing w:after="180" w:line="300" w:lineRule="auto"/>
        <w:jc w:val="both"/>
        <w:rPr>
          <w:rFonts w:ascii="Times New Roman" w:hAnsi="Times New Roman" w:cs="Times New Roman"/>
          <w:color w:val="000000" w:themeColor="text1"/>
        </w:rPr>
      </w:pPr>
      <w:r w:rsidRPr="00162A4F">
        <w:rPr>
          <w:rFonts w:ascii="Times New Roman" w:hAnsi="Times New Roman" w:cs="Times New Roman"/>
          <w:b/>
          <w:bCs/>
          <w:color w:val="000000" w:themeColor="text1"/>
        </w:rPr>
        <w:t>Arguments on behalf of ICICI Bank (Appellant):</w:t>
      </w:r>
    </w:p>
    <w:p w:rsidRPr="00162A4F" w:rsidR="001E3C10" w:rsidRDefault="00000000" w14:paraId="3D8C02F1" w14:textId="77777777">
      <w:pPr>
        <w:pStyle w:val="ListParagraph"/>
        <w:numPr>
          <w:ilvl w:val="0"/>
          <w:numId w:val="1"/>
        </w:numPr>
        <w:spacing w:after="100" w:line="300" w:lineRule="auto"/>
        <w:rPr>
          <w:rFonts w:ascii="Times New Roman" w:hAnsi="Times New Roman" w:cs="Times New Roman"/>
          <w:color w:val="000000" w:themeColor="text1"/>
        </w:rPr>
      </w:pPr>
      <w:r w:rsidRPr="00162A4F">
        <w:rPr>
          <w:rFonts w:ascii="Times New Roman" w:hAnsi="Times New Roman" w:cs="Times New Roman"/>
          <w:color w:val="000000" w:themeColor="text1"/>
        </w:rPr>
        <w:t>The High Court's observations describing the bank's recovery methods as being carried out by 'musclemen and goons' were unnecessary for deciding the narrow question before it, namely, whether the police investigation was proceeding satisfactorily.</w:t>
      </w:r>
    </w:p>
    <w:p w:rsidRPr="00162A4F" w:rsidR="001E3C10" w:rsidRDefault="00000000" w14:paraId="3F599FDB" w14:textId="77777777">
      <w:pPr>
        <w:pStyle w:val="ListParagraph"/>
        <w:numPr>
          <w:ilvl w:val="0"/>
          <w:numId w:val="1"/>
        </w:numPr>
        <w:spacing w:after="100" w:line="300" w:lineRule="auto"/>
        <w:rPr>
          <w:rFonts w:ascii="Times New Roman" w:hAnsi="Times New Roman" w:cs="Times New Roman"/>
          <w:color w:val="000000" w:themeColor="text1"/>
        </w:rPr>
      </w:pPr>
      <w:r w:rsidRPr="00162A4F">
        <w:rPr>
          <w:rFonts w:ascii="Times New Roman" w:hAnsi="Times New Roman" w:cs="Times New Roman"/>
          <w:color w:val="000000" w:themeColor="text1"/>
        </w:rPr>
        <w:t>Since the criminal investigation into the recovery agents' conduct was still ongoing, such strongly worded observations from the High Court could unfairly prejudice or influence that investigation and any future proceedings against the bank.</w:t>
      </w:r>
    </w:p>
    <w:p w:rsidRPr="00162A4F" w:rsidR="001E3C10" w:rsidRDefault="00000000" w14:paraId="6C567943" w14:textId="77777777">
      <w:pPr>
        <w:pStyle w:val="ListParagraph"/>
        <w:numPr>
          <w:ilvl w:val="0"/>
          <w:numId w:val="1"/>
        </w:numPr>
        <w:spacing w:after="100" w:line="300" w:lineRule="auto"/>
        <w:rPr>
          <w:rFonts w:ascii="Times New Roman" w:hAnsi="Times New Roman" w:cs="Times New Roman"/>
          <w:color w:val="000000" w:themeColor="text1"/>
        </w:rPr>
      </w:pPr>
      <w:r w:rsidRPr="00162A4F">
        <w:rPr>
          <w:rFonts w:ascii="Times New Roman" w:hAnsi="Times New Roman" w:cs="Times New Roman"/>
          <w:color w:val="000000" w:themeColor="text1"/>
        </w:rPr>
        <w:t>At the stage the High Court made its observations, the allegations against the bank and its agents had not yet been established through a completed investigation or trial, and the language used treated contested allegations as though they were proven facts.</w:t>
      </w:r>
    </w:p>
    <w:p w:rsidRPr="00162A4F" w:rsidR="001E3C10" w:rsidRDefault="00000000" w14:paraId="4C76DDF9" w14:textId="77777777">
      <w:pPr>
        <w:spacing w:after="180" w:line="300" w:lineRule="auto"/>
        <w:jc w:val="both"/>
        <w:rPr>
          <w:rFonts w:ascii="Times New Roman" w:hAnsi="Times New Roman" w:cs="Times New Roman"/>
          <w:color w:val="000000" w:themeColor="text1"/>
        </w:rPr>
      </w:pPr>
      <w:r w:rsidRPr="00162A4F">
        <w:rPr>
          <w:rFonts w:ascii="Times New Roman" w:hAnsi="Times New Roman" w:cs="Times New Roman"/>
          <w:b/>
          <w:bCs/>
          <w:color w:val="000000" w:themeColor="text1"/>
        </w:rPr>
        <w:t>Arguments on behalf of Shanti Devi Sharma &amp; Others (Respondents):</w:t>
      </w:r>
    </w:p>
    <w:p w:rsidRPr="00162A4F" w:rsidR="001E3C10" w:rsidRDefault="00000000" w14:paraId="072E832F" w14:textId="77777777">
      <w:pPr>
        <w:pStyle w:val="ListParagraph"/>
        <w:numPr>
          <w:ilvl w:val="0"/>
          <w:numId w:val="1"/>
        </w:numPr>
        <w:spacing w:after="100" w:line="300" w:lineRule="auto"/>
        <w:rPr>
          <w:rFonts w:ascii="Times New Roman" w:hAnsi="Times New Roman" w:cs="Times New Roman"/>
          <w:color w:val="000000" w:themeColor="text1"/>
        </w:rPr>
      </w:pPr>
      <w:r w:rsidRPr="00162A4F">
        <w:rPr>
          <w:rFonts w:ascii="Times New Roman" w:hAnsi="Times New Roman" w:cs="Times New Roman"/>
          <w:color w:val="000000" w:themeColor="text1"/>
        </w:rPr>
        <w:t>The FIR clearly described how the bank's recovery agents forcibly entered the deceased's home, humiliated him in front of his friends, and repossessed his motorcycle, directly contributing to the circumstances that led to his suicide.</w:t>
      </w:r>
    </w:p>
    <w:p w:rsidRPr="00162A4F" w:rsidR="001E3C10" w:rsidRDefault="00000000" w14:paraId="1E6B60DE" w14:textId="77777777">
      <w:pPr>
        <w:pStyle w:val="ListParagraph"/>
        <w:numPr>
          <w:ilvl w:val="0"/>
          <w:numId w:val="1"/>
        </w:numPr>
        <w:spacing w:after="100" w:line="300" w:lineRule="auto"/>
        <w:rPr>
          <w:rFonts w:ascii="Times New Roman" w:hAnsi="Times New Roman" w:cs="Times New Roman"/>
          <w:color w:val="000000" w:themeColor="text1"/>
        </w:rPr>
      </w:pPr>
      <w:r w:rsidRPr="00162A4F">
        <w:rPr>
          <w:rFonts w:ascii="Times New Roman" w:hAnsi="Times New Roman" w:cs="Times New Roman"/>
          <w:color w:val="000000" w:themeColor="text1"/>
        </w:rPr>
        <w:t>The police investigation into the bank's recovery agents had, in the respondents' view, been slow and unsatisfactory, justifying the High Court's firm observations urging the investigation to be completed expeditiously.</w:t>
      </w:r>
    </w:p>
    <w:p w:rsidRPr="00162A4F" w:rsidR="001E3C10" w:rsidRDefault="00000000" w14:paraId="186FE05E" w14:textId="77777777">
      <w:pPr>
        <w:pStyle w:val="ListParagraph"/>
        <w:numPr>
          <w:ilvl w:val="0"/>
          <w:numId w:val="1"/>
        </w:numPr>
        <w:spacing w:after="100" w:line="300" w:lineRule="auto"/>
        <w:rPr>
          <w:rFonts w:ascii="Times New Roman" w:hAnsi="Times New Roman" w:cs="Times New Roman"/>
          <w:color w:val="000000" w:themeColor="text1"/>
        </w:rPr>
      </w:pPr>
      <w:r w:rsidRPr="00162A4F">
        <w:rPr>
          <w:rFonts w:ascii="Times New Roman" w:hAnsi="Times New Roman" w:cs="Times New Roman"/>
          <w:color w:val="000000" w:themeColor="text1"/>
        </w:rPr>
        <w:lastRenderedPageBreak/>
        <w:t>The High Court's remarks about the unlawful, 'extra-legal' nature of muscle-based recovery practices were an appropriate and necessary reminder to financial institutions of the legal boundaries within which they must operate, regardless of whether they affected this particular investigation.</w:t>
      </w:r>
    </w:p>
    <w:p w:rsidRPr="00162A4F" w:rsidR="001E3C10" w:rsidRDefault="00000000" w14:paraId="16FF4713" w14:textId="77777777">
      <w:pPr>
        <w:pStyle w:val="Heading1"/>
        <w:pBdr>
          <w:bottom w:val="single" w:color="1F3864" w:sz="6" w:space="4"/>
        </w:pBdr>
        <w:spacing w:before="360" w:after="200"/>
        <w:rPr>
          <w:rFonts w:ascii="Times New Roman" w:hAnsi="Times New Roman" w:cs="Times New Roman"/>
          <w:color w:val="000000" w:themeColor="text1"/>
        </w:rPr>
      </w:pPr>
      <w:r w:rsidRPr="00162A4F">
        <w:rPr>
          <w:rFonts w:ascii="Times New Roman" w:hAnsi="Times New Roman" w:cs="Times New Roman"/>
          <w:b/>
          <w:bCs/>
          <w:color w:val="000000" w:themeColor="text1"/>
          <w:sz w:val="30"/>
          <w:szCs w:val="30"/>
        </w:rPr>
        <w:t>4. Judgment</w:t>
      </w:r>
    </w:p>
    <w:p w:rsidRPr="00162A4F" w:rsidR="001E3C10" w:rsidRDefault="00000000" w14:paraId="5A565DF8" w14:textId="77777777">
      <w:pPr>
        <w:pStyle w:val="Heading2"/>
        <w:spacing w:before="280" w:after="140"/>
        <w:rPr>
          <w:rFonts w:ascii="Times New Roman" w:hAnsi="Times New Roman" w:cs="Times New Roman"/>
          <w:color w:val="000000" w:themeColor="text1"/>
        </w:rPr>
      </w:pPr>
      <w:r w:rsidRPr="00162A4F">
        <w:rPr>
          <w:rFonts w:ascii="Times New Roman" w:hAnsi="Times New Roman" w:cs="Times New Roman"/>
          <w:b/>
          <w:bCs/>
          <w:color w:val="000000" w:themeColor="text1"/>
          <w:sz w:val="24"/>
          <w:szCs w:val="24"/>
        </w:rPr>
        <w:t>4.1 Court's Decision</w:t>
      </w:r>
    </w:p>
    <w:p w:rsidRPr="00162A4F" w:rsidR="001E3C10" w:rsidRDefault="00000000" w14:paraId="3E5FEA88" w14:textId="77777777">
      <w:pPr>
        <w:spacing w:after="180" w:line="300" w:lineRule="auto"/>
        <w:jc w:val="both"/>
        <w:rPr>
          <w:rFonts w:ascii="Times New Roman" w:hAnsi="Times New Roman" w:cs="Times New Roman"/>
          <w:color w:val="000000" w:themeColor="text1"/>
        </w:rPr>
      </w:pPr>
      <w:r w:rsidRPr="00162A4F">
        <w:rPr>
          <w:rFonts w:ascii="Times New Roman" w:hAnsi="Times New Roman" w:cs="Times New Roman"/>
          <w:color w:val="000000" w:themeColor="text1"/>
        </w:rPr>
        <w:t>The Supreme Court disposed of the appeal without expunging the High Court's observations. It held that since the High Court had already clarified that its remarks would not influence or affect the ongoing investigation or any future proceedings against the bank or its employees, the bank had not been substantially prejudiced, and expunging the observations, or simply leaving them clarified, would have much the same practical effect. The Court directed that the pending criminal investigation be completed within three months, with a report to be filed before the High Court, and ordered ICICI Bank to pay costs of Rs 25,000 to the respondents.</w:t>
      </w:r>
    </w:p>
    <w:p w:rsidRPr="00162A4F" w:rsidR="001E3C10" w:rsidRDefault="00000000" w14:paraId="00B52B6B" w14:textId="77777777">
      <w:pPr>
        <w:pStyle w:val="Heading2"/>
        <w:spacing w:before="280" w:after="140"/>
        <w:rPr>
          <w:rFonts w:ascii="Times New Roman" w:hAnsi="Times New Roman" w:cs="Times New Roman"/>
          <w:color w:val="000000" w:themeColor="text1"/>
        </w:rPr>
      </w:pPr>
      <w:r w:rsidRPr="00162A4F">
        <w:rPr>
          <w:rFonts w:ascii="Times New Roman" w:hAnsi="Times New Roman" w:cs="Times New Roman"/>
          <w:b/>
          <w:bCs/>
          <w:color w:val="000000" w:themeColor="text1"/>
          <w:sz w:val="24"/>
          <w:szCs w:val="24"/>
        </w:rPr>
        <w:t>4.2 Ratio Decidendi (Judicial Reasoning)</w:t>
      </w:r>
    </w:p>
    <w:p w:rsidRPr="00162A4F" w:rsidR="001E3C10" w:rsidRDefault="00000000" w14:paraId="414F4A57" w14:textId="77777777">
      <w:pPr>
        <w:spacing w:after="180" w:line="300" w:lineRule="auto"/>
        <w:jc w:val="both"/>
        <w:rPr>
          <w:rFonts w:ascii="Times New Roman" w:hAnsi="Times New Roman" w:cs="Times New Roman"/>
          <w:color w:val="000000" w:themeColor="text1"/>
        </w:rPr>
      </w:pPr>
      <w:r w:rsidRPr="00162A4F">
        <w:rPr>
          <w:rFonts w:ascii="Times New Roman" w:hAnsi="Times New Roman" w:cs="Times New Roman"/>
          <w:color w:val="000000" w:themeColor="text1"/>
        </w:rPr>
        <w:t>On the narrow question of expunging the observations: The Supreme Court reasoned that because the High Court had already clarified that its remarks were not intended to, and would not, influence the ongoing investigation, there was little practical difference between expunging the observations and simply leaving them in place with that clarification attached. Since the bank could not show it had been substantially aggrieved once this clarification existed, the Court saw no strong reason to disturb the High Court's order on this specific point.</w:t>
      </w:r>
    </w:p>
    <w:p w:rsidRPr="00162A4F" w:rsidR="001E3C10" w:rsidRDefault="00000000" w14:paraId="19E3B45D" w14:textId="77777777">
      <w:pPr>
        <w:spacing w:after="180" w:line="300" w:lineRule="auto"/>
        <w:jc w:val="both"/>
        <w:rPr>
          <w:rFonts w:ascii="Times New Roman" w:hAnsi="Times New Roman" w:cs="Times New Roman"/>
          <w:color w:val="000000" w:themeColor="text1"/>
        </w:rPr>
      </w:pPr>
      <w:r w:rsidRPr="00162A4F">
        <w:rPr>
          <w:rFonts w:ascii="Times New Roman" w:hAnsi="Times New Roman" w:cs="Times New Roman"/>
          <w:color w:val="000000" w:themeColor="text1"/>
        </w:rPr>
        <w:t>On the responsibility of banks for their recovery agents: While disposing of the narrow procedural question, the Supreme Court took the opportunity to remind financial institutions, in general terms, that they are bound by the rule of law in how they recover their dues. The Court referred approvingly to the RBI's Fair Practices Code and its 2008 Guidelines on the engagement of recovery agents, which explicitly state that banks, as principals, are responsible for the actions of their agents, and must ensure that agents strictly follow guidelines prohibiting harassment, use of muscle power, and other abusive practices.</w:t>
      </w:r>
    </w:p>
    <w:p w:rsidRPr="00162A4F" w:rsidR="001E3C10" w:rsidRDefault="00000000" w14:paraId="4F8B2109" w14:textId="77777777">
      <w:pPr>
        <w:spacing w:after="180" w:line="300" w:lineRule="auto"/>
        <w:jc w:val="both"/>
        <w:rPr>
          <w:rFonts w:ascii="Times New Roman" w:hAnsi="Times New Roman" w:cs="Times New Roman"/>
          <w:color w:val="000000" w:themeColor="text1"/>
        </w:rPr>
      </w:pPr>
      <w:r w:rsidRPr="00162A4F">
        <w:rPr>
          <w:rFonts w:ascii="Times New Roman" w:hAnsi="Times New Roman" w:cs="Times New Roman"/>
          <w:color w:val="000000" w:themeColor="text1"/>
        </w:rPr>
        <w:t>On lawful methods of recovery: The Court noted that loan or security recovery must be carried out through legal means, whether via civil courts or through the structured procedures available under the SARFAESI Act, 2002 and the Security Interest (Enforcement) Rules, 2002, rather than through informal or coercive tactics.</w:t>
      </w:r>
    </w:p>
    <w:p w:rsidRPr="00162A4F" w:rsidR="001E3C10" w:rsidRDefault="00000000" w14:paraId="277F3A87" w14:textId="77777777">
      <w:pPr>
        <w:pBdr>
          <w:left w:val="single" w:color="8C6D1F" w:sz="16" w:space="8"/>
        </w:pBdr>
        <w:spacing w:before="120" w:after="200" w:line="280" w:lineRule="auto"/>
        <w:ind w:left="500" w:right="500"/>
        <w:rPr>
          <w:rFonts w:ascii="Times New Roman" w:hAnsi="Times New Roman" w:cs="Times New Roman"/>
          <w:color w:val="000000" w:themeColor="text1"/>
        </w:rPr>
      </w:pPr>
      <w:r w:rsidRPr="00162A4F">
        <w:rPr>
          <w:rFonts w:ascii="Times New Roman" w:hAnsi="Times New Roman" w:cs="Times New Roman"/>
          <w:i/>
          <w:iCs/>
          <w:color w:val="000000" w:themeColor="text1"/>
        </w:rPr>
        <w:t>Banks, as principals, are responsible for the actions of their agents. Hence, they should ensure that their agents engaged for recovery of their dues should strictly adhere to the above guidelines and instructions... We deem it appropriate to remind the banks and other financial institutions that we live in a civilised country and are governed by the rule of law.</w:t>
      </w:r>
    </w:p>
    <w:p w:rsidRPr="00162A4F" w:rsidR="001E3C10" w:rsidRDefault="00000000" w14:paraId="56F501DE" w14:textId="77777777">
      <w:pPr>
        <w:spacing w:after="180" w:line="300" w:lineRule="auto"/>
        <w:jc w:val="both"/>
        <w:rPr>
          <w:rFonts w:ascii="Times New Roman" w:hAnsi="Times New Roman" w:cs="Times New Roman"/>
          <w:color w:val="000000" w:themeColor="text1"/>
        </w:rPr>
      </w:pPr>
      <w:r w:rsidRPr="00162A4F">
        <w:rPr>
          <w:rFonts w:ascii="Times New Roman" w:hAnsi="Times New Roman" w:cs="Times New Roman"/>
          <w:color w:val="000000" w:themeColor="text1"/>
        </w:rPr>
        <w:lastRenderedPageBreak/>
        <w:t>Taken together, while the Court's formal holding was limited to declining to expunge the High Court's observations and directing the investigation to be completed promptly, its reasoning firmly endorsed the principle, drawn substantially from the RBI's own guidelines, that banks bear responsibility for the conduct of their recovery agents and must ensure that debt recovery is carried out lawfully, respectfully, and without coercion.</w:t>
      </w:r>
    </w:p>
    <w:p w:rsidRPr="00162A4F" w:rsidR="001E3C10" w:rsidRDefault="00000000" w14:paraId="10557DAA" w14:textId="77777777">
      <w:pPr>
        <w:pStyle w:val="Heading1"/>
        <w:pBdr>
          <w:bottom w:val="single" w:color="1F3864" w:sz="6" w:space="4"/>
        </w:pBdr>
        <w:spacing w:before="360" w:after="200"/>
        <w:rPr>
          <w:rFonts w:ascii="Times New Roman" w:hAnsi="Times New Roman" w:cs="Times New Roman"/>
          <w:color w:val="000000" w:themeColor="text1"/>
        </w:rPr>
      </w:pPr>
      <w:r w:rsidRPr="00162A4F">
        <w:rPr>
          <w:rFonts w:ascii="Times New Roman" w:hAnsi="Times New Roman" w:cs="Times New Roman"/>
          <w:b/>
          <w:bCs/>
          <w:color w:val="000000" w:themeColor="text1"/>
          <w:sz w:val="30"/>
          <w:szCs w:val="30"/>
        </w:rPr>
        <w:t>5. Legal Principle: Fair Recovery Practices &amp; Accountability</w:t>
      </w:r>
    </w:p>
    <w:p w:rsidRPr="00162A4F" w:rsidR="001E3C10" w:rsidRDefault="00000000" w14:paraId="3AC29855" w14:textId="77777777">
      <w:pPr>
        <w:spacing w:after="180" w:line="300" w:lineRule="auto"/>
        <w:jc w:val="both"/>
        <w:rPr>
          <w:rFonts w:ascii="Times New Roman" w:hAnsi="Times New Roman" w:cs="Times New Roman"/>
          <w:color w:val="000000" w:themeColor="text1"/>
        </w:rPr>
      </w:pPr>
      <w:r w:rsidRPr="00162A4F">
        <w:rPr>
          <w:rFonts w:ascii="Times New Roman" w:hAnsi="Times New Roman" w:cs="Times New Roman"/>
          <w:color w:val="000000" w:themeColor="text1"/>
        </w:rPr>
        <w:t>This section breaks down the key legal and regulatory principles that this case is most remembered for, even though the Supreme Court's formal holding was procedurally narrow.</w:t>
      </w:r>
    </w:p>
    <w:p w:rsidRPr="00162A4F" w:rsidR="001E3C10" w:rsidRDefault="00000000" w14:paraId="565AC9D9" w14:textId="77777777">
      <w:pPr>
        <w:pStyle w:val="Heading2"/>
        <w:spacing w:before="280" w:after="140"/>
        <w:rPr>
          <w:rFonts w:ascii="Times New Roman" w:hAnsi="Times New Roman" w:cs="Times New Roman"/>
          <w:color w:val="000000" w:themeColor="text1"/>
        </w:rPr>
      </w:pPr>
      <w:r w:rsidRPr="00162A4F">
        <w:rPr>
          <w:rFonts w:ascii="Times New Roman" w:hAnsi="Times New Roman" w:cs="Times New Roman"/>
          <w:b/>
          <w:bCs/>
          <w:color w:val="000000" w:themeColor="text1"/>
          <w:sz w:val="24"/>
          <w:szCs w:val="24"/>
        </w:rPr>
        <w:t>5.1 Banks as Principals for Their Agents' Conduct</w:t>
      </w:r>
    </w:p>
    <w:p w:rsidRPr="00162A4F" w:rsidR="001E3C10" w:rsidRDefault="00000000" w14:paraId="73FE62EB" w14:textId="77777777">
      <w:pPr>
        <w:spacing w:after="180" w:line="300" w:lineRule="auto"/>
        <w:jc w:val="both"/>
        <w:rPr>
          <w:rFonts w:ascii="Times New Roman" w:hAnsi="Times New Roman" w:cs="Times New Roman"/>
          <w:color w:val="000000" w:themeColor="text1"/>
        </w:rPr>
      </w:pPr>
      <w:r w:rsidRPr="00162A4F">
        <w:rPr>
          <w:rFonts w:ascii="Times New Roman" w:hAnsi="Times New Roman" w:cs="Times New Roman"/>
          <w:color w:val="000000" w:themeColor="text1"/>
        </w:rPr>
        <w:t>A central idea reinforced in this judgment, largely by adopting the language of the RBI's own guidelines, is that a bank cannot distance itself from the wrongful conduct of the recovery agents it hires simply because those agents are technically third parties rather than direct employees. As a principal engaging agents to act on its behalf in the recovery of dues, a bank remains responsible for ensuring those agents comply with lawful and fair practices, and can face regulatory and reputational consequences, including potential restrictions on engaging recovery agents, if its agents resort to harassment or abusive conduct. This principle discourages banks from using the agent relationship as a shield to avoid accountability for coercive recovery tactics carried out in their name and for their financial benefit.</w:t>
      </w:r>
    </w:p>
    <w:p w:rsidRPr="00162A4F" w:rsidR="001E3C10" w:rsidRDefault="00000000" w14:paraId="0125D074" w14:textId="77777777">
      <w:pPr>
        <w:pStyle w:val="Heading2"/>
        <w:spacing w:before="280" w:after="140"/>
        <w:rPr>
          <w:rFonts w:ascii="Times New Roman" w:hAnsi="Times New Roman" w:cs="Times New Roman"/>
          <w:color w:val="000000" w:themeColor="text1"/>
        </w:rPr>
      </w:pPr>
      <w:r w:rsidRPr="00162A4F">
        <w:rPr>
          <w:rFonts w:ascii="Times New Roman" w:hAnsi="Times New Roman" w:cs="Times New Roman"/>
          <w:b/>
          <w:bCs/>
          <w:color w:val="000000" w:themeColor="text1"/>
          <w:sz w:val="24"/>
          <w:szCs w:val="24"/>
        </w:rPr>
        <w:t>5.2 The RBI Fair Practices Framework</w:t>
      </w:r>
    </w:p>
    <w:p w:rsidRPr="00162A4F" w:rsidR="001E3C10" w:rsidRDefault="00000000" w14:paraId="22BAA804" w14:textId="77777777">
      <w:pPr>
        <w:spacing w:after="180" w:line="300" w:lineRule="auto"/>
        <w:jc w:val="both"/>
        <w:rPr>
          <w:rFonts w:ascii="Times New Roman" w:hAnsi="Times New Roman" w:cs="Times New Roman"/>
          <w:color w:val="000000" w:themeColor="text1"/>
        </w:rPr>
      </w:pPr>
      <w:r w:rsidRPr="00162A4F">
        <w:rPr>
          <w:rFonts w:ascii="Times New Roman" w:hAnsi="Times New Roman" w:cs="Times New Roman"/>
          <w:color w:val="000000" w:themeColor="text1"/>
        </w:rPr>
        <w:t>The judgment draws heavily on the regulatory framework built by the Reserve Bank of India, particularly its Fair Practices Code for Lenders (2003) and its more detailed 2008 Guidelines on the engagement of recovery agents, which in turn incorporate the Code of Bank's Commitment to Customers. These guidelines set out concrete, practical standards for recovery conduct: contacting borrowers at reasonable hours and at appropriate locations, clearly identifying agents and their authority, maintaining civility and decorum, respecting the borrower's privacy, documenting the time and content of recovery interactions, and avoiding contact during clearly inappropriate occasions such as bereavement. The Supreme Court's endorsement of this framework shows how judicial reasoning and financial sector regulation reinforce one another in setting behavioural standards for an entire industry.</w:t>
      </w:r>
    </w:p>
    <w:p w:rsidRPr="00162A4F" w:rsidR="001E3C10" w:rsidRDefault="00000000" w14:paraId="6DCC6BEE" w14:textId="77777777">
      <w:pPr>
        <w:pStyle w:val="Heading2"/>
        <w:spacing w:before="280" w:after="140"/>
        <w:rPr>
          <w:rFonts w:ascii="Times New Roman" w:hAnsi="Times New Roman" w:cs="Times New Roman"/>
          <w:color w:val="000000" w:themeColor="text1"/>
        </w:rPr>
      </w:pPr>
      <w:r w:rsidRPr="00162A4F">
        <w:rPr>
          <w:rFonts w:ascii="Times New Roman" w:hAnsi="Times New Roman" w:cs="Times New Roman"/>
          <w:b/>
          <w:bCs/>
          <w:color w:val="000000" w:themeColor="text1"/>
          <w:sz w:val="24"/>
          <w:szCs w:val="24"/>
        </w:rPr>
        <w:t>5.3 Ancillary Pillars &amp; Later Case Law</w:t>
      </w:r>
    </w:p>
    <w:p w:rsidRPr="00162A4F" w:rsidR="001E3C10" w:rsidRDefault="00000000" w14:paraId="565583EE" w14:textId="77777777">
      <w:pPr>
        <w:spacing w:after="180" w:line="300" w:lineRule="auto"/>
        <w:jc w:val="both"/>
        <w:rPr>
          <w:rFonts w:ascii="Times New Roman" w:hAnsi="Times New Roman" w:cs="Times New Roman"/>
          <w:color w:val="000000" w:themeColor="text1"/>
        </w:rPr>
      </w:pPr>
      <w:r w:rsidRPr="00162A4F">
        <w:rPr>
          <w:rFonts w:ascii="Times New Roman" w:hAnsi="Times New Roman" w:cs="Times New Roman"/>
          <w:color w:val="000000" w:themeColor="text1"/>
        </w:rPr>
        <w:t>This case sits within a broader body of Indian jurisprudence addressing fair treatment of borrowers and unfair practices by lenders and their agents.</w:t>
      </w:r>
    </w:p>
    <w:p w:rsidRPr="00162A4F" w:rsidR="001E3C10" w:rsidRDefault="00000000" w14:paraId="29B32A70" w14:textId="77777777">
      <w:pPr>
        <w:pStyle w:val="ListParagraph"/>
        <w:numPr>
          <w:ilvl w:val="0"/>
          <w:numId w:val="1"/>
        </w:numPr>
        <w:spacing w:after="100" w:line="300" w:lineRule="auto"/>
        <w:rPr>
          <w:rFonts w:ascii="Times New Roman" w:hAnsi="Times New Roman" w:cs="Times New Roman"/>
          <w:color w:val="000000" w:themeColor="text1"/>
        </w:rPr>
      </w:pPr>
      <w:r w:rsidRPr="00162A4F">
        <w:rPr>
          <w:rFonts w:ascii="Times New Roman" w:hAnsi="Times New Roman" w:cs="Times New Roman"/>
          <w:color w:val="000000" w:themeColor="text1"/>
        </w:rPr>
        <w:t>Citibank N.A. v. Shilpa Bansal (Delhi, 2005): This earlier consumer forum decision held that the wrongful seizure of a vehicle by a bank's recovery agent could amount to an unfair trade practice under the Consumer Protection Act, reflecting a parallel line of authority protecting borrowers through consumer law rather than criminal or writ proceedings.</w:t>
      </w:r>
    </w:p>
    <w:p w:rsidRPr="00162A4F" w:rsidR="001E3C10" w:rsidRDefault="00000000" w14:paraId="596FD085" w14:textId="77777777">
      <w:pPr>
        <w:pStyle w:val="ListParagraph"/>
        <w:numPr>
          <w:ilvl w:val="0"/>
          <w:numId w:val="1"/>
        </w:numPr>
        <w:spacing w:after="100" w:line="300" w:lineRule="auto"/>
        <w:rPr>
          <w:rFonts w:ascii="Times New Roman" w:hAnsi="Times New Roman" w:cs="Times New Roman"/>
          <w:color w:val="000000" w:themeColor="text1"/>
        </w:rPr>
      </w:pPr>
      <w:r w:rsidRPr="00162A4F">
        <w:rPr>
          <w:rFonts w:ascii="Times New Roman" w:hAnsi="Times New Roman" w:cs="Times New Roman"/>
          <w:color w:val="000000" w:themeColor="text1"/>
        </w:rPr>
        <w:lastRenderedPageBreak/>
        <w:t>Punjab National Bank v. Leader Valves (P) Ltd. (2007) 2 SCC 170: This case reinforced that fairness and transparency are fundamental to maintaining public confidence in banking relationships, a theme consistent with the concerns raised in the Shanti Devi Sharma matter.</w:t>
      </w:r>
    </w:p>
    <w:p w:rsidRPr="00162A4F" w:rsidR="001E3C10" w:rsidRDefault="00000000" w14:paraId="319F633F" w14:textId="77777777">
      <w:pPr>
        <w:pStyle w:val="ListParagraph"/>
        <w:numPr>
          <w:ilvl w:val="0"/>
          <w:numId w:val="1"/>
        </w:numPr>
        <w:spacing w:after="100" w:line="300" w:lineRule="auto"/>
        <w:rPr>
          <w:rFonts w:ascii="Times New Roman" w:hAnsi="Times New Roman" w:cs="Times New Roman"/>
          <w:color w:val="000000" w:themeColor="text1"/>
        </w:rPr>
      </w:pPr>
      <w:r w:rsidRPr="00162A4F">
        <w:rPr>
          <w:rFonts w:ascii="Times New Roman" w:hAnsi="Times New Roman" w:cs="Times New Roman"/>
          <w:color w:val="000000" w:themeColor="text1"/>
        </w:rPr>
        <w:t>Continuing regulatory tightening: In the years following this judgment, the RBI has continued to strengthen its guidelines on outsourcing of recovery functions and has periodically taken supervisory action, including restrictions on the use of recovery agents by specific banks found to have violated the Fair Practices Code.</w:t>
      </w:r>
    </w:p>
    <w:p w:rsidRPr="00162A4F" w:rsidR="001E3C10" w:rsidRDefault="00000000" w14:paraId="4AAF3510" w14:textId="77777777">
      <w:pPr>
        <w:spacing w:after="180" w:line="300" w:lineRule="auto"/>
        <w:jc w:val="both"/>
        <w:rPr>
          <w:rFonts w:ascii="Times New Roman" w:hAnsi="Times New Roman" w:cs="Times New Roman"/>
          <w:color w:val="000000" w:themeColor="text1"/>
        </w:rPr>
      </w:pPr>
      <w:r w:rsidRPr="00162A4F">
        <w:rPr>
          <w:rFonts w:ascii="Times New Roman" w:hAnsi="Times New Roman" w:cs="Times New Roman"/>
          <w:color w:val="000000" w:themeColor="text1"/>
        </w:rPr>
        <w:t>Because of the strong language used by both the Delhi High Court and the Supreme Court, this case is frequently cited in Indian banking law discussions as an example of judicial and regulatory disapproval of coercive recovery, even though its precise legal holding was limited to the question of whether certain observations should be expunged.</w:t>
      </w:r>
    </w:p>
    <w:p w:rsidRPr="00162A4F" w:rsidR="001E3C10" w:rsidRDefault="00000000" w14:paraId="3E938419" w14:textId="77777777">
      <w:pPr>
        <w:pStyle w:val="Heading1"/>
        <w:pBdr>
          <w:bottom w:val="single" w:color="1F3864" w:sz="6" w:space="4"/>
        </w:pBdr>
        <w:spacing w:before="360" w:after="200"/>
        <w:rPr>
          <w:rFonts w:ascii="Times New Roman" w:hAnsi="Times New Roman" w:cs="Times New Roman"/>
          <w:color w:val="000000" w:themeColor="text1"/>
        </w:rPr>
      </w:pPr>
      <w:r w:rsidRPr="00162A4F">
        <w:rPr>
          <w:rFonts w:ascii="Times New Roman" w:hAnsi="Times New Roman" w:cs="Times New Roman"/>
          <w:b/>
          <w:bCs/>
          <w:color w:val="000000" w:themeColor="text1"/>
          <w:sz w:val="30"/>
          <w:szCs w:val="30"/>
        </w:rPr>
        <w:t>6. Business Relevance</w:t>
      </w:r>
    </w:p>
    <w:p w:rsidRPr="00162A4F" w:rsidR="001E3C10" w:rsidRDefault="00000000" w14:paraId="3C3F9264" w14:textId="77777777">
      <w:pPr>
        <w:pStyle w:val="Heading2"/>
        <w:spacing w:before="280" w:after="140"/>
        <w:rPr>
          <w:rFonts w:ascii="Times New Roman" w:hAnsi="Times New Roman" w:cs="Times New Roman"/>
          <w:color w:val="000000" w:themeColor="text1"/>
        </w:rPr>
      </w:pPr>
      <w:r w:rsidRPr="00162A4F">
        <w:rPr>
          <w:rFonts w:ascii="Times New Roman" w:hAnsi="Times New Roman" w:cs="Times New Roman"/>
          <w:b/>
          <w:bCs/>
          <w:color w:val="000000" w:themeColor="text1"/>
          <w:sz w:val="24"/>
          <w:szCs w:val="24"/>
        </w:rPr>
        <w:t>6.1 Application in Modern Business</w:t>
      </w:r>
    </w:p>
    <w:p w:rsidRPr="00162A4F" w:rsidR="001E3C10" w:rsidRDefault="00000000" w14:paraId="6DDFE1F7" w14:textId="77777777">
      <w:pPr>
        <w:spacing w:after="180" w:line="300" w:lineRule="auto"/>
        <w:jc w:val="both"/>
        <w:rPr>
          <w:rFonts w:ascii="Times New Roman" w:hAnsi="Times New Roman" w:cs="Times New Roman"/>
          <w:color w:val="000000" w:themeColor="text1"/>
        </w:rPr>
      </w:pPr>
      <w:r w:rsidRPr="00162A4F">
        <w:rPr>
          <w:rFonts w:ascii="Times New Roman" w:hAnsi="Times New Roman" w:cs="Times New Roman"/>
          <w:color w:val="000000" w:themeColor="text1"/>
        </w:rPr>
        <w:t>This case remains highly relevant to how banks, non-banking financial companies (NBFCs), and fintech lenders design and outsource their loan recovery operations in India today. As digital lending has grown, many fintech platforms rely on third-party collection agencies or in-house recovery teams to follow up on overdue payments, sometimes through calls, messages, or in-person visits. The reasoning in this case, and the RBI framework it draws on, applies just as strongly to these newer forms of lending as it did to traditional vehicle and personal loans, reminding lenders that outsourcing recovery does not outsource legal or ethical responsibility.</w:t>
      </w:r>
    </w:p>
    <w:p w:rsidRPr="00162A4F" w:rsidR="001E3C10" w:rsidRDefault="00000000" w14:paraId="40ECA030" w14:textId="77777777">
      <w:pPr>
        <w:spacing w:after="180" w:line="300" w:lineRule="auto"/>
        <w:jc w:val="both"/>
        <w:rPr>
          <w:rFonts w:ascii="Times New Roman" w:hAnsi="Times New Roman" w:cs="Times New Roman"/>
          <w:color w:val="000000" w:themeColor="text1"/>
        </w:rPr>
      </w:pPr>
      <w:r w:rsidRPr="00162A4F">
        <w:rPr>
          <w:rFonts w:ascii="Times New Roman" w:hAnsi="Times New Roman" w:cs="Times New Roman"/>
          <w:color w:val="000000" w:themeColor="text1"/>
        </w:rPr>
        <w:t>For fintech lenders in particular, where recovery may increasingly involve automated reminders, aggressive calling patterns, or contact with a borrower's personal and professional network, this case is a cautionary example of how reputational and legal risk can escalate dramatically when recovery practices cross the line from firm follow-up into harassment or humiliation.</w:t>
      </w:r>
    </w:p>
    <w:p w:rsidRPr="00162A4F" w:rsidR="001E3C10" w:rsidRDefault="00000000" w14:paraId="50CA3B29" w14:textId="77777777">
      <w:pPr>
        <w:pStyle w:val="Heading2"/>
        <w:spacing w:before="280" w:after="140"/>
        <w:rPr>
          <w:rFonts w:ascii="Times New Roman" w:hAnsi="Times New Roman" w:cs="Times New Roman"/>
          <w:color w:val="000000" w:themeColor="text1"/>
        </w:rPr>
      </w:pPr>
      <w:r w:rsidRPr="00162A4F">
        <w:rPr>
          <w:rFonts w:ascii="Times New Roman" w:hAnsi="Times New Roman" w:cs="Times New Roman"/>
          <w:b/>
          <w:bCs/>
          <w:color w:val="000000" w:themeColor="text1"/>
          <w:sz w:val="24"/>
          <w:szCs w:val="24"/>
        </w:rPr>
        <w:t>6.2 Risk Management &amp; Operational Compliance</w:t>
      </w:r>
    </w:p>
    <w:p w:rsidRPr="00162A4F" w:rsidR="001E3C10" w:rsidRDefault="00000000" w14:paraId="794C790B" w14:textId="77777777">
      <w:pPr>
        <w:spacing w:after="180" w:line="300" w:lineRule="auto"/>
        <w:jc w:val="both"/>
        <w:rPr>
          <w:rFonts w:ascii="Times New Roman" w:hAnsi="Times New Roman" w:cs="Times New Roman"/>
          <w:color w:val="000000" w:themeColor="text1"/>
        </w:rPr>
      </w:pPr>
      <w:r w:rsidRPr="00162A4F">
        <w:rPr>
          <w:rFonts w:ascii="Times New Roman" w:hAnsi="Times New Roman" w:cs="Times New Roman"/>
          <w:color w:val="000000" w:themeColor="text1"/>
        </w:rPr>
        <w:t>Several practical lessons for banks, NBFCs, and fintech lenders follow from this case:</w:t>
      </w:r>
    </w:p>
    <w:p w:rsidRPr="00162A4F" w:rsidR="001E3C10" w:rsidRDefault="00000000" w14:paraId="05CCA372" w14:textId="77777777">
      <w:pPr>
        <w:pStyle w:val="ListParagraph"/>
        <w:numPr>
          <w:ilvl w:val="0"/>
          <w:numId w:val="1"/>
        </w:numPr>
        <w:spacing w:after="100" w:line="300" w:lineRule="auto"/>
        <w:rPr>
          <w:rFonts w:ascii="Times New Roman" w:hAnsi="Times New Roman" w:cs="Times New Roman"/>
          <w:color w:val="000000" w:themeColor="text1"/>
        </w:rPr>
      </w:pPr>
      <w:r w:rsidRPr="00162A4F">
        <w:rPr>
          <w:rFonts w:ascii="Times New Roman" w:hAnsi="Times New Roman" w:cs="Times New Roman"/>
          <w:color w:val="000000" w:themeColor="text1"/>
        </w:rPr>
        <w:t>Adopt and enforce a fair practices code: Lenders should have a clear, RBI-aligned fair practices code covering the timing, tone, location, and conduct of recovery communications, and should train recovery staff and agents accordingly.</w:t>
      </w:r>
    </w:p>
    <w:p w:rsidRPr="00162A4F" w:rsidR="001E3C10" w:rsidRDefault="00000000" w14:paraId="16A6F70D" w14:textId="77777777">
      <w:pPr>
        <w:pStyle w:val="ListParagraph"/>
        <w:numPr>
          <w:ilvl w:val="0"/>
          <w:numId w:val="1"/>
        </w:numPr>
        <w:spacing w:after="100" w:line="300" w:lineRule="auto"/>
        <w:rPr>
          <w:rFonts w:ascii="Times New Roman" w:hAnsi="Times New Roman" w:cs="Times New Roman"/>
          <w:color w:val="000000" w:themeColor="text1"/>
        </w:rPr>
      </w:pPr>
      <w:r w:rsidRPr="00162A4F">
        <w:rPr>
          <w:rFonts w:ascii="Times New Roman" w:hAnsi="Times New Roman" w:cs="Times New Roman"/>
          <w:color w:val="000000" w:themeColor="text1"/>
        </w:rPr>
        <w:t>Treat recovery agents as extensions of the institution: Since banks are treated as principals responsible for their agents' conduct, lenders should carefully vet, monitor, and audit third-party recovery agencies, rather than assuming outsourcing limits their own liability.</w:t>
      </w:r>
    </w:p>
    <w:p w:rsidRPr="00162A4F" w:rsidR="001E3C10" w:rsidRDefault="00000000" w14:paraId="1E606EC3" w14:textId="77777777">
      <w:pPr>
        <w:pStyle w:val="ListParagraph"/>
        <w:numPr>
          <w:ilvl w:val="0"/>
          <w:numId w:val="1"/>
        </w:numPr>
        <w:spacing w:after="100" w:line="300" w:lineRule="auto"/>
        <w:rPr>
          <w:rFonts w:ascii="Times New Roman" w:hAnsi="Times New Roman" w:cs="Times New Roman"/>
          <w:color w:val="000000" w:themeColor="text1"/>
        </w:rPr>
      </w:pPr>
      <w:r w:rsidRPr="00162A4F">
        <w:rPr>
          <w:rFonts w:ascii="Times New Roman" w:hAnsi="Times New Roman" w:cs="Times New Roman"/>
          <w:color w:val="000000" w:themeColor="text1"/>
        </w:rPr>
        <w:lastRenderedPageBreak/>
        <w:t>Document all recovery interactions: Keeping records of the time, place, and content of recovery calls and visits, as recommended in the RBI guidelines discussed in this case, helps demonstrate compliance and defend against complaints of harassment.</w:t>
      </w:r>
    </w:p>
    <w:p w:rsidRPr="00162A4F" w:rsidR="001E3C10" w:rsidRDefault="00000000" w14:paraId="7485FBCA" w14:textId="77777777">
      <w:pPr>
        <w:pStyle w:val="ListParagraph"/>
        <w:numPr>
          <w:ilvl w:val="0"/>
          <w:numId w:val="1"/>
        </w:numPr>
        <w:spacing w:after="100" w:line="300" w:lineRule="auto"/>
        <w:rPr>
          <w:rFonts w:ascii="Times New Roman" w:hAnsi="Times New Roman" w:cs="Times New Roman"/>
          <w:color w:val="000000" w:themeColor="text1"/>
        </w:rPr>
      </w:pPr>
      <w:r w:rsidRPr="00162A4F">
        <w:rPr>
          <w:rFonts w:ascii="Times New Roman" w:hAnsi="Times New Roman" w:cs="Times New Roman"/>
          <w:color w:val="000000" w:themeColor="text1"/>
        </w:rPr>
        <w:t>Provide accessible grievance redressal: Borrowers should have a clear channel to complain about recovery agent conduct, allowing lenders to detect and correct abusive practices before they escalate into public or legal disputes.</w:t>
      </w:r>
    </w:p>
    <w:p w:rsidRPr="00162A4F" w:rsidR="001E3C10" w:rsidRDefault="00000000" w14:paraId="53196320" w14:textId="77777777">
      <w:pPr>
        <w:pStyle w:val="ListParagraph"/>
        <w:numPr>
          <w:ilvl w:val="0"/>
          <w:numId w:val="1"/>
        </w:numPr>
        <w:spacing w:after="100" w:line="300" w:lineRule="auto"/>
        <w:rPr>
          <w:rFonts w:ascii="Times New Roman" w:hAnsi="Times New Roman" w:cs="Times New Roman"/>
          <w:color w:val="000000" w:themeColor="text1"/>
        </w:rPr>
      </w:pPr>
      <w:r w:rsidRPr="00162A4F">
        <w:rPr>
          <w:rFonts w:ascii="Times New Roman" w:hAnsi="Times New Roman" w:cs="Times New Roman"/>
          <w:color w:val="000000" w:themeColor="text1"/>
        </w:rPr>
        <w:t>Recognise reputational stakes: As this case illustrates, a single instance of abusive recovery conduct can generate serious public, regulatory, and reputational consequences that far outweigh the value of the underlying debt being recovered.</w:t>
      </w:r>
    </w:p>
    <w:p w:rsidRPr="00162A4F" w:rsidR="001E3C10" w:rsidRDefault="00000000" w14:paraId="0FFCAE73" w14:textId="77777777">
      <w:pPr>
        <w:pStyle w:val="Heading1"/>
        <w:pBdr>
          <w:bottom w:val="single" w:color="1F3864" w:sz="6" w:space="4"/>
        </w:pBdr>
        <w:spacing w:before="360" w:after="200"/>
        <w:rPr>
          <w:rFonts w:ascii="Times New Roman" w:hAnsi="Times New Roman" w:cs="Times New Roman"/>
          <w:color w:val="000000" w:themeColor="text1"/>
        </w:rPr>
      </w:pPr>
      <w:r w:rsidRPr="00162A4F">
        <w:rPr>
          <w:rFonts w:ascii="Times New Roman" w:hAnsi="Times New Roman" w:cs="Times New Roman"/>
          <w:b/>
          <w:bCs/>
          <w:color w:val="000000" w:themeColor="text1"/>
          <w:sz w:val="30"/>
          <w:szCs w:val="30"/>
        </w:rPr>
        <w:t>7. Conclusion</w:t>
      </w:r>
    </w:p>
    <w:p w:rsidRPr="00162A4F" w:rsidR="001E3C10" w:rsidRDefault="00000000" w14:paraId="6BBD33DD" w14:textId="77777777">
      <w:pPr>
        <w:pStyle w:val="Heading2"/>
        <w:spacing w:before="280" w:after="140"/>
        <w:rPr>
          <w:rFonts w:ascii="Times New Roman" w:hAnsi="Times New Roman" w:cs="Times New Roman"/>
          <w:color w:val="000000" w:themeColor="text1"/>
        </w:rPr>
      </w:pPr>
      <w:r w:rsidRPr="00162A4F">
        <w:rPr>
          <w:rFonts w:ascii="Times New Roman" w:hAnsi="Times New Roman" w:cs="Times New Roman"/>
          <w:b/>
          <w:bCs/>
          <w:color w:val="000000" w:themeColor="text1"/>
          <w:sz w:val="24"/>
          <w:szCs w:val="24"/>
        </w:rPr>
        <w:t>7.1 Personal Learning and Observations</w:t>
      </w:r>
    </w:p>
    <w:p w:rsidRPr="00162A4F" w:rsidR="001E3C10" w:rsidRDefault="00000000" w14:paraId="547B8711" w14:textId="77777777">
      <w:pPr>
        <w:spacing w:after="180" w:line="300" w:lineRule="auto"/>
        <w:jc w:val="both"/>
        <w:rPr>
          <w:rFonts w:ascii="Times New Roman" w:hAnsi="Times New Roman" w:cs="Times New Roman"/>
          <w:color w:val="000000" w:themeColor="text1"/>
        </w:rPr>
      </w:pPr>
      <w:r w:rsidRPr="00162A4F">
        <w:rPr>
          <w:rFonts w:ascii="Times New Roman" w:hAnsi="Times New Roman" w:cs="Times New Roman"/>
          <w:color w:val="000000" w:themeColor="text1"/>
        </w:rPr>
        <w:t>Studying ICICI Bank v. Shanti Devi Sharma &amp; Others has taught me an important lesson about reading case law carefully: the Supreme Court's actual, formal holding here was quite narrow, focused on whether certain High Court observations should be expunged, yet the case is remembered and cited far more broadly as a statement against coercive bank recovery practices. This shows me that a case's legal legacy is not always identical to its precise ratio decidendi; sometimes strong language used along the way, especially language endorsing regulatory guidelines like those of the RBI, ends up shaping how an entire industry understands its obligations, even if it was not, strictly speaking, the central legal question decided.</w:t>
      </w:r>
    </w:p>
    <w:p w:rsidRPr="00162A4F" w:rsidR="001E3C10" w:rsidRDefault="00000000" w14:paraId="21F972AA" w14:textId="77777777">
      <w:pPr>
        <w:spacing w:after="180" w:line="300" w:lineRule="auto"/>
        <w:jc w:val="both"/>
        <w:rPr>
          <w:rFonts w:ascii="Times New Roman" w:hAnsi="Times New Roman" w:cs="Times New Roman"/>
          <w:color w:val="000000" w:themeColor="text1"/>
        </w:rPr>
      </w:pPr>
      <w:r w:rsidRPr="00162A4F">
        <w:rPr>
          <w:rFonts w:ascii="Times New Roman" w:hAnsi="Times New Roman" w:cs="Times New Roman"/>
          <w:color w:val="000000" w:themeColor="text1"/>
        </w:rPr>
        <w:t>I also found the human dimension of this case difficult to read, and important to keep in mind: behind the legal question of expunging a few paragraphs from a court order lies the tragic and very real allegation that a young man's humiliation over an overdue motorcycle loan may have contributed to his death. As someone studying commerce and financial technology, I think this case is a powerful reminder that the way a lending business designs and manages its recovery processes is not a minor operational detail, it is a matter that touches on human dignity, regulatory compliance, and the fundamental trust that underlies any financial relationship between a lender and a borrower.</w:t>
      </w:r>
    </w:p>
    <w:p w:rsidRPr="00162A4F" w:rsidR="001E3C10" w:rsidRDefault="00000000" w14:paraId="79B0B547" w14:textId="77777777">
      <w:pPr>
        <w:pStyle w:val="Heading1"/>
        <w:pBdr>
          <w:bottom w:val="single" w:color="1F3864" w:sz="6" w:space="4"/>
        </w:pBdr>
        <w:spacing w:before="360" w:after="200"/>
        <w:rPr>
          <w:rFonts w:ascii="Times New Roman" w:hAnsi="Times New Roman" w:cs="Times New Roman"/>
          <w:color w:val="000000" w:themeColor="text1"/>
        </w:rPr>
      </w:pPr>
      <w:r w:rsidRPr="00162A4F">
        <w:rPr>
          <w:rFonts w:ascii="Times New Roman" w:hAnsi="Times New Roman" w:cs="Times New Roman"/>
          <w:b/>
          <w:bCs/>
          <w:color w:val="000000" w:themeColor="text1"/>
          <w:sz w:val="30"/>
          <w:szCs w:val="30"/>
        </w:rPr>
        <w:t>Annexure: IRAC Summary</w:t>
      </w:r>
    </w:p>
    <w:p w:rsidRPr="00162A4F" w:rsidR="001E3C10" w:rsidRDefault="00000000" w14:paraId="0B27569D" w14:textId="77777777">
      <w:pPr>
        <w:spacing w:after="180" w:line="300" w:lineRule="auto"/>
        <w:jc w:val="both"/>
        <w:rPr>
          <w:rFonts w:ascii="Times New Roman" w:hAnsi="Times New Roman" w:cs="Times New Roman"/>
          <w:color w:val="000000" w:themeColor="text1"/>
        </w:rPr>
      </w:pPr>
      <w:r w:rsidRPr="00162A4F">
        <w:rPr>
          <w:rFonts w:ascii="Times New Roman" w:hAnsi="Times New Roman" w:cs="Times New Roman"/>
          <w:color w:val="000000" w:themeColor="text1"/>
        </w:rPr>
        <w:t>The following table summarises the case using the IRAC (Issue, Rule, Application, Conclusion) method commonly used in legal case analysis:</w:t>
      </w:r>
    </w:p>
    <w:tbl>
      <w:tblPr>
        <w:tblW w:w="9350" w:type="dxa"/>
        <w:tblBorders>
          <w:top w:val="single" w:color="8C8C8C" w:sz="4" w:space="0"/>
          <w:left w:val="single" w:color="8C8C8C" w:sz="4" w:space="0"/>
          <w:bottom w:val="single" w:color="8C8C8C" w:sz="4" w:space="0"/>
          <w:right w:val="single" w:color="8C8C8C" w:sz="4" w:space="0"/>
          <w:insideH w:val="single" w:color="BFBFBF" w:sz="4" w:space="0"/>
          <w:insideV w:val="single" w:color="BFBFBF" w:sz="4" w:space="0"/>
        </w:tblBorders>
        <w:tblCellMar>
          <w:left w:w="10" w:type="dxa"/>
          <w:right w:w="10" w:type="dxa"/>
        </w:tblCellMar>
        <w:tblLook w:val="0000" w:firstRow="0" w:lastRow="0" w:firstColumn="0" w:lastColumn="0" w:noHBand="0" w:noVBand="0"/>
      </w:tblPr>
      <w:tblGrid>
        <w:gridCol w:w="1800"/>
        <w:gridCol w:w="7550"/>
      </w:tblGrid>
      <w:tr w:rsidRPr="00162A4F" w:rsidR="001E3C10" w14:paraId="7C10AFB0" w14:textId="77777777">
        <w:trPr>
          <w:tblHeader/>
        </w:trPr>
        <w:tc>
          <w:tcPr>
            <w:tcW w:w="1800" w:type="dxa"/>
            <w:shd w:val="clear" w:color="auto" w:fill="1F3864"/>
            <w:tcMar>
              <w:top w:w="100" w:type="dxa"/>
              <w:left w:w="150" w:type="dxa"/>
              <w:bottom w:w="100" w:type="dxa"/>
              <w:right w:w="150" w:type="dxa"/>
            </w:tcMar>
            <w:vAlign w:val="center"/>
          </w:tcPr>
          <w:p w:rsidRPr="00162A4F" w:rsidR="001E3C10" w:rsidRDefault="00000000" w14:paraId="7F327536" w14:textId="77777777">
            <w:pPr>
              <w:rPr>
                <w:rFonts w:ascii="Times New Roman" w:hAnsi="Times New Roman" w:cs="Times New Roman"/>
                <w:color w:val="000000" w:themeColor="text1"/>
              </w:rPr>
            </w:pPr>
            <w:r w:rsidRPr="00162A4F">
              <w:rPr>
                <w:rFonts w:ascii="Times New Roman" w:hAnsi="Times New Roman" w:cs="Times New Roman"/>
                <w:b/>
                <w:bCs/>
                <w:color w:val="000000" w:themeColor="text1"/>
              </w:rPr>
              <w:t>Element</w:t>
            </w:r>
          </w:p>
        </w:tc>
        <w:tc>
          <w:tcPr>
            <w:tcW w:w="7550" w:type="dxa"/>
            <w:shd w:val="clear" w:color="auto" w:fill="1F3864"/>
            <w:tcMar>
              <w:top w:w="100" w:type="dxa"/>
              <w:left w:w="150" w:type="dxa"/>
              <w:bottom w:w="100" w:type="dxa"/>
              <w:right w:w="150" w:type="dxa"/>
            </w:tcMar>
            <w:vAlign w:val="center"/>
          </w:tcPr>
          <w:p w:rsidRPr="00162A4F" w:rsidR="001E3C10" w:rsidRDefault="00000000" w14:paraId="4DC790F4" w14:textId="77777777">
            <w:pPr>
              <w:rPr>
                <w:rFonts w:ascii="Times New Roman" w:hAnsi="Times New Roman" w:cs="Times New Roman"/>
                <w:color w:val="000000" w:themeColor="text1"/>
              </w:rPr>
            </w:pPr>
            <w:r w:rsidRPr="00162A4F">
              <w:rPr>
                <w:rFonts w:ascii="Times New Roman" w:hAnsi="Times New Roman" w:cs="Times New Roman"/>
                <w:b/>
                <w:bCs/>
                <w:color w:val="000000" w:themeColor="text1"/>
              </w:rPr>
              <w:t>Application to ICICI Bank v. Shanti Devi Sharma &amp; Others</w:t>
            </w:r>
          </w:p>
        </w:tc>
      </w:tr>
      <w:tr w:rsidRPr="00162A4F" w:rsidR="001E3C10" w14:paraId="70AA9A8B" w14:textId="77777777">
        <w:tc>
          <w:tcPr>
            <w:tcW w:w="1800" w:type="dxa"/>
            <w:shd w:val="clear" w:color="auto" w:fill="F2F2F2"/>
            <w:tcMar>
              <w:top w:w="100" w:type="dxa"/>
              <w:left w:w="150" w:type="dxa"/>
              <w:bottom w:w="100" w:type="dxa"/>
              <w:right w:w="150" w:type="dxa"/>
            </w:tcMar>
            <w:vAlign w:val="center"/>
          </w:tcPr>
          <w:p w:rsidRPr="00162A4F" w:rsidR="001E3C10" w:rsidRDefault="00000000" w14:paraId="2730E4FB" w14:textId="77777777">
            <w:pPr>
              <w:rPr>
                <w:rFonts w:ascii="Times New Roman" w:hAnsi="Times New Roman" w:cs="Times New Roman"/>
                <w:color w:val="000000" w:themeColor="text1"/>
              </w:rPr>
            </w:pPr>
            <w:r w:rsidRPr="00162A4F">
              <w:rPr>
                <w:rFonts w:ascii="Times New Roman" w:hAnsi="Times New Roman" w:cs="Times New Roman"/>
                <w:b/>
                <w:bCs/>
                <w:color w:val="000000" w:themeColor="text1"/>
              </w:rPr>
              <w:t>Issue</w:t>
            </w:r>
          </w:p>
        </w:tc>
        <w:tc>
          <w:tcPr>
            <w:tcW w:w="7550" w:type="dxa"/>
            <w:shd w:val="clear" w:color="auto" w:fill="F2F2F2"/>
            <w:tcMar>
              <w:top w:w="100" w:type="dxa"/>
              <w:left w:w="150" w:type="dxa"/>
              <w:bottom w:w="100" w:type="dxa"/>
              <w:right w:w="150" w:type="dxa"/>
            </w:tcMar>
            <w:vAlign w:val="center"/>
          </w:tcPr>
          <w:p w:rsidRPr="00162A4F" w:rsidR="001E3C10" w:rsidRDefault="00000000" w14:paraId="19CD3658" w14:textId="77777777">
            <w:pPr>
              <w:rPr>
                <w:rFonts w:ascii="Times New Roman" w:hAnsi="Times New Roman" w:cs="Times New Roman"/>
                <w:color w:val="000000" w:themeColor="text1"/>
              </w:rPr>
            </w:pPr>
            <w:r w:rsidRPr="00162A4F">
              <w:rPr>
                <w:rFonts w:ascii="Times New Roman" w:hAnsi="Times New Roman" w:cs="Times New Roman"/>
                <w:color w:val="000000" w:themeColor="text1"/>
              </w:rPr>
              <w:t>Should the Delhi High Court's observations condemning ICICI Bank's use of 'musclemen and goons' for loan recovery be expunged, given the ongoing criminal investigation into the matter?</w:t>
            </w:r>
          </w:p>
        </w:tc>
      </w:tr>
      <w:tr w:rsidRPr="00162A4F" w:rsidR="001E3C10" w14:paraId="1878A6A0" w14:textId="77777777">
        <w:tc>
          <w:tcPr>
            <w:tcW w:w="1800" w:type="dxa"/>
            <w:shd w:val="clear" w:color="auto" w:fill="FFFFFF"/>
            <w:tcMar>
              <w:top w:w="100" w:type="dxa"/>
              <w:left w:w="150" w:type="dxa"/>
              <w:bottom w:w="100" w:type="dxa"/>
              <w:right w:w="150" w:type="dxa"/>
            </w:tcMar>
            <w:vAlign w:val="center"/>
          </w:tcPr>
          <w:p w:rsidRPr="00162A4F" w:rsidR="001E3C10" w:rsidRDefault="00000000" w14:paraId="5BF7B8C3" w14:textId="77777777">
            <w:pPr>
              <w:rPr>
                <w:rFonts w:ascii="Times New Roman" w:hAnsi="Times New Roman" w:cs="Times New Roman"/>
                <w:color w:val="000000" w:themeColor="text1"/>
              </w:rPr>
            </w:pPr>
            <w:r w:rsidRPr="00162A4F">
              <w:rPr>
                <w:rFonts w:ascii="Times New Roman" w:hAnsi="Times New Roman" w:cs="Times New Roman"/>
                <w:b/>
                <w:bCs/>
                <w:color w:val="000000" w:themeColor="text1"/>
              </w:rPr>
              <w:lastRenderedPageBreak/>
              <w:t>Rule</w:t>
            </w:r>
          </w:p>
        </w:tc>
        <w:tc>
          <w:tcPr>
            <w:tcW w:w="7550" w:type="dxa"/>
            <w:shd w:val="clear" w:color="auto" w:fill="FFFFFF"/>
            <w:tcMar>
              <w:top w:w="100" w:type="dxa"/>
              <w:left w:w="150" w:type="dxa"/>
              <w:bottom w:w="100" w:type="dxa"/>
              <w:right w:w="150" w:type="dxa"/>
            </w:tcMar>
            <w:vAlign w:val="center"/>
          </w:tcPr>
          <w:p w:rsidRPr="00162A4F" w:rsidR="001E3C10" w:rsidRDefault="00000000" w14:paraId="4977EAD4" w14:textId="77777777">
            <w:pPr>
              <w:rPr>
                <w:rFonts w:ascii="Times New Roman" w:hAnsi="Times New Roman" w:cs="Times New Roman"/>
                <w:color w:val="000000" w:themeColor="text1"/>
              </w:rPr>
            </w:pPr>
            <w:r w:rsidRPr="00162A4F">
              <w:rPr>
                <w:rFonts w:ascii="Times New Roman" w:hAnsi="Times New Roman" w:cs="Times New Roman"/>
                <w:color w:val="000000" w:themeColor="text1"/>
              </w:rPr>
              <w:t>Observations that could prejudice an ongoing investigation may warrant expunging, but if a court has already clarified that its remarks will not influence that investigation, the aggrieved party is not substantially prejudiced; separately, RBI guidelines hold banks responsible, as principals, for their recovery agents' conduct.</w:t>
            </w:r>
          </w:p>
        </w:tc>
      </w:tr>
      <w:tr w:rsidRPr="00162A4F" w:rsidR="001E3C10" w14:paraId="64A8977D" w14:textId="77777777">
        <w:tc>
          <w:tcPr>
            <w:tcW w:w="1800" w:type="dxa"/>
            <w:shd w:val="clear" w:color="auto" w:fill="F2F2F2"/>
            <w:tcMar>
              <w:top w:w="100" w:type="dxa"/>
              <w:left w:w="150" w:type="dxa"/>
              <w:bottom w:w="100" w:type="dxa"/>
              <w:right w:w="150" w:type="dxa"/>
            </w:tcMar>
            <w:vAlign w:val="center"/>
          </w:tcPr>
          <w:p w:rsidRPr="00162A4F" w:rsidR="001E3C10" w:rsidRDefault="00000000" w14:paraId="679D1945" w14:textId="77777777">
            <w:pPr>
              <w:rPr>
                <w:rFonts w:ascii="Times New Roman" w:hAnsi="Times New Roman" w:cs="Times New Roman"/>
                <w:color w:val="000000" w:themeColor="text1"/>
              </w:rPr>
            </w:pPr>
            <w:r w:rsidRPr="00162A4F">
              <w:rPr>
                <w:rFonts w:ascii="Times New Roman" w:hAnsi="Times New Roman" w:cs="Times New Roman"/>
                <w:b/>
                <w:bCs/>
                <w:color w:val="000000" w:themeColor="text1"/>
              </w:rPr>
              <w:t>Application</w:t>
            </w:r>
          </w:p>
        </w:tc>
        <w:tc>
          <w:tcPr>
            <w:tcW w:w="7550" w:type="dxa"/>
            <w:shd w:val="clear" w:color="auto" w:fill="F2F2F2"/>
            <w:tcMar>
              <w:top w:w="100" w:type="dxa"/>
              <w:left w:w="150" w:type="dxa"/>
              <w:bottom w:w="100" w:type="dxa"/>
              <w:right w:w="150" w:type="dxa"/>
            </w:tcMar>
            <w:vAlign w:val="center"/>
          </w:tcPr>
          <w:p w:rsidRPr="00162A4F" w:rsidR="001E3C10" w:rsidRDefault="00000000" w14:paraId="10DF6168" w14:textId="77777777">
            <w:pPr>
              <w:rPr>
                <w:rFonts w:ascii="Times New Roman" w:hAnsi="Times New Roman" w:cs="Times New Roman"/>
                <w:color w:val="000000" w:themeColor="text1"/>
              </w:rPr>
            </w:pPr>
            <w:r w:rsidRPr="00162A4F">
              <w:rPr>
                <w:rFonts w:ascii="Times New Roman" w:hAnsi="Times New Roman" w:cs="Times New Roman"/>
                <w:color w:val="000000" w:themeColor="text1"/>
              </w:rPr>
              <w:t>The High Court had already clarified that its observations would not affect the ongoing investigation or future proceedings against the bank; the Supreme Court found no substantial prejudice to the bank in either expunging or retaining the clarified observations.</w:t>
            </w:r>
          </w:p>
        </w:tc>
      </w:tr>
      <w:tr w:rsidRPr="00162A4F" w:rsidR="001E3C10" w14:paraId="2D517987" w14:textId="77777777">
        <w:tc>
          <w:tcPr>
            <w:tcW w:w="1800" w:type="dxa"/>
            <w:shd w:val="clear" w:color="auto" w:fill="FFFFFF"/>
            <w:tcMar>
              <w:top w:w="100" w:type="dxa"/>
              <w:left w:w="150" w:type="dxa"/>
              <w:bottom w:w="100" w:type="dxa"/>
              <w:right w:w="150" w:type="dxa"/>
            </w:tcMar>
            <w:vAlign w:val="center"/>
          </w:tcPr>
          <w:p w:rsidRPr="00162A4F" w:rsidR="001E3C10" w:rsidRDefault="00000000" w14:paraId="32C885E8" w14:textId="77777777">
            <w:pPr>
              <w:rPr>
                <w:rFonts w:ascii="Times New Roman" w:hAnsi="Times New Roman" w:cs="Times New Roman"/>
                <w:color w:val="000000" w:themeColor="text1"/>
              </w:rPr>
            </w:pPr>
            <w:r w:rsidRPr="00162A4F">
              <w:rPr>
                <w:rFonts w:ascii="Times New Roman" w:hAnsi="Times New Roman" w:cs="Times New Roman"/>
                <w:b/>
                <w:bCs/>
                <w:color w:val="000000" w:themeColor="text1"/>
              </w:rPr>
              <w:t>Conclusion</w:t>
            </w:r>
          </w:p>
        </w:tc>
        <w:tc>
          <w:tcPr>
            <w:tcW w:w="7550" w:type="dxa"/>
            <w:shd w:val="clear" w:color="auto" w:fill="FFFFFF"/>
            <w:tcMar>
              <w:top w:w="100" w:type="dxa"/>
              <w:left w:w="150" w:type="dxa"/>
              <w:bottom w:w="100" w:type="dxa"/>
              <w:right w:w="150" w:type="dxa"/>
            </w:tcMar>
            <w:vAlign w:val="center"/>
          </w:tcPr>
          <w:p w:rsidRPr="00162A4F" w:rsidR="001E3C10" w:rsidRDefault="00000000" w14:paraId="51C5D38C" w14:textId="77777777">
            <w:pPr>
              <w:rPr>
                <w:rFonts w:ascii="Times New Roman" w:hAnsi="Times New Roman" w:cs="Times New Roman"/>
                <w:color w:val="000000" w:themeColor="text1"/>
              </w:rPr>
            </w:pPr>
            <w:r w:rsidRPr="00162A4F">
              <w:rPr>
                <w:rFonts w:ascii="Times New Roman" w:hAnsi="Times New Roman" w:cs="Times New Roman"/>
                <w:color w:val="000000" w:themeColor="text1"/>
              </w:rPr>
              <w:t>The Supreme Court declined to expunge the observations, directed the investigation to be completed within three months, ordered costs of Rs 25,000 against the bank, and reminded financial institutions that recovery must follow lawful, dignified processes.</w:t>
            </w:r>
          </w:p>
        </w:tc>
      </w:tr>
    </w:tbl>
    <w:p w:rsidRPr="00162A4F" w:rsidR="00F77B6B" w:rsidRDefault="00F77B6B" w14:paraId="29AFF774" w14:textId="77777777">
      <w:pPr>
        <w:rPr>
          <w:rFonts w:ascii="Times New Roman" w:hAnsi="Times New Roman" w:cs="Times New Roman"/>
          <w:color w:val="000000" w:themeColor="text1"/>
        </w:rPr>
      </w:pPr>
    </w:p>
    <w:sectPr w:rsidRPr="00162A4F" w:rsidR="00F77B6B">
      <w:headerReference w:type="default" r:id="rId7"/>
      <w:footerReference w:type="default" r:id="rId8"/>
      <w:pgSz w:w="12240" w:h="15840"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50B1C" w:rsidRDefault="00550B1C" w14:paraId="1CBC20AC" w14:textId="77777777">
      <w:r>
        <w:separator/>
      </w:r>
    </w:p>
  </w:endnote>
  <w:endnote w:type="continuationSeparator" w:id="0">
    <w:p w:rsidR="00550B1C" w:rsidRDefault="00550B1C" w14:paraId="03680DA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E3C10" w:rsidRDefault="00000000" w14:paraId="09C9EA01" w14:textId="29D40B2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162A4F">
      <w:rPr>
        <w:noProof/>
        <w:color w:val="595959"/>
        <w:sz w:val="18"/>
        <w:szCs w:val="18"/>
      </w:rPr>
      <w:t>3</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162A4F">
      <w:rPr>
        <w:noProof/>
        <w:color w:val="595959"/>
        <w:sz w:val="18"/>
        <w:szCs w:val="18"/>
      </w:rPr>
      <w:t>4</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50B1C" w:rsidRDefault="00550B1C" w14:paraId="52EBFA3D" w14:textId="77777777">
      <w:r>
        <w:separator/>
      </w:r>
    </w:p>
  </w:footnote>
  <w:footnote w:type="continuationSeparator" w:id="0">
    <w:p w:rsidR="00550B1C" w:rsidRDefault="00550B1C" w14:paraId="0EDF3E7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99203D" w:rsidR="001E3C10" w:rsidP="0099203D" w:rsidRDefault="001E3C10" w14:paraId="50115705" w14:textId="6F1304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C74C0"/>
    <w:multiLevelType w:val="hybridMultilevel"/>
    <w:tmpl w:val="C3DA3E18"/>
    <w:lvl w:ilvl="0" w:tplc="831409DA">
      <w:start w:val="1"/>
      <w:numFmt w:val="bullet"/>
      <w:lvlText w:val="●"/>
      <w:lvlJc w:val="left"/>
      <w:pPr>
        <w:ind w:left="720" w:hanging="360"/>
      </w:pPr>
    </w:lvl>
    <w:lvl w:ilvl="1" w:tplc="42065230">
      <w:start w:val="1"/>
      <w:numFmt w:val="bullet"/>
      <w:lvlText w:val="○"/>
      <w:lvlJc w:val="left"/>
      <w:pPr>
        <w:ind w:left="1440" w:hanging="360"/>
      </w:pPr>
    </w:lvl>
    <w:lvl w:ilvl="2" w:tplc="8E32819A">
      <w:start w:val="1"/>
      <w:numFmt w:val="bullet"/>
      <w:lvlText w:val="■"/>
      <w:lvlJc w:val="left"/>
      <w:pPr>
        <w:ind w:left="2160" w:hanging="360"/>
      </w:pPr>
    </w:lvl>
    <w:lvl w:ilvl="3" w:tplc="8BD02D16">
      <w:start w:val="1"/>
      <w:numFmt w:val="bullet"/>
      <w:lvlText w:val="●"/>
      <w:lvlJc w:val="left"/>
      <w:pPr>
        <w:ind w:left="2880" w:hanging="360"/>
      </w:pPr>
    </w:lvl>
    <w:lvl w:ilvl="4" w:tplc="28467A16">
      <w:start w:val="1"/>
      <w:numFmt w:val="bullet"/>
      <w:lvlText w:val="○"/>
      <w:lvlJc w:val="left"/>
      <w:pPr>
        <w:ind w:left="3600" w:hanging="360"/>
      </w:pPr>
    </w:lvl>
    <w:lvl w:ilvl="5" w:tplc="15246102">
      <w:start w:val="1"/>
      <w:numFmt w:val="bullet"/>
      <w:lvlText w:val="■"/>
      <w:lvlJc w:val="left"/>
      <w:pPr>
        <w:ind w:left="4320" w:hanging="360"/>
      </w:pPr>
    </w:lvl>
    <w:lvl w:ilvl="6" w:tplc="F17CBA40">
      <w:start w:val="1"/>
      <w:numFmt w:val="bullet"/>
      <w:lvlText w:val="●"/>
      <w:lvlJc w:val="left"/>
      <w:pPr>
        <w:ind w:left="5040" w:hanging="360"/>
      </w:pPr>
    </w:lvl>
    <w:lvl w:ilvl="7" w:tplc="BDB08F02">
      <w:start w:val="1"/>
      <w:numFmt w:val="bullet"/>
      <w:lvlText w:val="●"/>
      <w:lvlJc w:val="left"/>
      <w:pPr>
        <w:ind w:left="5760" w:hanging="360"/>
      </w:pPr>
    </w:lvl>
    <w:lvl w:ilvl="8" w:tplc="E2CA0874">
      <w:start w:val="1"/>
      <w:numFmt w:val="bullet"/>
      <w:lvlText w:val="●"/>
      <w:lvlJc w:val="left"/>
      <w:pPr>
        <w:ind w:left="6480" w:hanging="360"/>
      </w:pPr>
    </w:lvl>
  </w:abstractNum>
  <w:abstractNum w:abstractNumId="1" w15:restartNumberingAfterBreak="0">
    <w:nsid w:val="3C234617"/>
    <w:multiLevelType w:val="hybridMultilevel"/>
    <w:tmpl w:val="405EE9FC"/>
    <w:lvl w:ilvl="0" w:tplc="FF2CE9E2">
      <w:start w:val="1"/>
      <w:numFmt w:val="bullet"/>
      <w:lvlText w:val="•"/>
      <w:lvlJc w:val="left"/>
      <w:pPr>
        <w:ind w:left="720" w:hanging="360"/>
      </w:pPr>
    </w:lvl>
    <w:lvl w:ilvl="1" w:tplc="03E4B8A0">
      <w:numFmt w:val="decimal"/>
      <w:lvlText w:val=""/>
      <w:lvlJc w:val="left"/>
    </w:lvl>
    <w:lvl w:ilvl="2" w:tplc="730E3BF8">
      <w:numFmt w:val="decimal"/>
      <w:lvlText w:val=""/>
      <w:lvlJc w:val="left"/>
    </w:lvl>
    <w:lvl w:ilvl="3" w:tplc="F314F0C2">
      <w:numFmt w:val="decimal"/>
      <w:lvlText w:val=""/>
      <w:lvlJc w:val="left"/>
    </w:lvl>
    <w:lvl w:ilvl="4" w:tplc="D8524138">
      <w:numFmt w:val="decimal"/>
      <w:lvlText w:val=""/>
      <w:lvlJc w:val="left"/>
    </w:lvl>
    <w:lvl w:ilvl="5" w:tplc="5570190C">
      <w:numFmt w:val="decimal"/>
      <w:lvlText w:val=""/>
      <w:lvlJc w:val="left"/>
    </w:lvl>
    <w:lvl w:ilvl="6" w:tplc="4F5E31EC">
      <w:numFmt w:val="decimal"/>
      <w:lvlText w:val=""/>
      <w:lvlJc w:val="left"/>
    </w:lvl>
    <w:lvl w:ilvl="7" w:tplc="873A30F8">
      <w:numFmt w:val="decimal"/>
      <w:lvlText w:val=""/>
      <w:lvlJc w:val="left"/>
    </w:lvl>
    <w:lvl w:ilvl="8" w:tplc="02C4797C">
      <w:numFmt w:val="decimal"/>
      <w:lvlText w:val=""/>
      <w:lvlJc w:val="left"/>
    </w:lvl>
  </w:abstractNum>
  <w:num w:numId="1" w16cid:durableId="3768979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C10"/>
    <w:rsid w:val="00162A4F"/>
    <w:rsid w:val="001E20A8"/>
    <w:rsid w:val="001E3C10"/>
    <w:rsid w:val="002E1948"/>
    <w:rsid w:val="004B7AE2"/>
    <w:rsid w:val="00504D25"/>
    <w:rsid w:val="00550B1C"/>
    <w:rsid w:val="00653825"/>
    <w:rsid w:val="00831B5A"/>
    <w:rsid w:val="0099203D"/>
    <w:rsid w:val="00D82D27"/>
    <w:rsid w:val="00E76B28"/>
    <w:rsid w:val="00ED209F"/>
    <w:rsid w:val="00F77B6B"/>
    <w:rsid w:val="00FA52FF"/>
    <w:rsid w:val="77DE20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A5B80"/>
  <w15:docId w15:val="{590717AC-6D47-45AA-B5E1-8F054D975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B7AE2"/>
    <w:pPr>
      <w:tabs>
        <w:tab w:val="center" w:pos="4513"/>
        <w:tab w:val="right" w:pos="9026"/>
      </w:tabs>
    </w:pPr>
  </w:style>
  <w:style w:type="character" w:styleId="HeaderChar" w:customStyle="1">
    <w:name w:val="Header Char"/>
    <w:basedOn w:val="DefaultParagraphFont"/>
    <w:link w:val="Header"/>
    <w:uiPriority w:val="99"/>
    <w:rsid w:val="004B7AE2"/>
  </w:style>
  <w:style w:type="paragraph" w:styleId="Footer">
    <w:name w:val="footer"/>
    <w:basedOn w:val="Normal"/>
    <w:link w:val="FooterChar"/>
    <w:uiPriority w:val="99"/>
    <w:unhideWhenUsed/>
    <w:rsid w:val="004B7AE2"/>
    <w:pPr>
      <w:tabs>
        <w:tab w:val="center" w:pos="4513"/>
        <w:tab w:val="right" w:pos="9026"/>
      </w:tabs>
    </w:pPr>
  </w:style>
  <w:style w:type="character" w:styleId="FooterChar" w:customStyle="1">
    <w:name w:val="Footer Char"/>
    <w:basedOn w:val="DefaultParagraphFont"/>
    <w:link w:val="Footer"/>
    <w:uiPriority w:val="99"/>
    <w:rsid w:val="004B7AE2"/>
  </w:style>
  <w:style w:type="character" w:styleId="Heading1Char" w:customStyle="1">
    <w:name w:val="Heading 1 Char"/>
    <w:basedOn w:val="DefaultParagraphFont"/>
    <w:link w:val="Heading1"/>
    <w:uiPriority w:val="9"/>
    <w:rsid w:val="00504D25"/>
    <w:rPr>
      <w:color w:val="2E74B5"/>
      <w:sz w:val="32"/>
      <w:szCs w:val="32"/>
    </w:rPr>
  </w:style>
  <w:style w:type="table" w:styleId="TableGrid">
    <w:name w:val="Table Grid"/>
    <w:basedOn w:val="TableNormal"/>
    <w:uiPriority w:val="39"/>
    <w:rsid w:val="00504D2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Guest User</lastModifiedBy>
  <revision>12</revision>
  <dcterms:created xsi:type="dcterms:W3CDTF">2026-08-31T13:20:00.0000000Z</dcterms:created>
  <dcterms:modified xsi:type="dcterms:W3CDTF">2026-08-31T15:17:36.1719286Z</dcterms:modified>
</coreProperties>
</file>