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B21B3E" w:rsidR="005D3C47" w:rsidRDefault="005D3C47" w14:paraId="29A975EA" w14:textId="77777777">
      <w:pPr>
        <w:spacing w:before="2200"/>
        <w:rPr>
          <w:rFonts w:ascii="Times New Roman" w:hAnsi="Times New Roman" w:cs="Times New Roman"/>
          <w:color w:val="000000" w:themeColor="text1"/>
          <w:sz w:val="24"/>
          <w:szCs w:val="24"/>
        </w:rPr>
      </w:pPr>
    </w:p>
    <w:p w:rsidRPr="00B21B3E" w:rsidR="005D3C47" w:rsidRDefault="00000000" w14:paraId="651D4F26" w14:textId="77777777">
      <w:pPr>
        <w:spacing w:after="100"/>
        <w:jc w:val="center"/>
        <w:rPr>
          <w:rFonts w:ascii="Times New Roman" w:hAnsi="Times New Roman" w:cs="Times New Roman"/>
          <w:color w:val="000000" w:themeColor="text1"/>
          <w:sz w:val="36"/>
          <w:szCs w:val="36"/>
        </w:rPr>
      </w:pPr>
      <w:r w:rsidRPr="00B21B3E">
        <w:rPr>
          <w:rFonts w:ascii="Times New Roman" w:hAnsi="Times New Roman" w:cs="Times New Roman"/>
          <w:b/>
          <w:bCs/>
          <w:color w:val="000000" w:themeColor="text1"/>
          <w:sz w:val="36"/>
          <w:szCs w:val="36"/>
        </w:rPr>
        <w:t>CASE ANALYSIS REPORT</w:t>
      </w:r>
    </w:p>
    <w:p w:rsidRPr="00B21B3E" w:rsidR="005D3C47" w:rsidP="00BA4AD2" w:rsidRDefault="00000000" w14:paraId="2B1C0321" w14:textId="2FF18A3D">
      <w:pPr>
        <w:spacing w:after="600"/>
        <w:jc w:val="center"/>
        <w:rPr>
          <w:rFonts w:ascii="Times New Roman" w:hAnsi="Times New Roman" w:cs="Times New Roman"/>
          <w:color w:val="000000" w:themeColor="text1"/>
          <w:sz w:val="36"/>
          <w:szCs w:val="36"/>
        </w:rPr>
      </w:pPr>
      <w:r w:rsidRPr="00B21B3E">
        <w:rPr>
          <w:rFonts w:ascii="Times New Roman" w:hAnsi="Times New Roman" w:cs="Times New Roman"/>
          <w:b/>
          <w:bCs/>
          <w:i/>
          <w:iCs/>
          <w:color w:val="000000" w:themeColor="text1"/>
          <w:sz w:val="36"/>
          <w:szCs w:val="36"/>
        </w:rPr>
        <w:t>Shreya Singhal v. Union of India (2015) 5 SCC 1</w:t>
      </w:r>
    </w:p>
    <w:p w:rsidRPr="00B21B3E" w:rsidR="00BA4AD2" w:rsidP="00BA4AD2" w:rsidRDefault="00BA4AD2" w14:paraId="21EF6110" w14:textId="77777777">
      <w:pPr>
        <w:spacing w:after="600"/>
        <w:jc w:val="center"/>
        <w:rPr>
          <w:rFonts w:ascii="Times New Roman" w:hAnsi="Times New Roman" w:cs="Times New Roman"/>
          <w:color w:val="000000" w:themeColor="text1"/>
          <w:sz w:val="24"/>
          <w:szCs w:val="24"/>
        </w:rPr>
      </w:pPr>
    </w:p>
    <w:p w:rsidR="006A633D" w:rsidRDefault="006A633D" w14:paraId="07C2DB15" w14:textId="77777777">
      <w:pPr>
        <w:spacing w:after="200"/>
        <w:jc w:val="center"/>
        <w:rPr>
          <w:rFonts w:ascii="Times New Roman" w:hAnsi="Times New Roman" w:cs="Times New Roman"/>
          <w:b/>
          <w:bCs/>
          <w:color w:val="000000" w:themeColor="text1"/>
          <w:sz w:val="28"/>
          <w:szCs w:val="28"/>
        </w:rPr>
      </w:pPr>
    </w:p>
    <w:p w:rsidR="006A633D" w:rsidRDefault="006A633D" w14:paraId="23A43AC0" w14:textId="77777777">
      <w:pPr>
        <w:spacing w:after="200"/>
        <w:jc w:val="center"/>
        <w:rPr>
          <w:rFonts w:ascii="Times New Roman" w:hAnsi="Times New Roman" w:cs="Times New Roman"/>
          <w:b/>
          <w:bCs/>
          <w:color w:val="000000" w:themeColor="text1"/>
          <w:sz w:val="28"/>
          <w:szCs w:val="28"/>
        </w:rPr>
      </w:pPr>
    </w:p>
    <w:p w:rsidRPr="00B737C0" w:rsidR="005D3C47" w:rsidRDefault="00000000" w14:paraId="58BB7388" w14:textId="595B6E53">
      <w:pPr>
        <w:spacing w:after="200"/>
        <w:jc w:val="center"/>
        <w:rPr>
          <w:rFonts w:ascii="Times New Roman" w:hAnsi="Times New Roman" w:cs="Times New Roman"/>
          <w:color w:val="000000" w:themeColor="text1"/>
          <w:sz w:val="28"/>
          <w:szCs w:val="28"/>
        </w:rPr>
      </w:pPr>
      <w:r w:rsidRPr="00B737C0">
        <w:rPr>
          <w:rFonts w:ascii="Times New Roman" w:hAnsi="Times New Roman" w:cs="Times New Roman"/>
          <w:b/>
          <w:bCs/>
          <w:color w:val="000000" w:themeColor="text1"/>
          <w:sz w:val="28"/>
          <w:szCs w:val="28"/>
        </w:rPr>
        <w:t xml:space="preserve">Student Name:  </w:t>
      </w:r>
      <w:r w:rsidRPr="00B737C0">
        <w:rPr>
          <w:rFonts w:ascii="Times New Roman" w:hAnsi="Times New Roman" w:cs="Times New Roman"/>
          <w:color w:val="000000" w:themeColor="text1"/>
          <w:sz w:val="28"/>
          <w:szCs w:val="28"/>
        </w:rPr>
        <w:t>Deenah N</w:t>
      </w:r>
    </w:p>
    <w:p w:rsidRPr="00B737C0" w:rsidR="005D3C47" w:rsidRDefault="00000000" w14:paraId="2A4C0FBC" w14:textId="77777777">
      <w:pPr>
        <w:spacing w:after="200"/>
        <w:jc w:val="center"/>
        <w:rPr>
          <w:rFonts w:ascii="Times New Roman" w:hAnsi="Times New Roman" w:cs="Times New Roman"/>
          <w:color w:val="000000" w:themeColor="text1"/>
          <w:sz w:val="28"/>
          <w:szCs w:val="28"/>
        </w:rPr>
      </w:pPr>
      <w:r w:rsidRPr="00B737C0">
        <w:rPr>
          <w:rFonts w:ascii="Times New Roman" w:hAnsi="Times New Roman" w:cs="Times New Roman"/>
          <w:b/>
          <w:bCs/>
          <w:color w:val="000000" w:themeColor="text1"/>
          <w:sz w:val="28"/>
          <w:szCs w:val="28"/>
        </w:rPr>
        <w:t xml:space="preserve">Register Number:  </w:t>
      </w:r>
      <w:r w:rsidRPr="00B737C0">
        <w:rPr>
          <w:rFonts w:ascii="Times New Roman" w:hAnsi="Times New Roman" w:cs="Times New Roman"/>
          <w:color w:val="000000" w:themeColor="text1"/>
          <w:sz w:val="28"/>
          <w:szCs w:val="28"/>
        </w:rPr>
        <w:t>5272510203</w:t>
      </w:r>
    </w:p>
    <w:p w:rsidRPr="00B737C0" w:rsidR="005D3C47" w:rsidRDefault="00000000" w14:paraId="43046548" w14:textId="53906A80">
      <w:pPr>
        <w:spacing w:after="200"/>
        <w:jc w:val="center"/>
        <w:rPr>
          <w:rFonts w:ascii="Times New Roman" w:hAnsi="Times New Roman" w:cs="Times New Roman"/>
          <w:color w:val="000000" w:themeColor="text1"/>
          <w:sz w:val="28"/>
          <w:szCs w:val="28"/>
        </w:rPr>
      </w:pPr>
      <w:r w:rsidRPr="00B737C0">
        <w:rPr>
          <w:rFonts w:ascii="Times New Roman" w:hAnsi="Times New Roman" w:cs="Times New Roman"/>
          <w:b/>
          <w:bCs/>
          <w:color w:val="000000" w:themeColor="text1"/>
          <w:sz w:val="28"/>
          <w:szCs w:val="28"/>
        </w:rPr>
        <w:t xml:space="preserve">Course:  </w:t>
      </w:r>
      <w:r w:rsidRPr="00B737C0">
        <w:rPr>
          <w:rFonts w:ascii="Times New Roman" w:hAnsi="Times New Roman" w:cs="Times New Roman"/>
          <w:color w:val="000000" w:themeColor="text1"/>
          <w:sz w:val="28"/>
          <w:szCs w:val="28"/>
        </w:rPr>
        <w:t>B.</w:t>
      </w:r>
      <w:r w:rsidR="006A633D">
        <w:rPr>
          <w:rFonts w:ascii="Times New Roman" w:hAnsi="Times New Roman" w:cs="Times New Roman"/>
          <w:color w:val="000000" w:themeColor="text1"/>
          <w:sz w:val="28"/>
          <w:szCs w:val="28"/>
        </w:rPr>
        <w:t>c</w:t>
      </w:r>
      <w:r w:rsidRPr="00B737C0">
        <w:rPr>
          <w:rFonts w:ascii="Times New Roman" w:hAnsi="Times New Roman" w:cs="Times New Roman"/>
          <w:color w:val="000000" w:themeColor="text1"/>
          <w:sz w:val="28"/>
          <w:szCs w:val="28"/>
        </w:rPr>
        <w:t>om Fintech with AI</w:t>
      </w:r>
    </w:p>
    <w:p w:rsidRPr="00B21B3E" w:rsidR="005D3C47" w:rsidRDefault="005D3C47" w14:paraId="1AAE47A9" w14:textId="77777777">
      <w:pPr>
        <w:spacing w:before="2000"/>
        <w:rPr>
          <w:rFonts w:ascii="Times New Roman" w:hAnsi="Times New Roman" w:cs="Times New Roman"/>
          <w:color w:val="000000" w:themeColor="text1"/>
          <w:sz w:val="24"/>
          <w:szCs w:val="24"/>
        </w:rPr>
      </w:pPr>
    </w:p>
    <w:p w:rsidRPr="00B21B3E" w:rsidR="005D3C47" w:rsidRDefault="005D3C47" w14:paraId="2AFFE355" w14:textId="77777777">
      <w:pPr>
        <w:rPr>
          <w:rFonts w:ascii="Times New Roman" w:hAnsi="Times New Roman" w:cs="Times New Roman"/>
          <w:color w:val="000000" w:themeColor="text1"/>
          <w:sz w:val="24"/>
          <w:szCs w:val="24"/>
        </w:rPr>
        <w:sectPr w:rsidRPr="00B21B3E" w:rsidR="005D3C47">
          <w:pgSz w:w="12240" w:h="15840" w:orient="portrait"/>
          <w:pgMar w:top="1440" w:right="1440" w:bottom="1440" w:left="1440" w:header="708" w:footer="708" w:gutter="0"/>
          <w:cols w:space="720"/>
          <w:docGrid w:linePitch="360"/>
        </w:sectPr>
      </w:pPr>
    </w:p>
    <w:p w:rsidRPr="00B21B3E" w:rsidR="005D3C47" w:rsidP="00057D55" w:rsidRDefault="00000000" w14:paraId="35C0EB8D" w14:textId="77777777">
      <w:pPr>
        <w:pBdr>
          <w:bottom w:val="single" w:color="1F3864" w:sz="6" w:space="4"/>
        </w:pBdr>
        <w:spacing w:after="300"/>
        <w:jc w:val="center"/>
        <w:rPr>
          <w:rFonts w:ascii="Times New Roman" w:hAnsi="Times New Roman" w:cs="Times New Roman"/>
          <w:color w:val="000000" w:themeColor="text1"/>
          <w:sz w:val="24"/>
          <w:szCs w:val="24"/>
        </w:rPr>
      </w:pPr>
      <w:r w:rsidRPr="00B21B3E">
        <w:rPr>
          <w:rFonts w:ascii="Times New Roman" w:hAnsi="Times New Roman" w:cs="Times New Roman"/>
          <w:b/>
          <w:bCs/>
          <w:color w:val="000000" w:themeColor="text1"/>
          <w:sz w:val="24"/>
          <w:szCs w:val="24"/>
        </w:rPr>
        <w:lastRenderedPageBreak/>
        <w:t>Table of Contents</w:t>
      </w:r>
    </w:p>
    <w:p w:rsidR="005D3C47" w:rsidRDefault="005D3C47" w14:paraId="1A98BEC5" w14:textId="77777777">
      <w:pPr>
        <w:rPr>
          <w:rFonts w:ascii="Times New Roman" w:hAnsi="Times New Roman" w:cs="Times New Roman"/>
          <w:b/>
          <w:bCs/>
          <w:color w:val="000000" w:themeColor="text1"/>
          <w:sz w:val="24"/>
          <w:szCs w:val="24"/>
        </w:rPr>
      </w:pPr>
    </w:p>
    <w:tbl>
      <w:tblPr>
        <w:tblStyle w:val="TableGrid"/>
        <w:tblW w:w="0" w:type="auto"/>
        <w:tblLook w:val="04A0" w:firstRow="1" w:lastRow="0" w:firstColumn="1" w:lastColumn="0" w:noHBand="0" w:noVBand="1"/>
      </w:tblPr>
      <w:tblGrid>
        <w:gridCol w:w="1129"/>
        <w:gridCol w:w="8221"/>
      </w:tblGrid>
      <w:tr w:rsidRPr="00DF17D5" w:rsidR="00057D55" w:rsidTr="00E0689C" w14:paraId="01DB5A9E" w14:textId="77777777">
        <w:trPr>
          <w:trHeight w:val="1077"/>
        </w:trPr>
        <w:tc>
          <w:tcPr>
            <w:tcW w:w="1129" w:type="dxa"/>
          </w:tcPr>
          <w:p w:rsidRPr="00DF17D5" w:rsidR="00057D55" w:rsidP="00E0689C" w:rsidRDefault="00057D55" w14:paraId="490B376C" w14:textId="77777777">
            <w:pPr>
              <w:pStyle w:val="Heading1"/>
              <w:spacing w:before="360" w:after="200"/>
              <w:jc w:val="both"/>
              <w:rPr>
                <w:rFonts w:ascii="Times New Roman" w:hAnsi="Times New Roman" w:cs="Times New Roman"/>
                <w:b/>
                <w:bCs/>
                <w:color w:val="000000" w:themeColor="text1"/>
                <w:sz w:val="24"/>
                <w:szCs w:val="24"/>
              </w:rPr>
            </w:pPr>
          </w:p>
          <w:p w:rsidRPr="00DF17D5" w:rsidR="00057D55" w:rsidP="00E0689C" w:rsidRDefault="00057D55" w14:paraId="4E59F7DC" w14:textId="77777777">
            <w:pPr>
              <w:pStyle w:val="Heading1"/>
              <w:spacing w:before="360" w:after="200"/>
              <w:jc w:val="both"/>
              <w:rPr>
                <w:rFonts w:ascii="Times New Roman" w:hAnsi="Times New Roman" w:cs="Times New Roman"/>
                <w:b/>
                <w:bCs/>
                <w:color w:val="000000" w:themeColor="text1"/>
                <w:sz w:val="24"/>
                <w:szCs w:val="24"/>
              </w:rPr>
            </w:pPr>
            <w:r w:rsidRPr="00DF17D5">
              <w:rPr>
                <w:rFonts w:ascii="Times New Roman" w:hAnsi="Times New Roman" w:cs="Times New Roman"/>
                <w:b/>
                <w:bCs/>
                <w:color w:val="000000" w:themeColor="text1"/>
                <w:sz w:val="24"/>
                <w:szCs w:val="24"/>
              </w:rPr>
              <w:t>S.NO</w:t>
            </w:r>
          </w:p>
        </w:tc>
        <w:tc>
          <w:tcPr>
            <w:tcW w:w="8221" w:type="dxa"/>
          </w:tcPr>
          <w:p w:rsidRPr="00DF17D5" w:rsidR="00057D55" w:rsidP="00E0689C" w:rsidRDefault="00057D55" w14:paraId="6C8693A7" w14:textId="77777777">
            <w:pPr>
              <w:pStyle w:val="Heading1"/>
              <w:spacing w:before="360" w:after="200"/>
              <w:jc w:val="center"/>
              <w:rPr>
                <w:rFonts w:ascii="Times New Roman" w:hAnsi="Times New Roman" w:cs="Times New Roman"/>
                <w:b/>
                <w:bCs/>
                <w:color w:val="000000" w:themeColor="text1"/>
                <w:sz w:val="24"/>
                <w:szCs w:val="24"/>
              </w:rPr>
            </w:pPr>
            <w:r w:rsidRPr="00DF17D5">
              <w:rPr>
                <w:rFonts w:ascii="Times New Roman" w:hAnsi="Times New Roman" w:cs="Times New Roman"/>
                <w:b/>
                <w:bCs/>
                <w:color w:val="000000" w:themeColor="text1"/>
                <w:sz w:val="24"/>
                <w:szCs w:val="24"/>
              </w:rPr>
              <w:t>Topics</w:t>
            </w:r>
          </w:p>
        </w:tc>
      </w:tr>
      <w:tr w:rsidRPr="00DF17D5" w:rsidR="00057D55" w:rsidTr="00E0689C" w14:paraId="5D09FFA1" w14:textId="77777777">
        <w:trPr>
          <w:trHeight w:val="569"/>
        </w:trPr>
        <w:tc>
          <w:tcPr>
            <w:tcW w:w="1129" w:type="dxa"/>
          </w:tcPr>
          <w:p w:rsidRPr="00DF17D5" w:rsidR="00057D55" w:rsidP="00E0689C" w:rsidRDefault="00057D55" w14:paraId="57301712" w14:textId="77777777">
            <w:pPr>
              <w:pStyle w:val="Heading1"/>
              <w:spacing w:before="360" w:after="200"/>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1</w:t>
            </w:r>
          </w:p>
        </w:tc>
        <w:tc>
          <w:tcPr>
            <w:tcW w:w="8221" w:type="dxa"/>
          </w:tcPr>
          <w:p w:rsidRPr="00DF17D5" w:rsidR="00057D55" w:rsidP="00E0689C" w:rsidRDefault="00057D55" w14:paraId="6AF1E5CE" w14:textId="77777777">
            <w:pPr>
              <w:pStyle w:val="Heading1"/>
              <w:spacing w:before="360" w:after="200"/>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Introduction</w:t>
            </w:r>
          </w:p>
        </w:tc>
      </w:tr>
      <w:tr w:rsidRPr="00DF17D5" w:rsidR="00057D55" w:rsidTr="00E0689C" w14:paraId="61DCBF63" w14:textId="77777777">
        <w:tc>
          <w:tcPr>
            <w:tcW w:w="1129" w:type="dxa"/>
          </w:tcPr>
          <w:p w:rsidRPr="00DF17D5" w:rsidR="00057D55" w:rsidP="00E0689C" w:rsidRDefault="00057D55" w14:paraId="63A09DA0" w14:textId="77777777">
            <w:pPr>
              <w:pStyle w:val="Heading1"/>
              <w:spacing w:before="360" w:after="200"/>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2</w:t>
            </w:r>
          </w:p>
        </w:tc>
        <w:tc>
          <w:tcPr>
            <w:tcW w:w="8221" w:type="dxa"/>
          </w:tcPr>
          <w:p w:rsidRPr="00DF17D5" w:rsidR="00057D55" w:rsidP="00E0689C" w:rsidRDefault="00057D55" w14:paraId="23CBF0AC" w14:textId="77777777">
            <w:pPr>
              <w:pStyle w:val="Heading1"/>
              <w:spacing w:before="360" w:after="200"/>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Facts of the case</w:t>
            </w:r>
          </w:p>
        </w:tc>
      </w:tr>
      <w:tr w:rsidRPr="00DF17D5" w:rsidR="00057D55" w:rsidTr="00E0689C" w14:paraId="71485778" w14:textId="77777777">
        <w:tc>
          <w:tcPr>
            <w:tcW w:w="1129" w:type="dxa"/>
          </w:tcPr>
          <w:p w:rsidRPr="00DF17D5" w:rsidR="00057D55" w:rsidP="00E0689C" w:rsidRDefault="00057D55" w14:paraId="6CA72F0D" w14:textId="77777777">
            <w:pPr>
              <w:pStyle w:val="Heading1"/>
              <w:spacing w:before="360" w:after="200"/>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3</w:t>
            </w:r>
          </w:p>
        </w:tc>
        <w:tc>
          <w:tcPr>
            <w:tcW w:w="8221" w:type="dxa"/>
          </w:tcPr>
          <w:p w:rsidRPr="00DF17D5" w:rsidR="00057D55" w:rsidP="00E0689C" w:rsidRDefault="00057D55" w14:paraId="64C4E9C0" w14:textId="77777777">
            <w:pPr>
              <w:pStyle w:val="Heading1"/>
              <w:spacing w:before="360" w:after="200"/>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Legal Issue</w:t>
            </w:r>
          </w:p>
        </w:tc>
      </w:tr>
      <w:tr w:rsidRPr="00DF17D5" w:rsidR="00057D55" w:rsidTr="00E0689C" w14:paraId="5DC63D76" w14:textId="77777777">
        <w:tc>
          <w:tcPr>
            <w:tcW w:w="1129" w:type="dxa"/>
          </w:tcPr>
          <w:p w:rsidRPr="00DF17D5" w:rsidR="00057D55" w:rsidP="00E0689C" w:rsidRDefault="00057D55" w14:paraId="7F5085EF" w14:textId="77777777">
            <w:pPr>
              <w:pStyle w:val="Heading1"/>
              <w:spacing w:before="360" w:after="200"/>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4</w:t>
            </w:r>
          </w:p>
        </w:tc>
        <w:tc>
          <w:tcPr>
            <w:tcW w:w="8221" w:type="dxa"/>
          </w:tcPr>
          <w:p w:rsidRPr="00DF17D5" w:rsidR="00057D55" w:rsidP="00E0689C" w:rsidRDefault="00057D55" w14:paraId="4F2F1F07" w14:textId="77777777">
            <w:pPr>
              <w:pStyle w:val="Heading1"/>
              <w:spacing w:before="360" w:after="200"/>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Judgement</w:t>
            </w:r>
          </w:p>
        </w:tc>
      </w:tr>
      <w:tr w:rsidRPr="00DF17D5" w:rsidR="00057D55" w:rsidTr="00E0689C" w14:paraId="230A90DC" w14:textId="77777777">
        <w:tc>
          <w:tcPr>
            <w:tcW w:w="1129" w:type="dxa"/>
          </w:tcPr>
          <w:p w:rsidRPr="00DF17D5" w:rsidR="00057D55" w:rsidP="00E0689C" w:rsidRDefault="00057D55" w14:paraId="1930C39E" w14:textId="77777777">
            <w:pPr>
              <w:pStyle w:val="Heading1"/>
              <w:spacing w:before="360" w:after="200"/>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5</w:t>
            </w:r>
          </w:p>
        </w:tc>
        <w:tc>
          <w:tcPr>
            <w:tcW w:w="8221" w:type="dxa"/>
          </w:tcPr>
          <w:p w:rsidRPr="00DF17D5" w:rsidR="00057D55" w:rsidP="00E0689C" w:rsidRDefault="00057D55" w14:paraId="7ECD3F83" w14:textId="77777777">
            <w:pPr>
              <w:pStyle w:val="Heading1"/>
              <w:spacing w:before="360" w:after="200"/>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Legal Principle: Contract Formation Analysis</w:t>
            </w:r>
          </w:p>
        </w:tc>
      </w:tr>
      <w:tr w:rsidRPr="00DF17D5" w:rsidR="00057D55" w:rsidTr="00E0689C" w14:paraId="476FDC36" w14:textId="77777777">
        <w:tc>
          <w:tcPr>
            <w:tcW w:w="1129" w:type="dxa"/>
          </w:tcPr>
          <w:p w:rsidRPr="00DF17D5" w:rsidR="00057D55" w:rsidP="00E0689C" w:rsidRDefault="00057D55" w14:paraId="6763FC98" w14:textId="77777777">
            <w:pPr>
              <w:pStyle w:val="Heading1"/>
              <w:spacing w:before="360" w:after="200"/>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6</w:t>
            </w:r>
          </w:p>
        </w:tc>
        <w:tc>
          <w:tcPr>
            <w:tcW w:w="8221" w:type="dxa"/>
          </w:tcPr>
          <w:p w:rsidRPr="00DF17D5" w:rsidR="00057D55" w:rsidP="00E0689C" w:rsidRDefault="00057D55" w14:paraId="01DE47A9" w14:textId="77777777">
            <w:pPr>
              <w:pStyle w:val="Heading1"/>
              <w:spacing w:before="360" w:after="200"/>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Business Relevance</w:t>
            </w:r>
          </w:p>
        </w:tc>
      </w:tr>
      <w:tr w:rsidRPr="00DF17D5" w:rsidR="00057D55" w:rsidTr="00E0689C" w14:paraId="50B5413C" w14:textId="77777777">
        <w:tc>
          <w:tcPr>
            <w:tcW w:w="1129" w:type="dxa"/>
          </w:tcPr>
          <w:p w:rsidRPr="00DF17D5" w:rsidR="00057D55" w:rsidP="00E0689C" w:rsidRDefault="00057D55" w14:paraId="295FD7D7" w14:textId="77777777">
            <w:pPr>
              <w:pStyle w:val="Heading1"/>
              <w:spacing w:before="360" w:after="200"/>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7</w:t>
            </w:r>
          </w:p>
        </w:tc>
        <w:tc>
          <w:tcPr>
            <w:tcW w:w="8221" w:type="dxa"/>
          </w:tcPr>
          <w:p w:rsidRPr="00DF17D5" w:rsidR="00057D55" w:rsidP="00E0689C" w:rsidRDefault="00057D55" w14:paraId="5CE823E0" w14:textId="77777777">
            <w:pPr>
              <w:pStyle w:val="Heading1"/>
              <w:spacing w:before="360" w:after="200"/>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Conclusion</w:t>
            </w:r>
          </w:p>
        </w:tc>
      </w:tr>
    </w:tbl>
    <w:p w:rsidR="00057D55" w:rsidP="00057D55" w:rsidRDefault="00057D55" w14:paraId="2522A546" w14:textId="77777777">
      <w:pPr>
        <w:rPr>
          <w:rFonts w:ascii="Times New Roman" w:hAnsi="Times New Roman" w:cs="Times New Roman"/>
          <w:b/>
          <w:bCs/>
          <w:color w:val="000000" w:themeColor="text1"/>
          <w:sz w:val="24"/>
          <w:szCs w:val="24"/>
        </w:rPr>
      </w:pPr>
    </w:p>
    <w:p w:rsidR="00057D55" w:rsidP="00057D55" w:rsidRDefault="00057D55" w14:paraId="3F555E30" w14:textId="77777777">
      <w:pPr>
        <w:rPr>
          <w:rFonts w:ascii="Times New Roman" w:hAnsi="Times New Roman" w:cs="Times New Roman"/>
          <w:b/>
          <w:bCs/>
          <w:color w:val="000000" w:themeColor="text1"/>
          <w:sz w:val="24"/>
          <w:szCs w:val="24"/>
        </w:rPr>
      </w:pPr>
    </w:p>
    <w:p w:rsidRPr="00057D55" w:rsidR="00057D55" w:rsidP="00057D55" w:rsidRDefault="00057D55" w14:paraId="3292A80D" w14:textId="77777777">
      <w:pPr>
        <w:rPr>
          <w:rFonts w:ascii="Times New Roman" w:hAnsi="Times New Roman" w:cs="Times New Roman"/>
          <w:sz w:val="24"/>
          <w:szCs w:val="24"/>
        </w:rPr>
        <w:sectPr w:rsidRPr="00057D55" w:rsidR="00057D55">
          <w:pgSz w:w="12240" w:h="15840" w:orient="portrait"/>
          <w:pgMar w:top="1440" w:right="1440" w:bottom="1440" w:left="1440" w:header="708" w:footer="708" w:gutter="0"/>
          <w:cols w:space="720"/>
          <w:docGrid w:linePitch="360"/>
        </w:sectPr>
      </w:pPr>
    </w:p>
    <w:p w:rsidRPr="00B21B3E" w:rsidR="005D3C47" w:rsidRDefault="00000000" w14:paraId="3F45CF78" w14:textId="77777777">
      <w:pPr>
        <w:pStyle w:val="Heading1"/>
        <w:pBdr>
          <w:bottom w:val="single" w:color="1F3864" w:sz="6" w:space="4"/>
        </w:pBdr>
        <w:spacing w:before="360" w:after="200"/>
        <w:rPr>
          <w:rFonts w:ascii="Times New Roman" w:hAnsi="Times New Roman" w:cs="Times New Roman"/>
          <w:color w:val="000000" w:themeColor="text1"/>
          <w:sz w:val="24"/>
          <w:szCs w:val="24"/>
        </w:rPr>
      </w:pPr>
      <w:r w:rsidRPr="00B21B3E">
        <w:rPr>
          <w:rFonts w:ascii="Times New Roman" w:hAnsi="Times New Roman" w:cs="Times New Roman"/>
          <w:b/>
          <w:bCs/>
          <w:color w:val="000000" w:themeColor="text1"/>
          <w:sz w:val="24"/>
          <w:szCs w:val="24"/>
        </w:rPr>
        <w:lastRenderedPageBreak/>
        <w:t>1. Introduction</w:t>
      </w:r>
    </w:p>
    <w:p w:rsidRPr="00B21B3E" w:rsidR="005D3C47" w:rsidRDefault="00000000" w14:paraId="7434F2C7" w14:textId="77777777">
      <w:pPr>
        <w:pStyle w:val="Heading2"/>
        <w:spacing w:before="280" w:after="140"/>
        <w:rPr>
          <w:rFonts w:ascii="Times New Roman" w:hAnsi="Times New Roman" w:cs="Times New Roman"/>
          <w:color w:val="000000" w:themeColor="text1"/>
          <w:sz w:val="24"/>
          <w:szCs w:val="24"/>
        </w:rPr>
      </w:pPr>
      <w:r w:rsidRPr="00B21B3E">
        <w:rPr>
          <w:rFonts w:ascii="Times New Roman" w:hAnsi="Times New Roman" w:cs="Times New Roman"/>
          <w:b/>
          <w:bCs/>
          <w:color w:val="000000" w:themeColor="text1"/>
          <w:sz w:val="24"/>
          <w:szCs w:val="24"/>
        </w:rPr>
        <w:t>1.1 Case Citation &amp; Jurisdiction</w:t>
      </w:r>
    </w:p>
    <w:p w:rsidRPr="00B21B3E" w:rsidR="005D3C47" w:rsidRDefault="00000000" w14:paraId="2E52A15F" w14:textId="77777777">
      <w:pPr>
        <w:spacing w:after="180" w:line="300" w:lineRule="auto"/>
        <w:jc w:val="both"/>
        <w:rPr>
          <w:rFonts w:ascii="Times New Roman" w:hAnsi="Times New Roman" w:cs="Times New Roman"/>
          <w:color w:val="000000" w:themeColor="text1"/>
          <w:sz w:val="24"/>
          <w:szCs w:val="24"/>
        </w:rPr>
      </w:pPr>
      <w:r w:rsidRPr="00B21B3E">
        <w:rPr>
          <w:rFonts w:ascii="Times New Roman" w:hAnsi="Times New Roman" w:cs="Times New Roman"/>
          <w:color w:val="000000" w:themeColor="text1"/>
          <w:sz w:val="24"/>
          <w:szCs w:val="24"/>
        </w:rPr>
        <w:t>Case Name: Shreya Singhal v. Union of India</w:t>
      </w:r>
    </w:p>
    <w:p w:rsidRPr="00B21B3E" w:rsidR="005D3C47" w:rsidRDefault="00000000" w14:paraId="330594B3" w14:textId="77777777">
      <w:pPr>
        <w:spacing w:after="180" w:line="300" w:lineRule="auto"/>
        <w:jc w:val="both"/>
        <w:rPr>
          <w:rFonts w:ascii="Times New Roman" w:hAnsi="Times New Roman" w:cs="Times New Roman"/>
          <w:color w:val="000000" w:themeColor="text1"/>
          <w:sz w:val="24"/>
          <w:szCs w:val="24"/>
        </w:rPr>
      </w:pPr>
      <w:r w:rsidRPr="00B21B3E">
        <w:rPr>
          <w:rFonts w:ascii="Times New Roman" w:hAnsi="Times New Roman" w:cs="Times New Roman"/>
          <w:color w:val="000000" w:themeColor="text1"/>
          <w:sz w:val="24"/>
          <w:szCs w:val="24"/>
        </w:rPr>
        <w:t>Citation: (2015) 5 SCC 1; AIR 2015 SC 1523.</w:t>
      </w:r>
    </w:p>
    <w:p w:rsidRPr="00B21B3E" w:rsidR="005D3C47" w:rsidRDefault="00000000" w14:paraId="78267309" w14:textId="77777777">
      <w:pPr>
        <w:spacing w:after="180" w:line="300" w:lineRule="auto"/>
        <w:jc w:val="both"/>
        <w:rPr>
          <w:rFonts w:ascii="Times New Roman" w:hAnsi="Times New Roman" w:cs="Times New Roman"/>
          <w:color w:val="000000" w:themeColor="text1"/>
          <w:sz w:val="24"/>
          <w:szCs w:val="24"/>
        </w:rPr>
      </w:pPr>
      <w:r w:rsidRPr="00B21B3E">
        <w:rPr>
          <w:rFonts w:ascii="Times New Roman" w:hAnsi="Times New Roman" w:cs="Times New Roman"/>
          <w:color w:val="000000" w:themeColor="text1"/>
          <w:sz w:val="24"/>
          <w:szCs w:val="24"/>
        </w:rPr>
        <w:t xml:space="preserve">Court: Supreme Court of India, decided by a Division Bench of Justice J. </w:t>
      </w:r>
      <w:proofErr w:type="spellStart"/>
      <w:r w:rsidRPr="00B21B3E">
        <w:rPr>
          <w:rFonts w:ascii="Times New Roman" w:hAnsi="Times New Roman" w:cs="Times New Roman"/>
          <w:color w:val="000000" w:themeColor="text1"/>
          <w:sz w:val="24"/>
          <w:szCs w:val="24"/>
        </w:rPr>
        <w:t>Chelameswar</w:t>
      </w:r>
      <w:proofErr w:type="spellEnd"/>
      <w:r w:rsidRPr="00B21B3E">
        <w:rPr>
          <w:rFonts w:ascii="Times New Roman" w:hAnsi="Times New Roman" w:cs="Times New Roman"/>
          <w:color w:val="000000" w:themeColor="text1"/>
          <w:sz w:val="24"/>
          <w:szCs w:val="24"/>
        </w:rPr>
        <w:t xml:space="preserve"> and Justice Rohinton Fali Nariman.</w:t>
      </w:r>
    </w:p>
    <w:p w:rsidRPr="00B21B3E" w:rsidR="005D3C47" w:rsidRDefault="00000000" w14:paraId="76182291" w14:textId="77777777">
      <w:pPr>
        <w:spacing w:after="180" w:line="300" w:lineRule="auto"/>
        <w:jc w:val="both"/>
        <w:rPr>
          <w:rFonts w:ascii="Times New Roman" w:hAnsi="Times New Roman" w:cs="Times New Roman"/>
          <w:color w:val="000000" w:themeColor="text1"/>
          <w:sz w:val="24"/>
          <w:szCs w:val="24"/>
        </w:rPr>
      </w:pPr>
      <w:r w:rsidRPr="00B21B3E">
        <w:rPr>
          <w:rFonts w:ascii="Times New Roman" w:hAnsi="Times New Roman" w:cs="Times New Roman"/>
          <w:color w:val="000000" w:themeColor="text1"/>
          <w:sz w:val="24"/>
          <w:szCs w:val="24"/>
        </w:rPr>
        <w:t>Key Legislation: Section 66A of the Information Technology Act, 2000, examined against Article 19(1)(a) and Article 19(2) of the Constitution of India.</w:t>
      </w:r>
    </w:p>
    <w:p w:rsidRPr="00B21B3E" w:rsidR="005D3C47" w:rsidRDefault="00000000" w14:paraId="16F31016" w14:textId="77777777">
      <w:pPr>
        <w:spacing w:after="180" w:line="300" w:lineRule="auto"/>
        <w:jc w:val="both"/>
        <w:rPr>
          <w:rFonts w:ascii="Times New Roman" w:hAnsi="Times New Roman" w:cs="Times New Roman"/>
          <w:color w:val="000000" w:themeColor="text1"/>
          <w:sz w:val="24"/>
          <w:szCs w:val="24"/>
        </w:rPr>
      </w:pPr>
      <w:r w:rsidRPr="00B21B3E">
        <w:rPr>
          <w:rFonts w:ascii="Times New Roman" w:hAnsi="Times New Roman" w:cs="Times New Roman"/>
          <w:color w:val="000000" w:themeColor="text1"/>
          <w:sz w:val="24"/>
          <w:szCs w:val="24"/>
        </w:rPr>
        <w:t>Year of Judgment: 2015.</w:t>
      </w:r>
    </w:p>
    <w:p w:rsidRPr="00B21B3E" w:rsidR="005D3C47" w:rsidRDefault="00000000" w14:paraId="05BCD5C4" w14:textId="77777777">
      <w:pPr>
        <w:pStyle w:val="Heading2"/>
        <w:spacing w:before="280" w:after="140"/>
        <w:rPr>
          <w:rFonts w:ascii="Times New Roman" w:hAnsi="Times New Roman" w:cs="Times New Roman"/>
          <w:color w:val="000000" w:themeColor="text1"/>
          <w:sz w:val="24"/>
          <w:szCs w:val="24"/>
        </w:rPr>
      </w:pPr>
      <w:r w:rsidRPr="00B21B3E">
        <w:rPr>
          <w:rFonts w:ascii="Times New Roman" w:hAnsi="Times New Roman" w:cs="Times New Roman"/>
          <w:b/>
          <w:bCs/>
          <w:color w:val="000000" w:themeColor="text1"/>
          <w:sz w:val="24"/>
          <w:szCs w:val="24"/>
        </w:rPr>
        <w:t>1.2 Brief Introduction to the Case</w:t>
      </w:r>
    </w:p>
    <w:p w:rsidRPr="00B21B3E" w:rsidR="005D3C47" w:rsidRDefault="00000000" w14:paraId="38617567" w14:textId="77777777">
      <w:pPr>
        <w:spacing w:after="180" w:line="300" w:lineRule="auto"/>
        <w:jc w:val="both"/>
        <w:rPr>
          <w:rFonts w:ascii="Times New Roman" w:hAnsi="Times New Roman" w:cs="Times New Roman"/>
          <w:color w:val="000000" w:themeColor="text1"/>
          <w:sz w:val="24"/>
          <w:szCs w:val="24"/>
        </w:rPr>
      </w:pPr>
      <w:r w:rsidRPr="00B21B3E">
        <w:rPr>
          <w:rFonts w:ascii="Times New Roman" w:hAnsi="Times New Roman" w:cs="Times New Roman"/>
          <w:color w:val="000000" w:themeColor="text1"/>
          <w:sz w:val="24"/>
          <w:szCs w:val="24"/>
        </w:rPr>
        <w:t xml:space="preserve">Shreya Singhal v. Union of India is widely regarded as one of the most significant judgments in the history of digital rights and </w:t>
      </w:r>
      <w:proofErr w:type="gramStart"/>
      <w:r w:rsidRPr="00B21B3E">
        <w:rPr>
          <w:rFonts w:ascii="Times New Roman" w:hAnsi="Times New Roman" w:cs="Times New Roman"/>
          <w:color w:val="000000" w:themeColor="text1"/>
          <w:sz w:val="24"/>
          <w:szCs w:val="24"/>
        </w:rPr>
        <w:t>free speech</w:t>
      </w:r>
      <w:proofErr w:type="gramEnd"/>
      <w:r w:rsidRPr="00B21B3E">
        <w:rPr>
          <w:rFonts w:ascii="Times New Roman" w:hAnsi="Times New Roman" w:cs="Times New Roman"/>
          <w:color w:val="000000" w:themeColor="text1"/>
          <w:sz w:val="24"/>
          <w:szCs w:val="24"/>
        </w:rPr>
        <w:t xml:space="preserve"> law in India. The case arose out of the arrest of two young women over a Facebook post, made under a provision of the Information Technology Act, 2000 that criminalised sending 'annoying' or 'offensive' messages through a computer or communication device. Shreya Singhal, a law student, filed a petition directly before the Supreme Court, arguing that this provision, Section 66A, was so vague and broad that it could be used to punish ordinary online expression and dissent, in direct violation of the constitutional right to freedom of speech and expression. The Supreme Court's decision to strike down Section 66A in its entirety was a landmark moment, confirming that the constitutional protections available to speech in newspapers, books, and public gatherings apply with equal force to speech on the internet, and that vague criminal laws cannot be allowed to create a chilling effect on free expression.</w:t>
      </w:r>
    </w:p>
    <w:p w:rsidRPr="00B21B3E" w:rsidR="005D3C47" w:rsidRDefault="00000000" w14:paraId="0DE1C8E9" w14:textId="77777777">
      <w:pPr>
        <w:pStyle w:val="Heading1"/>
        <w:pBdr>
          <w:bottom w:val="single" w:color="1F3864" w:sz="6" w:space="4"/>
        </w:pBdr>
        <w:spacing w:before="360" w:after="200"/>
        <w:rPr>
          <w:rFonts w:ascii="Times New Roman" w:hAnsi="Times New Roman" w:cs="Times New Roman"/>
          <w:color w:val="000000" w:themeColor="text1"/>
          <w:sz w:val="24"/>
          <w:szCs w:val="24"/>
        </w:rPr>
      </w:pPr>
      <w:r w:rsidRPr="00B21B3E">
        <w:rPr>
          <w:rFonts w:ascii="Times New Roman" w:hAnsi="Times New Roman" w:cs="Times New Roman"/>
          <w:b/>
          <w:bCs/>
          <w:color w:val="000000" w:themeColor="text1"/>
          <w:sz w:val="24"/>
          <w:szCs w:val="24"/>
        </w:rPr>
        <w:t>2. Facts of the Case</w:t>
      </w:r>
    </w:p>
    <w:p w:rsidRPr="00B21B3E" w:rsidR="005D3C47" w:rsidRDefault="00000000" w14:paraId="29E559FA" w14:textId="77777777">
      <w:pPr>
        <w:pStyle w:val="Heading2"/>
        <w:spacing w:before="280" w:after="140"/>
        <w:rPr>
          <w:rFonts w:ascii="Times New Roman" w:hAnsi="Times New Roman" w:cs="Times New Roman"/>
          <w:color w:val="000000" w:themeColor="text1"/>
          <w:sz w:val="24"/>
          <w:szCs w:val="24"/>
        </w:rPr>
      </w:pPr>
      <w:r w:rsidRPr="00B21B3E">
        <w:rPr>
          <w:rFonts w:ascii="Times New Roman" w:hAnsi="Times New Roman" w:cs="Times New Roman"/>
          <w:b/>
          <w:bCs/>
          <w:color w:val="000000" w:themeColor="text1"/>
          <w:sz w:val="24"/>
          <w:szCs w:val="24"/>
        </w:rPr>
        <w:t>2.1 Chronological Summary of Events</w:t>
      </w:r>
    </w:p>
    <w:p w:rsidRPr="00B21B3E" w:rsidR="005D3C47" w:rsidRDefault="00000000" w14:paraId="5EB9A2A9" w14:textId="77777777">
      <w:pPr>
        <w:pStyle w:val="ListParagraph"/>
        <w:numPr>
          <w:ilvl w:val="0"/>
          <w:numId w:val="1"/>
        </w:numPr>
        <w:spacing w:after="100" w:line="300" w:lineRule="auto"/>
        <w:rPr>
          <w:rFonts w:ascii="Times New Roman" w:hAnsi="Times New Roman" w:cs="Times New Roman"/>
          <w:color w:val="000000" w:themeColor="text1"/>
          <w:sz w:val="24"/>
          <w:szCs w:val="24"/>
        </w:rPr>
      </w:pPr>
      <w:r w:rsidRPr="00B21B3E">
        <w:rPr>
          <w:rFonts w:ascii="Times New Roman" w:hAnsi="Times New Roman" w:cs="Times New Roman"/>
          <w:color w:val="000000" w:themeColor="text1"/>
          <w:sz w:val="24"/>
          <w:szCs w:val="24"/>
        </w:rPr>
        <w:t>Following the death of a prominent political leader in Mumbai, a total shutdown, commonly known as a 'bandh', was enforced across the city, leading to widespread disruption of daily life and commercial activity.</w:t>
      </w:r>
    </w:p>
    <w:p w:rsidRPr="00B21B3E" w:rsidR="005D3C47" w:rsidRDefault="00000000" w14:paraId="12A21B3E" w14:textId="77777777">
      <w:pPr>
        <w:pStyle w:val="ListParagraph"/>
        <w:numPr>
          <w:ilvl w:val="0"/>
          <w:numId w:val="1"/>
        </w:numPr>
        <w:spacing w:after="100" w:line="300" w:lineRule="auto"/>
        <w:rPr>
          <w:rFonts w:ascii="Times New Roman" w:hAnsi="Times New Roman" w:cs="Times New Roman"/>
          <w:color w:val="000000" w:themeColor="text1"/>
          <w:sz w:val="24"/>
          <w:szCs w:val="24"/>
        </w:rPr>
      </w:pPr>
      <w:r w:rsidRPr="00B21B3E">
        <w:rPr>
          <w:rFonts w:ascii="Times New Roman" w:hAnsi="Times New Roman" w:cs="Times New Roman"/>
          <w:color w:val="000000" w:themeColor="text1"/>
          <w:sz w:val="24"/>
          <w:szCs w:val="24"/>
        </w:rPr>
        <w:t>Two young women posted comments on a social media platform expressing their disapproval of the shutdown, questioning whether such a complete closure of the city was truly necessary.</w:t>
      </w:r>
    </w:p>
    <w:p w:rsidRPr="00B21B3E" w:rsidR="005D3C47" w:rsidRDefault="00000000" w14:paraId="6FFBD7F0" w14:textId="77777777">
      <w:pPr>
        <w:pStyle w:val="ListParagraph"/>
        <w:numPr>
          <w:ilvl w:val="0"/>
          <w:numId w:val="1"/>
        </w:numPr>
        <w:spacing w:after="100" w:line="300" w:lineRule="auto"/>
        <w:rPr>
          <w:rFonts w:ascii="Times New Roman" w:hAnsi="Times New Roman" w:cs="Times New Roman"/>
          <w:color w:val="000000" w:themeColor="text1"/>
          <w:sz w:val="24"/>
          <w:szCs w:val="24"/>
        </w:rPr>
      </w:pPr>
      <w:r w:rsidRPr="00B21B3E">
        <w:rPr>
          <w:rFonts w:ascii="Times New Roman" w:hAnsi="Times New Roman" w:cs="Times New Roman"/>
          <w:color w:val="000000" w:themeColor="text1"/>
          <w:sz w:val="24"/>
          <w:szCs w:val="24"/>
        </w:rPr>
        <w:lastRenderedPageBreak/>
        <w:t>Acting on a complaint, the police arrested the two women under Section 66A of the Information Technology Act, 2000, on the ground that their online posts amounted to sending information that was 'grossly offensive' or caused 'annoyance' or 'inconvenience' through a computer resource.</w:t>
      </w:r>
    </w:p>
    <w:p w:rsidRPr="00B21B3E" w:rsidR="005D3C47" w:rsidRDefault="00000000" w14:paraId="2B97F7CB" w14:textId="77777777">
      <w:pPr>
        <w:pStyle w:val="ListParagraph"/>
        <w:numPr>
          <w:ilvl w:val="0"/>
          <w:numId w:val="1"/>
        </w:numPr>
        <w:spacing w:after="100" w:line="300" w:lineRule="auto"/>
        <w:rPr>
          <w:rFonts w:ascii="Times New Roman" w:hAnsi="Times New Roman" w:cs="Times New Roman"/>
          <w:color w:val="000000" w:themeColor="text1"/>
          <w:sz w:val="24"/>
          <w:szCs w:val="24"/>
        </w:rPr>
      </w:pPr>
      <w:r w:rsidRPr="00B21B3E">
        <w:rPr>
          <w:rFonts w:ascii="Times New Roman" w:hAnsi="Times New Roman" w:cs="Times New Roman"/>
          <w:color w:val="000000" w:themeColor="text1"/>
          <w:sz w:val="24"/>
          <w:szCs w:val="24"/>
        </w:rPr>
        <w:t>The arrests attracted significant public attention and criticism, as many felt that the women had done nothing more than express a political opinion, and that using a criminal law provision to arrest them for this was a disproportionate and troubling response.</w:t>
      </w:r>
    </w:p>
    <w:p w:rsidRPr="00B21B3E" w:rsidR="005D3C47" w:rsidRDefault="00000000" w14:paraId="0009E5EA" w14:textId="77777777">
      <w:pPr>
        <w:pStyle w:val="ListParagraph"/>
        <w:numPr>
          <w:ilvl w:val="0"/>
          <w:numId w:val="1"/>
        </w:numPr>
        <w:spacing w:after="100" w:line="300" w:lineRule="auto"/>
        <w:rPr>
          <w:rFonts w:ascii="Times New Roman" w:hAnsi="Times New Roman" w:cs="Times New Roman"/>
          <w:color w:val="000000" w:themeColor="text1"/>
          <w:sz w:val="24"/>
          <w:szCs w:val="24"/>
        </w:rPr>
      </w:pPr>
      <w:r w:rsidRPr="00B21B3E">
        <w:rPr>
          <w:rFonts w:ascii="Times New Roman" w:hAnsi="Times New Roman" w:cs="Times New Roman"/>
          <w:color w:val="000000" w:themeColor="text1"/>
          <w:sz w:val="24"/>
          <w:szCs w:val="24"/>
        </w:rPr>
        <w:t>Shreya Singhal, a law student based in Delhi, filed a Public Interest Litigation (PIL) directly before the Supreme Court of India, challenging the constitutional validity of Section 66A on the ground that it violated the fundamental right to freedom of speech and expression.</w:t>
      </w:r>
    </w:p>
    <w:p w:rsidRPr="00B21B3E" w:rsidR="005D3C47" w:rsidRDefault="00000000" w14:paraId="16C5FA35" w14:textId="77777777">
      <w:pPr>
        <w:pStyle w:val="ListParagraph"/>
        <w:numPr>
          <w:ilvl w:val="0"/>
          <w:numId w:val="1"/>
        </w:numPr>
        <w:spacing w:after="100" w:line="300" w:lineRule="auto"/>
        <w:rPr>
          <w:rFonts w:ascii="Times New Roman" w:hAnsi="Times New Roman" w:cs="Times New Roman"/>
          <w:color w:val="000000" w:themeColor="text1"/>
          <w:sz w:val="24"/>
          <w:szCs w:val="24"/>
        </w:rPr>
      </w:pPr>
      <w:r w:rsidRPr="00B21B3E">
        <w:rPr>
          <w:rFonts w:ascii="Times New Roman" w:hAnsi="Times New Roman" w:cs="Times New Roman"/>
          <w:color w:val="000000" w:themeColor="text1"/>
          <w:sz w:val="24"/>
          <w:szCs w:val="24"/>
        </w:rPr>
        <w:t>The petition specifically argued that terms used in Section 66A, such as 'annoying', 'inconvenient', 'grossly offensive', and 'menacing', were so vague and undefined that the provision could be misused to arrest people for merely expressing opinions online.</w:t>
      </w:r>
    </w:p>
    <w:p w:rsidRPr="00B21B3E" w:rsidR="005D3C47" w:rsidRDefault="00000000" w14:paraId="441C7F93" w14:textId="77777777">
      <w:pPr>
        <w:pStyle w:val="ListParagraph"/>
        <w:numPr>
          <w:ilvl w:val="0"/>
          <w:numId w:val="1"/>
        </w:numPr>
        <w:spacing w:after="100" w:line="300" w:lineRule="auto"/>
        <w:rPr>
          <w:rFonts w:ascii="Times New Roman" w:hAnsi="Times New Roman" w:cs="Times New Roman"/>
          <w:color w:val="000000" w:themeColor="text1"/>
          <w:sz w:val="24"/>
          <w:szCs w:val="24"/>
        </w:rPr>
      </w:pPr>
      <w:r w:rsidRPr="00B21B3E">
        <w:rPr>
          <w:rFonts w:ascii="Times New Roman" w:hAnsi="Times New Roman" w:cs="Times New Roman"/>
          <w:color w:val="000000" w:themeColor="text1"/>
          <w:sz w:val="24"/>
          <w:szCs w:val="24"/>
        </w:rPr>
        <w:t>The matter was heard by a Division Bench of the Supreme Court, which examined the provision closely against the constitutional guarantees of free speech and the permissible grounds for restricting that speech.</w:t>
      </w:r>
    </w:p>
    <w:p w:rsidRPr="00B21B3E" w:rsidR="005D3C47" w:rsidRDefault="00000000" w14:paraId="1456F401" w14:textId="77777777">
      <w:pPr>
        <w:pStyle w:val="ListParagraph"/>
        <w:numPr>
          <w:ilvl w:val="0"/>
          <w:numId w:val="1"/>
        </w:numPr>
        <w:spacing w:after="100" w:line="300" w:lineRule="auto"/>
        <w:rPr>
          <w:rFonts w:ascii="Times New Roman" w:hAnsi="Times New Roman" w:cs="Times New Roman"/>
          <w:color w:val="000000" w:themeColor="text1"/>
          <w:sz w:val="24"/>
          <w:szCs w:val="24"/>
        </w:rPr>
      </w:pPr>
      <w:r w:rsidRPr="00B21B3E">
        <w:rPr>
          <w:rFonts w:ascii="Times New Roman" w:hAnsi="Times New Roman" w:cs="Times New Roman"/>
          <w:color w:val="000000" w:themeColor="text1"/>
          <w:sz w:val="24"/>
          <w:szCs w:val="24"/>
        </w:rPr>
        <w:t>The Supreme Court delivered its judgment in 2015, striking down Section 66A in its entirety as unconstitutional.</w:t>
      </w:r>
    </w:p>
    <w:p w:rsidRPr="00B21B3E" w:rsidR="005D3C47" w:rsidRDefault="00000000" w14:paraId="66DB8435" w14:textId="77777777">
      <w:pPr>
        <w:pStyle w:val="Heading2"/>
        <w:spacing w:before="280" w:after="140"/>
        <w:rPr>
          <w:rFonts w:ascii="Times New Roman" w:hAnsi="Times New Roman" w:cs="Times New Roman"/>
          <w:color w:val="000000" w:themeColor="text1"/>
          <w:sz w:val="24"/>
          <w:szCs w:val="24"/>
        </w:rPr>
      </w:pPr>
      <w:r w:rsidRPr="00B21B3E">
        <w:rPr>
          <w:rFonts w:ascii="Times New Roman" w:hAnsi="Times New Roman" w:cs="Times New Roman"/>
          <w:b/>
          <w:bCs/>
          <w:color w:val="000000" w:themeColor="text1"/>
          <w:sz w:val="24"/>
          <w:szCs w:val="24"/>
        </w:rPr>
        <w:t>2.2 Material Digital &amp; Constitutional Context</w:t>
      </w:r>
    </w:p>
    <w:p w:rsidRPr="00B21B3E" w:rsidR="005D3C47" w:rsidRDefault="00000000" w14:paraId="0E6BC7CA" w14:textId="77777777">
      <w:pPr>
        <w:spacing w:after="180" w:line="300" w:lineRule="auto"/>
        <w:jc w:val="both"/>
        <w:rPr>
          <w:rFonts w:ascii="Times New Roman" w:hAnsi="Times New Roman" w:cs="Times New Roman"/>
          <w:color w:val="000000" w:themeColor="text1"/>
          <w:sz w:val="24"/>
          <w:szCs w:val="24"/>
        </w:rPr>
      </w:pPr>
      <w:r w:rsidRPr="00B21B3E">
        <w:rPr>
          <w:rFonts w:ascii="Times New Roman" w:hAnsi="Times New Roman" w:cs="Times New Roman"/>
          <w:color w:val="000000" w:themeColor="text1"/>
          <w:sz w:val="24"/>
          <w:szCs w:val="24"/>
        </w:rPr>
        <w:t>Unlike many of the earlier cases in this series, which arose out of private commercial or family transactions, this case arose directly out of the interaction between citizens, social media platforms, and the coercive power of the state. The underlying context was the rapid growth of internet and social media usage in India, and the corresponding uncertainty over how existing constitutional protections for speech, developed in an era of print and broadcast media, would apply to comments, posts, and messages shared online. Section 66A had been enacted as part of the broader Information Technology Act, 2000, aimed at regulating conduct in cyberspace, but its wording swept far more broadly than provisions dealing with genuinely harmful conduct such as hacking, fraud, or the circulation of obscene material, instead criminalising vaguely defined categories of 'annoying' or 'offensive' online speech.</w:t>
      </w:r>
    </w:p>
    <w:p w:rsidRPr="00B21B3E" w:rsidR="005D3C47" w:rsidRDefault="00000000" w14:paraId="57DC3E63" w14:textId="77777777">
      <w:pPr>
        <w:pStyle w:val="Heading1"/>
        <w:pBdr>
          <w:bottom w:val="single" w:color="1F3864" w:sz="6" w:space="4"/>
        </w:pBdr>
        <w:spacing w:before="360" w:after="200"/>
        <w:rPr>
          <w:rFonts w:ascii="Times New Roman" w:hAnsi="Times New Roman" w:cs="Times New Roman"/>
          <w:color w:val="000000" w:themeColor="text1"/>
          <w:sz w:val="24"/>
          <w:szCs w:val="24"/>
        </w:rPr>
      </w:pPr>
      <w:r w:rsidRPr="00B21B3E">
        <w:rPr>
          <w:rFonts w:ascii="Times New Roman" w:hAnsi="Times New Roman" w:cs="Times New Roman"/>
          <w:b/>
          <w:bCs/>
          <w:color w:val="000000" w:themeColor="text1"/>
          <w:sz w:val="24"/>
          <w:szCs w:val="24"/>
        </w:rPr>
        <w:t>3. Legal Issue</w:t>
      </w:r>
    </w:p>
    <w:p w:rsidRPr="00B21B3E" w:rsidR="005D3C47" w:rsidRDefault="00000000" w14:paraId="37524A09" w14:textId="77777777">
      <w:pPr>
        <w:pStyle w:val="Heading2"/>
        <w:spacing w:before="280" w:after="140"/>
        <w:rPr>
          <w:rFonts w:ascii="Times New Roman" w:hAnsi="Times New Roman" w:cs="Times New Roman"/>
          <w:color w:val="000000" w:themeColor="text1"/>
          <w:sz w:val="24"/>
          <w:szCs w:val="24"/>
        </w:rPr>
      </w:pPr>
      <w:r w:rsidRPr="00B21B3E">
        <w:rPr>
          <w:rFonts w:ascii="Times New Roman" w:hAnsi="Times New Roman" w:cs="Times New Roman"/>
          <w:b/>
          <w:bCs/>
          <w:color w:val="000000" w:themeColor="text1"/>
          <w:sz w:val="24"/>
          <w:szCs w:val="24"/>
        </w:rPr>
        <w:t>3.1 Primary Question of Law</w:t>
      </w:r>
    </w:p>
    <w:p w:rsidRPr="00B21B3E" w:rsidR="005D3C47" w:rsidRDefault="00000000" w14:paraId="6AEF0E96" w14:textId="77777777">
      <w:pPr>
        <w:spacing w:after="180" w:line="300" w:lineRule="auto"/>
        <w:jc w:val="both"/>
        <w:rPr>
          <w:rFonts w:ascii="Times New Roman" w:hAnsi="Times New Roman" w:cs="Times New Roman"/>
          <w:color w:val="000000" w:themeColor="text1"/>
          <w:sz w:val="24"/>
          <w:szCs w:val="24"/>
        </w:rPr>
      </w:pPr>
      <w:r w:rsidRPr="00B21B3E">
        <w:rPr>
          <w:rFonts w:ascii="Times New Roman" w:hAnsi="Times New Roman" w:cs="Times New Roman"/>
          <w:color w:val="000000" w:themeColor="text1"/>
          <w:sz w:val="24"/>
          <w:szCs w:val="24"/>
        </w:rPr>
        <w:lastRenderedPageBreak/>
        <w:t>The central legal question before the Supreme Court was: Is Section 66A of the Information Technology Act, 2000 unconstitutional for violating the fundamental right to freedom of speech and expression guaranteed under Article 19(1)(a) of the Constitution of India, and does it fail to qualify as a reasonable restriction permitted under Article 19(2)?</w:t>
      </w:r>
    </w:p>
    <w:p w:rsidRPr="00B21B3E" w:rsidR="005D3C47" w:rsidRDefault="00000000" w14:paraId="700F9018" w14:textId="77777777">
      <w:pPr>
        <w:spacing w:after="180" w:line="300" w:lineRule="auto"/>
        <w:jc w:val="both"/>
        <w:rPr>
          <w:rFonts w:ascii="Times New Roman" w:hAnsi="Times New Roman" w:cs="Times New Roman"/>
          <w:color w:val="000000" w:themeColor="text1"/>
          <w:sz w:val="24"/>
          <w:szCs w:val="24"/>
        </w:rPr>
      </w:pPr>
      <w:r w:rsidRPr="00B21B3E">
        <w:rPr>
          <w:rFonts w:ascii="Times New Roman" w:hAnsi="Times New Roman" w:cs="Times New Roman"/>
          <w:color w:val="000000" w:themeColor="text1"/>
          <w:sz w:val="24"/>
          <w:szCs w:val="24"/>
        </w:rPr>
        <w:t>This broad question can be broken down into smaller issues that the court actually examined:</w:t>
      </w:r>
    </w:p>
    <w:p w:rsidRPr="00B21B3E" w:rsidR="005D3C47" w:rsidRDefault="00000000" w14:paraId="2017CF73" w14:textId="77777777">
      <w:pPr>
        <w:pStyle w:val="ListParagraph"/>
        <w:numPr>
          <w:ilvl w:val="0"/>
          <w:numId w:val="1"/>
        </w:numPr>
        <w:spacing w:after="100" w:line="300" w:lineRule="auto"/>
        <w:rPr>
          <w:rFonts w:ascii="Times New Roman" w:hAnsi="Times New Roman" w:cs="Times New Roman"/>
          <w:color w:val="000000" w:themeColor="text1"/>
          <w:sz w:val="24"/>
          <w:szCs w:val="24"/>
        </w:rPr>
      </w:pPr>
      <w:r w:rsidRPr="00B21B3E">
        <w:rPr>
          <w:rFonts w:ascii="Times New Roman" w:hAnsi="Times New Roman" w:cs="Times New Roman"/>
          <w:color w:val="000000" w:themeColor="text1"/>
          <w:sz w:val="24"/>
          <w:szCs w:val="24"/>
        </w:rPr>
        <w:t>Does online speech, expressed through platforms such as social media, enjoy the same constitutional protection as speech in traditional media such as newspapers, books, or public speeches?</w:t>
      </w:r>
    </w:p>
    <w:p w:rsidRPr="00B21B3E" w:rsidR="005D3C47" w:rsidRDefault="00000000" w14:paraId="4C7E2374" w14:textId="77777777">
      <w:pPr>
        <w:pStyle w:val="ListParagraph"/>
        <w:numPr>
          <w:ilvl w:val="0"/>
          <w:numId w:val="1"/>
        </w:numPr>
        <w:spacing w:after="100" w:line="300" w:lineRule="auto"/>
        <w:rPr>
          <w:rFonts w:ascii="Times New Roman" w:hAnsi="Times New Roman" w:cs="Times New Roman"/>
          <w:color w:val="000000" w:themeColor="text1"/>
          <w:sz w:val="24"/>
          <w:szCs w:val="24"/>
        </w:rPr>
      </w:pPr>
      <w:r w:rsidRPr="00B21B3E">
        <w:rPr>
          <w:rFonts w:ascii="Times New Roman" w:hAnsi="Times New Roman" w:cs="Times New Roman"/>
          <w:color w:val="000000" w:themeColor="text1"/>
          <w:sz w:val="24"/>
          <w:szCs w:val="24"/>
        </w:rPr>
        <w:t>Are the terms used in Section 66A, such as 'annoying', 'inconvenient', 'grossly offensive', and 'menacing character', so vague and undefined that ordinary citizens and law enforcement officers cannot reasonably know what conduct is actually prohibited?</w:t>
      </w:r>
    </w:p>
    <w:p w:rsidRPr="00B21B3E" w:rsidR="005D3C47" w:rsidRDefault="00000000" w14:paraId="1E22E738" w14:textId="77777777">
      <w:pPr>
        <w:pStyle w:val="ListParagraph"/>
        <w:numPr>
          <w:ilvl w:val="0"/>
          <w:numId w:val="1"/>
        </w:numPr>
        <w:spacing w:after="100" w:line="300" w:lineRule="auto"/>
        <w:rPr>
          <w:rFonts w:ascii="Times New Roman" w:hAnsi="Times New Roman" w:cs="Times New Roman"/>
          <w:color w:val="000000" w:themeColor="text1"/>
          <w:sz w:val="24"/>
          <w:szCs w:val="24"/>
        </w:rPr>
      </w:pPr>
      <w:r w:rsidRPr="00B21B3E">
        <w:rPr>
          <w:rFonts w:ascii="Times New Roman" w:hAnsi="Times New Roman" w:cs="Times New Roman"/>
          <w:color w:val="000000" w:themeColor="text1"/>
          <w:sz w:val="24"/>
          <w:szCs w:val="24"/>
        </w:rPr>
        <w:t>Does Section 66A fall within any of the specific, narrowly defined grounds under Article 19(2), such as public order, decency, morality, or incitement to an offence, on which the right to free speech may be reasonably restricted?</w:t>
      </w:r>
    </w:p>
    <w:p w:rsidRPr="00B21B3E" w:rsidR="005D3C47" w:rsidRDefault="00000000" w14:paraId="3C0D0D29" w14:textId="77777777">
      <w:pPr>
        <w:pStyle w:val="ListParagraph"/>
        <w:numPr>
          <w:ilvl w:val="0"/>
          <w:numId w:val="1"/>
        </w:numPr>
        <w:spacing w:after="100" w:line="300" w:lineRule="auto"/>
        <w:rPr>
          <w:rFonts w:ascii="Times New Roman" w:hAnsi="Times New Roman" w:cs="Times New Roman"/>
          <w:color w:val="000000" w:themeColor="text1"/>
          <w:sz w:val="24"/>
          <w:szCs w:val="24"/>
        </w:rPr>
      </w:pPr>
      <w:r w:rsidRPr="00B21B3E">
        <w:rPr>
          <w:rFonts w:ascii="Times New Roman" w:hAnsi="Times New Roman" w:cs="Times New Roman"/>
          <w:color w:val="000000" w:themeColor="text1"/>
          <w:sz w:val="24"/>
          <w:szCs w:val="24"/>
        </w:rPr>
        <w:t>Does the vagueness and breadth of Section 66A create a 'chilling effect', discouraging people from expressing legitimate opinions online for fear of being wrongly prosecuted?</w:t>
      </w:r>
    </w:p>
    <w:p w:rsidRPr="00B21B3E" w:rsidR="005D3C47" w:rsidRDefault="00000000" w14:paraId="5BBEB21D" w14:textId="77777777">
      <w:pPr>
        <w:pStyle w:val="Heading2"/>
        <w:spacing w:before="280" w:after="140"/>
        <w:rPr>
          <w:rFonts w:ascii="Times New Roman" w:hAnsi="Times New Roman" w:cs="Times New Roman"/>
          <w:color w:val="000000" w:themeColor="text1"/>
          <w:sz w:val="24"/>
          <w:szCs w:val="24"/>
        </w:rPr>
      </w:pPr>
      <w:r w:rsidRPr="00B21B3E">
        <w:rPr>
          <w:rFonts w:ascii="Times New Roman" w:hAnsi="Times New Roman" w:cs="Times New Roman"/>
          <w:b/>
          <w:bCs/>
          <w:color w:val="000000" w:themeColor="text1"/>
          <w:sz w:val="24"/>
          <w:szCs w:val="24"/>
        </w:rPr>
        <w:t>3.2 Points of Contention</w:t>
      </w:r>
    </w:p>
    <w:p w:rsidRPr="00B21B3E" w:rsidR="005D3C47" w:rsidRDefault="00000000" w14:paraId="3DC3E2AB" w14:textId="77777777">
      <w:pPr>
        <w:spacing w:after="180" w:line="300" w:lineRule="auto"/>
        <w:jc w:val="both"/>
        <w:rPr>
          <w:rFonts w:ascii="Times New Roman" w:hAnsi="Times New Roman" w:cs="Times New Roman"/>
          <w:color w:val="000000" w:themeColor="text1"/>
          <w:sz w:val="24"/>
          <w:szCs w:val="24"/>
        </w:rPr>
      </w:pPr>
      <w:r w:rsidRPr="00B21B3E">
        <w:rPr>
          <w:rFonts w:ascii="Times New Roman" w:hAnsi="Times New Roman" w:cs="Times New Roman"/>
          <w:b/>
          <w:bCs/>
          <w:color w:val="000000" w:themeColor="text1"/>
          <w:sz w:val="24"/>
          <w:szCs w:val="24"/>
        </w:rPr>
        <w:t>Arguments on behalf of Shreya Singhal and the Petitioners:</w:t>
      </w:r>
    </w:p>
    <w:p w:rsidRPr="00B21B3E" w:rsidR="005D3C47" w:rsidRDefault="00000000" w14:paraId="1EDB95B0" w14:textId="77777777">
      <w:pPr>
        <w:pStyle w:val="ListParagraph"/>
        <w:numPr>
          <w:ilvl w:val="0"/>
          <w:numId w:val="1"/>
        </w:numPr>
        <w:spacing w:after="100" w:line="300" w:lineRule="auto"/>
        <w:rPr>
          <w:rFonts w:ascii="Times New Roman" w:hAnsi="Times New Roman" w:cs="Times New Roman"/>
          <w:color w:val="000000" w:themeColor="text1"/>
          <w:sz w:val="24"/>
          <w:szCs w:val="24"/>
        </w:rPr>
      </w:pPr>
      <w:r w:rsidRPr="00B21B3E">
        <w:rPr>
          <w:rFonts w:ascii="Times New Roman" w:hAnsi="Times New Roman" w:cs="Times New Roman"/>
          <w:color w:val="000000" w:themeColor="text1"/>
          <w:sz w:val="24"/>
          <w:szCs w:val="24"/>
        </w:rPr>
        <w:t>Section 66A used broad, undefined terms like 'annoying', 'inconvenient', and 'grossly offensive', which have no fixed legal meaning and could be interpreted differently by different police officers, leading to arbitrary and inconsistent enforcement.</w:t>
      </w:r>
    </w:p>
    <w:p w:rsidRPr="00B21B3E" w:rsidR="005D3C47" w:rsidRDefault="00000000" w14:paraId="690A3310" w14:textId="77777777">
      <w:pPr>
        <w:pStyle w:val="ListParagraph"/>
        <w:numPr>
          <w:ilvl w:val="0"/>
          <w:numId w:val="1"/>
        </w:numPr>
        <w:spacing w:after="100" w:line="300" w:lineRule="auto"/>
        <w:rPr>
          <w:rFonts w:ascii="Times New Roman" w:hAnsi="Times New Roman" w:cs="Times New Roman"/>
          <w:color w:val="000000" w:themeColor="text1"/>
          <w:sz w:val="24"/>
          <w:szCs w:val="24"/>
        </w:rPr>
      </w:pPr>
      <w:r w:rsidRPr="00B21B3E">
        <w:rPr>
          <w:rFonts w:ascii="Times New Roman" w:hAnsi="Times New Roman" w:cs="Times New Roman"/>
          <w:color w:val="000000" w:themeColor="text1"/>
          <w:sz w:val="24"/>
          <w:szCs w:val="24"/>
        </w:rPr>
        <w:t>Because ordinary citizens could not know in advance what kind of online speech might be considered a criminal offence under the provision, the law had a chilling effect, discouraging people from expressing legitimate opinions, criticism, or dissent online.</w:t>
      </w:r>
    </w:p>
    <w:p w:rsidRPr="00B21B3E" w:rsidR="005D3C47" w:rsidRDefault="00000000" w14:paraId="4755DA82" w14:textId="77777777">
      <w:pPr>
        <w:pStyle w:val="ListParagraph"/>
        <w:numPr>
          <w:ilvl w:val="0"/>
          <w:numId w:val="1"/>
        </w:numPr>
        <w:spacing w:after="100" w:line="300" w:lineRule="auto"/>
        <w:rPr>
          <w:rFonts w:ascii="Times New Roman" w:hAnsi="Times New Roman" w:cs="Times New Roman"/>
          <w:color w:val="000000" w:themeColor="text1"/>
          <w:sz w:val="24"/>
          <w:szCs w:val="24"/>
        </w:rPr>
      </w:pPr>
      <w:r w:rsidRPr="00B21B3E">
        <w:rPr>
          <w:rFonts w:ascii="Times New Roman" w:hAnsi="Times New Roman" w:cs="Times New Roman"/>
          <w:color w:val="000000" w:themeColor="text1"/>
          <w:sz w:val="24"/>
          <w:szCs w:val="24"/>
        </w:rPr>
        <w:t>The restrictions imposed by Section 66A did not fall within any of the specific grounds listed under Article 19(2) of the Constitution, such as public order or incitement to an offence, and were therefore not 'reasonable restrictions' permitted on free speech.</w:t>
      </w:r>
    </w:p>
    <w:p w:rsidRPr="00B21B3E" w:rsidR="005D3C47" w:rsidRDefault="00000000" w14:paraId="43AC8412" w14:textId="77777777">
      <w:pPr>
        <w:pStyle w:val="ListParagraph"/>
        <w:numPr>
          <w:ilvl w:val="0"/>
          <w:numId w:val="1"/>
        </w:numPr>
        <w:spacing w:after="100" w:line="300" w:lineRule="auto"/>
        <w:rPr>
          <w:rFonts w:ascii="Times New Roman" w:hAnsi="Times New Roman" w:cs="Times New Roman"/>
          <w:color w:val="000000" w:themeColor="text1"/>
          <w:sz w:val="24"/>
          <w:szCs w:val="24"/>
        </w:rPr>
      </w:pPr>
      <w:r w:rsidRPr="00B21B3E">
        <w:rPr>
          <w:rFonts w:ascii="Times New Roman" w:hAnsi="Times New Roman" w:cs="Times New Roman"/>
          <w:color w:val="000000" w:themeColor="text1"/>
          <w:sz w:val="24"/>
          <w:szCs w:val="24"/>
        </w:rPr>
        <w:t>The arrest of the two women for a peaceful, opinion-based social media post was a clear example of how such a vague provision could be misused to suppress legitimate political expression.</w:t>
      </w:r>
    </w:p>
    <w:p w:rsidRPr="00B21B3E" w:rsidR="005D3C47" w:rsidRDefault="00000000" w14:paraId="4C536E05" w14:textId="77777777">
      <w:pPr>
        <w:spacing w:after="180" w:line="300" w:lineRule="auto"/>
        <w:jc w:val="both"/>
        <w:rPr>
          <w:rFonts w:ascii="Times New Roman" w:hAnsi="Times New Roman" w:cs="Times New Roman"/>
          <w:color w:val="000000" w:themeColor="text1"/>
          <w:sz w:val="24"/>
          <w:szCs w:val="24"/>
        </w:rPr>
      </w:pPr>
      <w:r w:rsidRPr="00B21B3E">
        <w:rPr>
          <w:rFonts w:ascii="Times New Roman" w:hAnsi="Times New Roman" w:cs="Times New Roman"/>
          <w:b/>
          <w:bCs/>
          <w:color w:val="000000" w:themeColor="text1"/>
          <w:sz w:val="24"/>
          <w:szCs w:val="24"/>
        </w:rPr>
        <w:t>Arguments on behalf of the Union of India (Respondent):</w:t>
      </w:r>
    </w:p>
    <w:p w:rsidRPr="00B21B3E" w:rsidR="005D3C47" w:rsidRDefault="00000000" w14:paraId="37B09A99" w14:textId="77777777">
      <w:pPr>
        <w:pStyle w:val="ListParagraph"/>
        <w:numPr>
          <w:ilvl w:val="0"/>
          <w:numId w:val="1"/>
        </w:numPr>
        <w:spacing w:after="100" w:line="300" w:lineRule="auto"/>
        <w:rPr>
          <w:rFonts w:ascii="Times New Roman" w:hAnsi="Times New Roman" w:cs="Times New Roman"/>
          <w:color w:val="000000" w:themeColor="text1"/>
          <w:sz w:val="24"/>
          <w:szCs w:val="24"/>
        </w:rPr>
      </w:pPr>
      <w:r w:rsidRPr="00B21B3E">
        <w:rPr>
          <w:rFonts w:ascii="Times New Roman" w:hAnsi="Times New Roman" w:cs="Times New Roman"/>
          <w:color w:val="000000" w:themeColor="text1"/>
          <w:sz w:val="24"/>
          <w:szCs w:val="24"/>
        </w:rPr>
        <w:lastRenderedPageBreak/>
        <w:t>Section 66A was necessary to address genuinely harmful and abusive online communication, including messages intended to cause annoyance, inconvenience, or alarm, which could not be adequately addressed by other existing laws.</w:t>
      </w:r>
    </w:p>
    <w:p w:rsidRPr="00B21B3E" w:rsidR="005D3C47" w:rsidRDefault="00000000" w14:paraId="0D279ED3" w14:textId="77777777">
      <w:pPr>
        <w:pStyle w:val="ListParagraph"/>
        <w:numPr>
          <w:ilvl w:val="0"/>
          <w:numId w:val="1"/>
        </w:numPr>
        <w:spacing w:after="100" w:line="300" w:lineRule="auto"/>
        <w:rPr>
          <w:rFonts w:ascii="Times New Roman" w:hAnsi="Times New Roman" w:cs="Times New Roman"/>
          <w:color w:val="000000" w:themeColor="text1"/>
          <w:sz w:val="24"/>
          <w:szCs w:val="24"/>
        </w:rPr>
      </w:pPr>
      <w:r w:rsidRPr="00B21B3E">
        <w:rPr>
          <w:rFonts w:ascii="Times New Roman" w:hAnsi="Times New Roman" w:cs="Times New Roman"/>
          <w:color w:val="000000" w:themeColor="text1"/>
          <w:sz w:val="24"/>
          <w:szCs w:val="24"/>
        </w:rPr>
        <w:t>The internet posed unique challenges, given its wide reach and anonymity, and therefore required a specific legislative tool to regulate harmful online communication that traditional laws, drafted before the digital age, did not adequately cover.</w:t>
      </w:r>
    </w:p>
    <w:p w:rsidRPr="00B21B3E" w:rsidR="005D3C47" w:rsidRDefault="00000000" w14:paraId="4404C3D1" w14:textId="77777777">
      <w:pPr>
        <w:pStyle w:val="ListParagraph"/>
        <w:numPr>
          <w:ilvl w:val="0"/>
          <w:numId w:val="1"/>
        </w:numPr>
        <w:spacing w:after="100" w:line="300" w:lineRule="auto"/>
        <w:rPr>
          <w:rFonts w:ascii="Times New Roman" w:hAnsi="Times New Roman" w:cs="Times New Roman"/>
          <w:color w:val="000000" w:themeColor="text1"/>
          <w:sz w:val="24"/>
          <w:szCs w:val="24"/>
        </w:rPr>
      </w:pPr>
      <w:r w:rsidRPr="00B21B3E">
        <w:rPr>
          <w:rFonts w:ascii="Times New Roman" w:hAnsi="Times New Roman" w:cs="Times New Roman"/>
          <w:color w:val="000000" w:themeColor="text1"/>
          <w:sz w:val="24"/>
          <w:szCs w:val="24"/>
        </w:rPr>
        <w:t>The provision should be read down or interpreted narrowly by the court, rather than struck down entirely, so that its application could be limited to genuinely serious instances of online abuse.</w:t>
      </w:r>
    </w:p>
    <w:p w:rsidRPr="00B21B3E" w:rsidR="005D3C47" w:rsidRDefault="00000000" w14:paraId="05D9077D" w14:textId="77777777">
      <w:pPr>
        <w:pStyle w:val="Heading1"/>
        <w:pBdr>
          <w:bottom w:val="single" w:color="1F3864" w:sz="6" w:space="4"/>
        </w:pBdr>
        <w:spacing w:before="360" w:after="200"/>
        <w:rPr>
          <w:rFonts w:ascii="Times New Roman" w:hAnsi="Times New Roman" w:cs="Times New Roman"/>
          <w:color w:val="000000" w:themeColor="text1"/>
          <w:sz w:val="24"/>
          <w:szCs w:val="24"/>
        </w:rPr>
      </w:pPr>
      <w:r w:rsidRPr="00B21B3E">
        <w:rPr>
          <w:rFonts w:ascii="Times New Roman" w:hAnsi="Times New Roman" w:cs="Times New Roman"/>
          <w:b/>
          <w:bCs/>
          <w:color w:val="000000" w:themeColor="text1"/>
          <w:sz w:val="24"/>
          <w:szCs w:val="24"/>
        </w:rPr>
        <w:t>4. Judgment</w:t>
      </w:r>
    </w:p>
    <w:p w:rsidRPr="00B21B3E" w:rsidR="005D3C47" w:rsidRDefault="00000000" w14:paraId="720102BA" w14:textId="77777777">
      <w:pPr>
        <w:pStyle w:val="Heading2"/>
        <w:spacing w:before="280" w:after="140"/>
        <w:rPr>
          <w:rFonts w:ascii="Times New Roman" w:hAnsi="Times New Roman" w:cs="Times New Roman"/>
          <w:color w:val="000000" w:themeColor="text1"/>
          <w:sz w:val="24"/>
          <w:szCs w:val="24"/>
        </w:rPr>
      </w:pPr>
      <w:r w:rsidRPr="00B21B3E">
        <w:rPr>
          <w:rFonts w:ascii="Times New Roman" w:hAnsi="Times New Roman" w:cs="Times New Roman"/>
          <w:b/>
          <w:bCs/>
          <w:color w:val="000000" w:themeColor="text1"/>
          <w:sz w:val="24"/>
          <w:szCs w:val="24"/>
        </w:rPr>
        <w:t>4.1 Court's Decision</w:t>
      </w:r>
    </w:p>
    <w:p w:rsidRPr="00B21B3E" w:rsidR="005D3C47" w:rsidRDefault="00000000" w14:paraId="2BD27BE1" w14:textId="77777777">
      <w:pPr>
        <w:spacing w:after="180" w:line="300" w:lineRule="auto"/>
        <w:jc w:val="both"/>
        <w:rPr>
          <w:rFonts w:ascii="Times New Roman" w:hAnsi="Times New Roman" w:cs="Times New Roman"/>
          <w:color w:val="000000" w:themeColor="text1"/>
          <w:sz w:val="24"/>
          <w:szCs w:val="24"/>
        </w:rPr>
      </w:pPr>
      <w:r w:rsidRPr="00B21B3E">
        <w:rPr>
          <w:rFonts w:ascii="Times New Roman" w:hAnsi="Times New Roman" w:cs="Times New Roman"/>
          <w:color w:val="000000" w:themeColor="text1"/>
          <w:sz w:val="24"/>
          <w:szCs w:val="24"/>
        </w:rPr>
        <w:t>The Supreme Court ruled unanimously in favour of the petitioners and struck down Section 66A of the Information Technology Act, 2000 in its entirety, holding it to be unconstitutional. The court declined to merely 'read down' the provision to save it, finding instead that its language was so vague and overbroad that the entire section had to be invalidated.</w:t>
      </w:r>
    </w:p>
    <w:p w:rsidRPr="00B21B3E" w:rsidR="005D3C47" w:rsidRDefault="00000000" w14:paraId="44E72634" w14:textId="77777777">
      <w:pPr>
        <w:pStyle w:val="Heading2"/>
        <w:spacing w:before="280" w:after="140"/>
        <w:rPr>
          <w:rFonts w:ascii="Times New Roman" w:hAnsi="Times New Roman" w:cs="Times New Roman"/>
          <w:color w:val="000000" w:themeColor="text1"/>
          <w:sz w:val="24"/>
          <w:szCs w:val="24"/>
        </w:rPr>
      </w:pPr>
      <w:r w:rsidRPr="00B21B3E">
        <w:rPr>
          <w:rFonts w:ascii="Times New Roman" w:hAnsi="Times New Roman" w:cs="Times New Roman"/>
          <w:b/>
          <w:bCs/>
          <w:color w:val="000000" w:themeColor="text1"/>
          <w:sz w:val="24"/>
          <w:szCs w:val="24"/>
        </w:rPr>
        <w:t>4.2 Ratio Decidendi (Judicial Reasoning)</w:t>
      </w:r>
    </w:p>
    <w:p w:rsidRPr="00B21B3E" w:rsidR="005D3C47" w:rsidRDefault="00000000" w14:paraId="72B16CF5" w14:textId="77777777">
      <w:pPr>
        <w:spacing w:after="180" w:line="300" w:lineRule="auto"/>
        <w:jc w:val="both"/>
        <w:rPr>
          <w:rFonts w:ascii="Times New Roman" w:hAnsi="Times New Roman" w:cs="Times New Roman"/>
          <w:color w:val="000000" w:themeColor="text1"/>
          <w:sz w:val="24"/>
          <w:szCs w:val="24"/>
        </w:rPr>
      </w:pPr>
      <w:r w:rsidRPr="00B21B3E">
        <w:rPr>
          <w:rFonts w:ascii="Times New Roman" w:hAnsi="Times New Roman" w:cs="Times New Roman"/>
          <w:color w:val="000000" w:themeColor="text1"/>
          <w:sz w:val="24"/>
          <w:szCs w:val="24"/>
        </w:rPr>
        <w:t>On the protection of online speech: The Supreme Court held that the right to freedom of speech and expression under Article 19(1)(a) of the Constitution applies fully to speech expressed through the internet and social media, just as it applies to speech in newspapers, books, films, and public gatherings. The medium through which speech is expressed does not change the constitutional protection it is entitled to.</w:t>
      </w:r>
    </w:p>
    <w:p w:rsidRPr="00B21B3E" w:rsidR="005D3C47" w:rsidRDefault="00000000" w14:paraId="1BADEB91" w14:textId="77777777">
      <w:pPr>
        <w:spacing w:after="180" w:line="300" w:lineRule="auto"/>
        <w:jc w:val="both"/>
        <w:rPr>
          <w:rFonts w:ascii="Times New Roman" w:hAnsi="Times New Roman" w:cs="Times New Roman"/>
          <w:color w:val="000000" w:themeColor="text1"/>
          <w:sz w:val="24"/>
          <w:szCs w:val="24"/>
        </w:rPr>
      </w:pPr>
      <w:r w:rsidRPr="00B21B3E">
        <w:rPr>
          <w:rFonts w:ascii="Times New Roman" w:hAnsi="Times New Roman" w:cs="Times New Roman"/>
          <w:color w:val="000000" w:themeColor="text1"/>
          <w:sz w:val="24"/>
          <w:szCs w:val="24"/>
        </w:rPr>
        <w:t>On vagueness and the absence of defined standards: The court examined the specific words used in Section 66A and found that terms such as 'annoying', 'inconvenient', 'grossly offensive', and 'menacing character' were undefined and inherently subjective. What one person finds annoying, another may not; this meant that the law failed to give clear, objective guidance to citizens about what speech was prohibited, and left enormous room for arbitrary and inconsistent enforcement by police officers applying their own personal notions of what counted as an offence.</w:t>
      </w:r>
    </w:p>
    <w:p w:rsidRPr="00B21B3E" w:rsidR="005D3C47" w:rsidRDefault="00000000" w14:paraId="7A32D730" w14:textId="77777777">
      <w:pPr>
        <w:spacing w:after="180" w:line="300" w:lineRule="auto"/>
        <w:jc w:val="both"/>
        <w:rPr>
          <w:rFonts w:ascii="Times New Roman" w:hAnsi="Times New Roman" w:cs="Times New Roman"/>
          <w:color w:val="000000" w:themeColor="text1"/>
          <w:sz w:val="24"/>
          <w:szCs w:val="24"/>
        </w:rPr>
      </w:pPr>
      <w:r w:rsidRPr="00B21B3E">
        <w:rPr>
          <w:rFonts w:ascii="Times New Roman" w:hAnsi="Times New Roman" w:cs="Times New Roman"/>
          <w:color w:val="000000" w:themeColor="text1"/>
          <w:sz w:val="24"/>
          <w:szCs w:val="24"/>
        </w:rPr>
        <w:t>On the chilling effect on free speech: The court held that because the provision was so broadly and vaguely worded, it was likely to deter ordinary people from expressing entirely legitimate opinions, comments, or criticism online, out of fear that they might be wrongly arrested or prosecuted. This chilling effect on free expression is precisely the kind of harm that Article 19(1)(a) is designed to prevent.</w:t>
      </w:r>
    </w:p>
    <w:p w:rsidRPr="00B21B3E" w:rsidR="005D3C47" w:rsidRDefault="00000000" w14:paraId="0B765184" w14:textId="77777777">
      <w:pPr>
        <w:spacing w:after="180" w:line="300" w:lineRule="auto"/>
        <w:jc w:val="both"/>
        <w:rPr>
          <w:rFonts w:ascii="Times New Roman" w:hAnsi="Times New Roman" w:cs="Times New Roman"/>
          <w:color w:val="000000" w:themeColor="text1"/>
          <w:sz w:val="24"/>
          <w:szCs w:val="24"/>
        </w:rPr>
      </w:pPr>
      <w:r w:rsidRPr="00B21B3E">
        <w:rPr>
          <w:rFonts w:ascii="Times New Roman" w:hAnsi="Times New Roman" w:cs="Times New Roman"/>
          <w:color w:val="000000" w:themeColor="text1"/>
          <w:sz w:val="24"/>
          <w:szCs w:val="24"/>
        </w:rPr>
        <w:lastRenderedPageBreak/>
        <w:t>On the absence of a valid restriction under Article 19(2): The court examined the specific, narrow grounds listed under Article 19(2) on which free speech may reasonably be restricted, such as public order, decency, morality, defamation, and incitement to an offence. It found that Section 66A did not fit within any of these grounds, since the acts of causing mere annoyance or inconvenience through online speech did not necessarily threaten public order or fall into any of the other permitted categories.</w:t>
      </w:r>
    </w:p>
    <w:p w:rsidRPr="00B21B3E" w:rsidR="005D3C47" w:rsidRDefault="00000000" w14:paraId="5521D8D8" w14:textId="77777777">
      <w:pPr>
        <w:pBdr>
          <w:left w:val="single" w:color="8C6D1F" w:sz="16" w:space="8"/>
        </w:pBdr>
        <w:spacing w:before="120" w:after="200" w:line="280" w:lineRule="auto"/>
        <w:ind w:left="500" w:right="500"/>
        <w:rPr>
          <w:rFonts w:ascii="Times New Roman" w:hAnsi="Times New Roman" w:cs="Times New Roman"/>
          <w:color w:val="000000" w:themeColor="text1"/>
          <w:sz w:val="24"/>
          <w:szCs w:val="24"/>
        </w:rPr>
      </w:pPr>
      <w:r w:rsidRPr="00B21B3E">
        <w:rPr>
          <w:rFonts w:ascii="Times New Roman" w:hAnsi="Times New Roman" w:cs="Times New Roman"/>
          <w:i/>
          <w:iCs/>
          <w:color w:val="000000" w:themeColor="text1"/>
          <w:sz w:val="24"/>
          <w:szCs w:val="24"/>
        </w:rPr>
        <w:t>The public's right to know is directly affected by Section 66A. Information of all kinds is roped in — such information may be defamatory, may be annoying to some, but is not what the Constitution guards against.</w:t>
      </w:r>
    </w:p>
    <w:p w:rsidRPr="00B21B3E" w:rsidR="005D3C47" w:rsidRDefault="00000000" w14:paraId="0E88B089" w14:textId="77777777">
      <w:pPr>
        <w:spacing w:after="180" w:line="300" w:lineRule="auto"/>
        <w:jc w:val="both"/>
        <w:rPr>
          <w:rFonts w:ascii="Times New Roman" w:hAnsi="Times New Roman" w:cs="Times New Roman"/>
          <w:color w:val="000000" w:themeColor="text1"/>
          <w:sz w:val="24"/>
          <w:szCs w:val="24"/>
        </w:rPr>
      </w:pPr>
      <w:r w:rsidRPr="00B21B3E">
        <w:rPr>
          <w:rFonts w:ascii="Times New Roman" w:hAnsi="Times New Roman" w:cs="Times New Roman"/>
          <w:color w:val="000000" w:themeColor="text1"/>
          <w:sz w:val="24"/>
          <w:szCs w:val="24"/>
        </w:rPr>
        <w:t>Taken together, the court concluded that Section 66A imposed restrictions on free speech that went far beyond what Article 19(2) permits, that its vague and undefined language made it inherently prone to arbitrary misuse, and that it therefore had to be struck down in its entirety as unconstitutional.</w:t>
      </w:r>
    </w:p>
    <w:p w:rsidRPr="00B21B3E" w:rsidR="005D3C47" w:rsidRDefault="00000000" w14:paraId="2CE937FC" w14:textId="77777777">
      <w:pPr>
        <w:pStyle w:val="Heading1"/>
        <w:pBdr>
          <w:bottom w:val="single" w:color="1F3864" w:sz="6" w:space="4"/>
        </w:pBdr>
        <w:spacing w:before="360" w:after="200"/>
        <w:rPr>
          <w:rFonts w:ascii="Times New Roman" w:hAnsi="Times New Roman" w:cs="Times New Roman"/>
          <w:color w:val="000000" w:themeColor="text1"/>
          <w:sz w:val="24"/>
          <w:szCs w:val="24"/>
        </w:rPr>
      </w:pPr>
      <w:r w:rsidRPr="00B21B3E">
        <w:rPr>
          <w:rFonts w:ascii="Times New Roman" w:hAnsi="Times New Roman" w:cs="Times New Roman"/>
          <w:b/>
          <w:bCs/>
          <w:color w:val="000000" w:themeColor="text1"/>
          <w:sz w:val="24"/>
          <w:szCs w:val="24"/>
        </w:rPr>
        <w:t>5. Legal Principle: Free Speech &amp; the Vagueness Doctrine</w:t>
      </w:r>
    </w:p>
    <w:p w:rsidRPr="00B21B3E" w:rsidR="005D3C47" w:rsidRDefault="00000000" w14:paraId="0A158B94" w14:textId="77777777">
      <w:pPr>
        <w:spacing w:after="180" w:line="300" w:lineRule="auto"/>
        <w:jc w:val="both"/>
        <w:rPr>
          <w:rFonts w:ascii="Times New Roman" w:hAnsi="Times New Roman" w:cs="Times New Roman"/>
          <w:color w:val="000000" w:themeColor="text1"/>
          <w:sz w:val="24"/>
          <w:szCs w:val="24"/>
        </w:rPr>
      </w:pPr>
      <w:r w:rsidRPr="00B21B3E">
        <w:rPr>
          <w:rFonts w:ascii="Times New Roman" w:hAnsi="Times New Roman" w:cs="Times New Roman"/>
          <w:color w:val="000000" w:themeColor="text1"/>
          <w:sz w:val="24"/>
          <w:szCs w:val="24"/>
        </w:rPr>
        <w:t>This section breaks down the key legal principles established in Shreya Singhal v. Union of India, connecting the case to two closely related ideas: the constitutional scope of freedom of speech in the digital age, and the doctrine of vagueness that limits how criminal laws restricting speech may be worded.</w:t>
      </w:r>
    </w:p>
    <w:p w:rsidRPr="00B21B3E" w:rsidR="005D3C47" w:rsidRDefault="00000000" w14:paraId="779855C0" w14:textId="77777777">
      <w:pPr>
        <w:pStyle w:val="Heading2"/>
        <w:spacing w:before="280" w:after="140"/>
        <w:rPr>
          <w:rFonts w:ascii="Times New Roman" w:hAnsi="Times New Roman" w:cs="Times New Roman"/>
          <w:color w:val="000000" w:themeColor="text1"/>
          <w:sz w:val="24"/>
          <w:szCs w:val="24"/>
        </w:rPr>
      </w:pPr>
      <w:r w:rsidRPr="00B21B3E">
        <w:rPr>
          <w:rFonts w:ascii="Times New Roman" w:hAnsi="Times New Roman" w:cs="Times New Roman"/>
          <w:b/>
          <w:bCs/>
          <w:color w:val="000000" w:themeColor="text1"/>
          <w:sz w:val="24"/>
          <w:szCs w:val="24"/>
        </w:rPr>
        <w:t>5.1 Article 19(1)(a) and Reasonable Restrictions</w:t>
      </w:r>
    </w:p>
    <w:p w:rsidRPr="00B21B3E" w:rsidR="005D3C47" w:rsidRDefault="00000000" w14:paraId="2A1E8E4D" w14:textId="77777777">
      <w:pPr>
        <w:spacing w:after="180" w:line="300" w:lineRule="auto"/>
        <w:jc w:val="both"/>
        <w:rPr>
          <w:rFonts w:ascii="Times New Roman" w:hAnsi="Times New Roman" w:cs="Times New Roman"/>
          <w:color w:val="000000" w:themeColor="text1"/>
          <w:sz w:val="24"/>
          <w:szCs w:val="24"/>
        </w:rPr>
      </w:pPr>
      <w:r w:rsidRPr="00B21B3E">
        <w:rPr>
          <w:rFonts w:ascii="Times New Roman" w:hAnsi="Times New Roman" w:cs="Times New Roman"/>
          <w:color w:val="000000" w:themeColor="text1"/>
          <w:sz w:val="24"/>
          <w:szCs w:val="24"/>
        </w:rPr>
        <w:t>Article 19(1)(a) of the Constitution of India guarantees all citizens the fundamental right to freedom of speech and expression. This right, however, is not absolute; Article 19(2) permits the State to impose 'reasonable restrictions' on this right, but only on a specific, closed list of grounds, including the sovereignty and integrity of India, security of the State, public order, decency or morality, contempt of court, defamation, and incitement to an offence. Shreya Singhal confirms that any law restricting speech, including speech expressed online, must be tested against this specific list of grounds, and that a restriction which does not clearly fall within one of these categories cannot be justified merely because the government considers it convenient or desirable for regulating online conduct.</w:t>
      </w:r>
    </w:p>
    <w:p w:rsidRPr="00B21B3E" w:rsidR="005D3C47" w:rsidRDefault="00000000" w14:paraId="7145FB02" w14:textId="77777777">
      <w:pPr>
        <w:pStyle w:val="Heading2"/>
        <w:spacing w:before="280" w:after="140"/>
        <w:rPr>
          <w:rFonts w:ascii="Times New Roman" w:hAnsi="Times New Roman" w:cs="Times New Roman"/>
          <w:color w:val="000000" w:themeColor="text1"/>
          <w:sz w:val="24"/>
          <w:szCs w:val="24"/>
        </w:rPr>
      </w:pPr>
      <w:r w:rsidRPr="00B21B3E">
        <w:rPr>
          <w:rFonts w:ascii="Times New Roman" w:hAnsi="Times New Roman" w:cs="Times New Roman"/>
          <w:b/>
          <w:bCs/>
          <w:color w:val="000000" w:themeColor="text1"/>
          <w:sz w:val="24"/>
          <w:szCs w:val="24"/>
        </w:rPr>
        <w:t>5.2 Vagueness, Overbreadth &amp; the Chilling Effect</w:t>
      </w:r>
    </w:p>
    <w:p w:rsidRPr="00B21B3E" w:rsidR="005D3C47" w:rsidRDefault="00000000" w14:paraId="24BB702B" w14:textId="77777777">
      <w:pPr>
        <w:spacing w:after="180" w:line="300" w:lineRule="auto"/>
        <w:jc w:val="both"/>
        <w:rPr>
          <w:rFonts w:ascii="Times New Roman" w:hAnsi="Times New Roman" w:cs="Times New Roman"/>
          <w:color w:val="000000" w:themeColor="text1"/>
          <w:sz w:val="24"/>
          <w:szCs w:val="24"/>
        </w:rPr>
      </w:pPr>
      <w:r w:rsidRPr="00B21B3E">
        <w:rPr>
          <w:rFonts w:ascii="Times New Roman" w:hAnsi="Times New Roman" w:cs="Times New Roman"/>
          <w:color w:val="000000" w:themeColor="text1"/>
          <w:sz w:val="24"/>
          <w:szCs w:val="24"/>
        </w:rPr>
        <w:t xml:space="preserve">A central contribution of this case is its clear application of the doctrine of vagueness to a speech-restricting criminal law. A law that criminalises conduct must define that conduct with enough clarity and precision that an ordinary citizen can understand what is prohibited, and that law enforcement authorities are not left with unguided discretion to decide, on a case-by-case and often </w:t>
      </w:r>
      <w:r w:rsidRPr="00B21B3E">
        <w:rPr>
          <w:rFonts w:ascii="Times New Roman" w:hAnsi="Times New Roman" w:cs="Times New Roman"/>
          <w:color w:val="000000" w:themeColor="text1"/>
          <w:sz w:val="24"/>
          <w:szCs w:val="24"/>
        </w:rPr>
        <w:lastRenderedPageBreak/>
        <w:t>subjective basis, what counts as an offence. Because Section 66A used undefined, subjective terms like 'annoying' and 'grossly offensive', it failed this basic requirement of clarity. The court linked this vagueness directly to the concept of a 'chilling effect': when people cannot be sure whether their online speech might expose them to criminal liability, they may simply choose to self-censor and avoid expressing legitimate opinions altogether, which itself damages the free flow of ideas that Article 19(1)(a) is meant to protect.</w:t>
      </w:r>
    </w:p>
    <w:p w:rsidRPr="00B21B3E" w:rsidR="005D3C47" w:rsidRDefault="00000000" w14:paraId="45CADF96" w14:textId="77777777">
      <w:pPr>
        <w:pStyle w:val="Heading2"/>
        <w:spacing w:before="280" w:after="140"/>
        <w:rPr>
          <w:rFonts w:ascii="Times New Roman" w:hAnsi="Times New Roman" w:cs="Times New Roman"/>
          <w:color w:val="000000" w:themeColor="text1"/>
          <w:sz w:val="24"/>
          <w:szCs w:val="24"/>
        </w:rPr>
      </w:pPr>
      <w:r w:rsidRPr="00B21B3E">
        <w:rPr>
          <w:rFonts w:ascii="Times New Roman" w:hAnsi="Times New Roman" w:cs="Times New Roman"/>
          <w:b/>
          <w:bCs/>
          <w:color w:val="000000" w:themeColor="text1"/>
          <w:sz w:val="24"/>
          <w:szCs w:val="24"/>
        </w:rPr>
        <w:t>5.3 Ancillary Pillars &amp; Later Case Law</w:t>
      </w:r>
    </w:p>
    <w:p w:rsidRPr="00B21B3E" w:rsidR="005D3C47" w:rsidRDefault="00000000" w14:paraId="12F05FA7" w14:textId="77777777">
      <w:pPr>
        <w:spacing w:after="180" w:line="300" w:lineRule="auto"/>
        <w:jc w:val="both"/>
        <w:rPr>
          <w:rFonts w:ascii="Times New Roman" w:hAnsi="Times New Roman" w:cs="Times New Roman"/>
          <w:color w:val="000000" w:themeColor="text1"/>
          <w:sz w:val="24"/>
          <w:szCs w:val="24"/>
        </w:rPr>
      </w:pPr>
      <w:r w:rsidRPr="00B21B3E">
        <w:rPr>
          <w:rFonts w:ascii="Times New Roman" w:hAnsi="Times New Roman" w:cs="Times New Roman"/>
          <w:color w:val="000000" w:themeColor="text1"/>
          <w:sz w:val="24"/>
          <w:szCs w:val="24"/>
        </w:rPr>
        <w:t>The Shreya Singhal judgment has had a lasting influence on how Indian courts approach digital rights, speech regulation, and vague criminal provisions.</w:t>
      </w:r>
    </w:p>
    <w:p w:rsidRPr="00B21B3E" w:rsidR="005D3C47" w:rsidRDefault="00000000" w14:paraId="2A923B32" w14:textId="77777777">
      <w:pPr>
        <w:pStyle w:val="ListParagraph"/>
        <w:numPr>
          <w:ilvl w:val="0"/>
          <w:numId w:val="1"/>
        </w:numPr>
        <w:spacing w:after="100" w:line="300" w:lineRule="auto"/>
        <w:rPr>
          <w:rFonts w:ascii="Times New Roman" w:hAnsi="Times New Roman" w:cs="Times New Roman"/>
          <w:color w:val="000000" w:themeColor="text1"/>
          <w:sz w:val="24"/>
          <w:szCs w:val="24"/>
        </w:rPr>
      </w:pPr>
      <w:r w:rsidRPr="00B21B3E">
        <w:rPr>
          <w:rFonts w:ascii="Times New Roman" w:hAnsi="Times New Roman" w:cs="Times New Roman"/>
          <w:color w:val="000000" w:themeColor="text1"/>
          <w:sz w:val="24"/>
          <w:szCs w:val="24"/>
        </w:rPr>
        <w:t>Distinction from Sections 69A and 79: While striking down Section 66A, the Supreme Court upheld the validity of Section 69A of the IT Act, which allows the government to block access to online content through a structured procedure with defined safeguards, and read down Section 79, relating to intermediary liability, to require actual knowledge or a court or government order before an intermediary could be held liable for third-party content.</w:t>
      </w:r>
    </w:p>
    <w:p w:rsidRPr="00B21B3E" w:rsidR="005D3C47" w:rsidRDefault="00000000" w14:paraId="46F5C97A" w14:textId="77777777">
      <w:pPr>
        <w:pStyle w:val="ListParagraph"/>
        <w:numPr>
          <w:ilvl w:val="0"/>
          <w:numId w:val="1"/>
        </w:numPr>
        <w:spacing w:after="100" w:line="300" w:lineRule="auto"/>
        <w:rPr>
          <w:rFonts w:ascii="Times New Roman" w:hAnsi="Times New Roman" w:cs="Times New Roman"/>
          <w:color w:val="000000" w:themeColor="text1"/>
          <w:sz w:val="24"/>
          <w:szCs w:val="24"/>
        </w:rPr>
      </w:pPr>
      <w:r w:rsidRPr="00B21B3E">
        <w:rPr>
          <w:rFonts w:ascii="Times New Roman" w:hAnsi="Times New Roman" w:cs="Times New Roman"/>
          <w:color w:val="000000" w:themeColor="text1"/>
          <w:sz w:val="24"/>
          <w:szCs w:val="24"/>
        </w:rPr>
        <w:t>Anuradha Bhasin v. Union of India [2020]: This later Supreme Court case built on the free-speech reasoning in Shreya Singhal, holding that the right to freedom of speech and expression under Article 19(1)(a) extends to the right to access the internet, and that internet shutdowns must satisfy the tests of necessity and proportionality.</w:t>
      </w:r>
    </w:p>
    <w:p w:rsidRPr="00B21B3E" w:rsidR="005D3C47" w:rsidRDefault="00000000" w14:paraId="5E3F1EC4" w14:textId="77777777">
      <w:pPr>
        <w:pStyle w:val="ListParagraph"/>
        <w:numPr>
          <w:ilvl w:val="0"/>
          <w:numId w:val="1"/>
        </w:numPr>
        <w:spacing w:after="100" w:line="300" w:lineRule="auto"/>
        <w:rPr>
          <w:rFonts w:ascii="Times New Roman" w:hAnsi="Times New Roman" w:cs="Times New Roman"/>
          <w:color w:val="000000" w:themeColor="text1"/>
          <w:sz w:val="24"/>
          <w:szCs w:val="24"/>
        </w:rPr>
      </w:pPr>
      <w:r w:rsidRPr="00B21B3E">
        <w:rPr>
          <w:rFonts w:ascii="Times New Roman" w:hAnsi="Times New Roman" w:cs="Times New Roman"/>
          <w:color w:val="000000" w:themeColor="text1"/>
          <w:sz w:val="24"/>
          <w:szCs w:val="24"/>
        </w:rPr>
        <w:t>Continued relevance in digital rights litigation: Shreya Singhal remains the starting point for any challenge to vague or overbroad laws regulating online speech in India, and it is frequently cited in cases dealing with intermediary liability, content takedown orders, and digital censorship.</w:t>
      </w:r>
    </w:p>
    <w:p w:rsidRPr="00B21B3E" w:rsidR="005D3C47" w:rsidRDefault="00000000" w14:paraId="368C300D" w14:textId="77777777">
      <w:pPr>
        <w:spacing w:after="180" w:line="300" w:lineRule="auto"/>
        <w:jc w:val="both"/>
        <w:rPr>
          <w:rFonts w:ascii="Times New Roman" w:hAnsi="Times New Roman" w:cs="Times New Roman"/>
          <w:color w:val="000000" w:themeColor="text1"/>
          <w:sz w:val="24"/>
          <w:szCs w:val="24"/>
        </w:rPr>
      </w:pPr>
      <w:r w:rsidRPr="00B21B3E">
        <w:rPr>
          <w:rFonts w:ascii="Times New Roman" w:hAnsi="Times New Roman" w:cs="Times New Roman"/>
          <w:color w:val="000000" w:themeColor="text1"/>
          <w:sz w:val="24"/>
          <w:szCs w:val="24"/>
        </w:rPr>
        <w:t>Because of this influence, the case is often described as India's foundational digital free-speech judgment, shaping the constitutional framework within which all subsequent internet regulation in India has had to operate.</w:t>
      </w:r>
    </w:p>
    <w:p w:rsidRPr="00B21B3E" w:rsidR="005D3C47" w:rsidRDefault="00000000" w14:paraId="3B1C3D50" w14:textId="77777777">
      <w:pPr>
        <w:pStyle w:val="Heading1"/>
        <w:pBdr>
          <w:bottom w:val="single" w:color="1F3864" w:sz="6" w:space="4"/>
        </w:pBdr>
        <w:spacing w:before="360" w:after="200"/>
        <w:rPr>
          <w:rFonts w:ascii="Times New Roman" w:hAnsi="Times New Roman" w:cs="Times New Roman"/>
          <w:color w:val="000000" w:themeColor="text1"/>
          <w:sz w:val="24"/>
          <w:szCs w:val="24"/>
        </w:rPr>
      </w:pPr>
      <w:r w:rsidRPr="00B21B3E">
        <w:rPr>
          <w:rFonts w:ascii="Times New Roman" w:hAnsi="Times New Roman" w:cs="Times New Roman"/>
          <w:b/>
          <w:bCs/>
          <w:color w:val="000000" w:themeColor="text1"/>
          <w:sz w:val="24"/>
          <w:szCs w:val="24"/>
        </w:rPr>
        <w:t>6. Business Relevance</w:t>
      </w:r>
    </w:p>
    <w:p w:rsidRPr="00B21B3E" w:rsidR="005D3C47" w:rsidRDefault="00000000" w14:paraId="4568F0B1" w14:textId="77777777">
      <w:pPr>
        <w:pStyle w:val="Heading2"/>
        <w:spacing w:before="280" w:after="140"/>
        <w:rPr>
          <w:rFonts w:ascii="Times New Roman" w:hAnsi="Times New Roman" w:cs="Times New Roman"/>
          <w:color w:val="000000" w:themeColor="text1"/>
          <w:sz w:val="24"/>
          <w:szCs w:val="24"/>
        </w:rPr>
      </w:pPr>
      <w:r w:rsidRPr="00B21B3E">
        <w:rPr>
          <w:rFonts w:ascii="Times New Roman" w:hAnsi="Times New Roman" w:cs="Times New Roman"/>
          <w:b/>
          <w:bCs/>
          <w:color w:val="000000" w:themeColor="text1"/>
          <w:sz w:val="24"/>
          <w:szCs w:val="24"/>
        </w:rPr>
        <w:t>6.1 Application in Modern Business</w:t>
      </w:r>
    </w:p>
    <w:p w:rsidRPr="00B21B3E" w:rsidR="005D3C47" w:rsidRDefault="00000000" w14:paraId="65E68CD7" w14:textId="77777777">
      <w:pPr>
        <w:spacing w:after="180" w:line="300" w:lineRule="auto"/>
        <w:jc w:val="both"/>
        <w:rPr>
          <w:rFonts w:ascii="Times New Roman" w:hAnsi="Times New Roman" w:cs="Times New Roman"/>
          <w:color w:val="000000" w:themeColor="text1"/>
          <w:sz w:val="24"/>
          <w:szCs w:val="24"/>
        </w:rPr>
      </w:pPr>
      <w:r w:rsidRPr="00B21B3E">
        <w:rPr>
          <w:rFonts w:ascii="Times New Roman" w:hAnsi="Times New Roman" w:cs="Times New Roman"/>
          <w:color w:val="000000" w:themeColor="text1"/>
          <w:sz w:val="24"/>
          <w:szCs w:val="24"/>
        </w:rPr>
        <w:t xml:space="preserve">Although Shreya Singhal is a constitutional law case rather than a commercial one, its reasoning has significant, direct relevance for businesses operating digital platforms in India, including social media companies, fintech apps, e-commerce marketplaces, and any business that hosts user-generated content or communication. The case set important boundaries on how vague or broad legal provisions can be used to regulate online expression, which affects how platforms design </w:t>
      </w:r>
      <w:r w:rsidRPr="00B21B3E">
        <w:rPr>
          <w:rFonts w:ascii="Times New Roman" w:hAnsi="Times New Roman" w:cs="Times New Roman"/>
          <w:color w:val="000000" w:themeColor="text1"/>
          <w:sz w:val="24"/>
          <w:szCs w:val="24"/>
        </w:rPr>
        <w:lastRenderedPageBreak/>
        <w:t>their content moderation policies and how they respond to government or law-enforcement requests relating to user content.</w:t>
      </w:r>
    </w:p>
    <w:p w:rsidRPr="00B21B3E" w:rsidR="005D3C47" w:rsidRDefault="00000000" w14:paraId="58B60C70" w14:textId="77777777">
      <w:pPr>
        <w:spacing w:after="180" w:line="300" w:lineRule="auto"/>
        <w:jc w:val="both"/>
        <w:rPr>
          <w:rFonts w:ascii="Times New Roman" w:hAnsi="Times New Roman" w:cs="Times New Roman"/>
          <w:color w:val="000000" w:themeColor="text1"/>
          <w:sz w:val="24"/>
          <w:szCs w:val="24"/>
        </w:rPr>
      </w:pPr>
      <w:r w:rsidRPr="00B21B3E">
        <w:rPr>
          <w:rFonts w:ascii="Times New Roman" w:hAnsi="Times New Roman" w:cs="Times New Roman"/>
          <w:color w:val="000000" w:themeColor="text1"/>
          <w:sz w:val="24"/>
          <w:szCs w:val="24"/>
        </w:rPr>
        <w:t>For fintech and digital businesses specifically, this case is a reminder that any user-facing communication feature, such as chat functions, comment sections, or public reviews, operates within a constitutional framework that strongly protects legitimate expression, even opinions that some users may find annoying or critical. Businesses need to design their terms of service and moderation policies carefully, distinguishing between genuinely harmful or unlawful content and merely unpopular or critical speech, since overly broad content restrictions modelled on something like the struck-down Section 66A could themselves attract legal or reputational risk.</w:t>
      </w:r>
    </w:p>
    <w:p w:rsidRPr="00B21B3E" w:rsidR="005D3C47" w:rsidRDefault="00000000" w14:paraId="5B0819F3" w14:textId="77777777">
      <w:pPr>
        <w:pStyle w:val="Heading2"/>
        <w:spacing w:before="280" w:after="140"/>
        <w:rPr>
          <w:rFonts w:ascii="Times New Roman" w:hAnsi="Times New Roman" w:cs="Times New Roman"/>
          <w:color w:val="000000" w:themeColor="text1"/>
          <w:sz w:val="24"/>
          <w:szCs w:val="24"/>
        </w:rPr>
      </w:pPr>
      <w:r w:rsidRPr="00B21B3E">
        <w:rPr>
          <w:rFonts w:ascii="Times New Roman" w:hAnsi="Times New Roman" w:cs="Times New Roman"/>
          <w:b/>
          <w:bCs/>
          <w:color w:val="000000" w:themeColor="text1"/>
          <w:sz w:val="24"/>
          <w:szCs w:val="24"/>
        </w:rPr>
        <w:t>6.2 Risk Management &amp; Operational Compliance</w:t>
      </w:r>
    </w:p>
    <w:p w:rsidRPr="00B21B3E" w:rsidR="005D3C47" w:rsidRDefault="00000000" w14:paraId="60D86361" w14:textId="77777777">
      <w:pPr>
        <w:spacing w:after="180" w:line="300" w:lineRule="auto"/>
        <w:jc w:val="both"/>
        <w:rPr>
          <w:rFonts w:ascii="Times New Roman" w:hAnsi="Times New Roman" w:cs="Times New Roman"/>
          <w:color w:val="000000" w:themeColor="text1"/>
          <w:sz w:val="24"/>
          <w:szCs w:val="24"/>
        </w:rPr>
      </w:pPr>
      <w:r w:rsidRPr="00B21B3E">
        <w:rPr>
          <w:rFonts w:ascii="Times New Roman" w:hAnsi="Times New Roman" w:cs="Times New Roman"/>
          <w:color w:val="000000" w:themeColor="text1"/>
          <w:sz w:val="24"/>
          <w:szCs w:val="24"/>
        </w:rPr>
        <w:t>Several practical lessons for businesses and platform operators follow from this case:</w:t>
      </w:r>
    </w:p>
    <w:p w:rsidRPr="00B21B3E" w:rsidR="005D3C47" w:rsidRDefault="00000000" w14:paraId="686973DA" w14:textId="77777777">
      <w:pPr>
        <w:pStyle w:val="ListParagraph"/>
        <w:numPr>
          <w:ilvl w:val="0"/>
          <w:numId w:val="1"/>
        </w:numPr>
        <w:spacing w:after="100" w:line="300" w:lineRule="auto"/>
        <w:rPr>
          <w:rFonts w:ascii="Times New Roman" w:hAnsi="Times New Roman" w:cs="Times New Roman"/>
          <w:color w:val="000000" w:themeColor="text1"/>
          <w:sz w:val="24"/>
          <w:szCs w:val="24"/>
        </w:rPr>
      </w:pPr>
      <w:r w:rsidRPr="00B21B3E">
        <w:rPr>
          <w:rFonts w:ascii="Times New Roman" w:hAnsi="Times New Roman" w:cs="Times New Roman"/>
          <w:color w:val="000000" w:themeColor="text1"/>
          <w:sz w:val="24"/>
          <w:szCs w:val="24"/>
        </w:rPr>
        <w:t>Draft clear, specific content policies: Just as the Supreme Court struck down vague statutory language, businesses should avoid vague terms in their own community guidelines and instead define prohibited content, such as harassment, defamation, or incitement, with reasonable clarity and specificity.</w:t>
      </w:r>
    </w:p>
    <w:p w:rsidRPr="00B21B3E" w:rsidR="005D3C47" w:rsidRDefault="00000000" w14:paraId="308E5673" w14:textId="77777777">
      <w:pPr>
        <w:pStyle w:val="ListParagraph"/>
        <w:numPr>
          <w:ilvl w:val="0"/>
          <w:numId w:val="1"/>
        </w:numPr>
        <w:spacing w:after="100" w:line="300" w:lineRule="auto"/>
        <w:rPr>
          <w:rFonts w:ascii="Times New Roman" w:hAnsi="Times New Roman" w:cs="Times New Roman"/>
          <w:color w:val="000000" w:themeColor="text1"/>
          <w:sz w:val="24"/>
          <w:szCs w:val="24"/>
        </w:rPr>
      </w:pPr>
      <w:r w:rsidRPr="00B21B3E">
        <w:rPr>
          <w:rFonts w:ascii="Times New Roman" w:hAnsi="Times New Roman" w:cs="Times New Roman"/>
          <w:color w:val="000000" w:themeColor="text1"/>
          <w:sz w:val="24"/>
          <w:szCs w:val="24"/>
        </w:rPr>
        <w:t>Understand intermediary liability obligations: Digital platforms should be familiar with the framework read into Section 79 of the IT Act, which generally protects intermediaries from liability for third-party content unless they have actual knowledge of unlawful content or fail to act on a valid court or government order.</w:t>
      </w:r>
    </w:p>
    <w:p w:rsidRPr="00B21B3E" w:rsidR="005D3C47" w:rsidRDefault="00000000" w14:paraId="5F9754F7" w14:textId="77777777">
      <w:pPr>
        <w:pStyle w:val="ListParagraph"/>
        <w:numPr>
          <w:ilvl w:val="0"/>
          <w:numId w:val="1"/>
        </w:numPr>
        <w:spacing w:after="100" w:line="300" w:lineRule="auto"/>
        <w:rPr>
          <w:rFonts w:ascii="Times New Roman" w:hAnsi="Times New Roman" w:cs="Times New Roman"/>
          <w:color w:val="000000" w:themeColor="text1"/>
          <w:sz w:val="24"/>
          <w:szCs w:val="24"/>
        </w:rPr>
      </w:pPr>
      <w:r w:rsidRPr="00B21B3E">
        <w:rPr>
          <w:rFonts w:ascii="Times New Roman" w:hAnsi="Times New Roman" w:cs="Times New Roman"/>
          <w:color w:val="000000" w:themeColor="text1"/>
          <w:sz w:val="24"/>
          <w:szCs w:val="24"/>
        </w:rPr>
        <w:t>Avoid over-broad takedown practices: Businesses should resist removing user content merely because it is critical, unpopular, or annoying to some users, since the constitutional protection for such speech remains strong, and should instead act primarily on clearly unlawful content.</w:t>
      </w:r>
    </w:p>
    <w:p w:rsidRPr="00B21B3E" w:rsidR="005D3C47" w:rsidRDefault="00000000" w14:paraId="4BA363BE" w14:textId="77777777">
      <w:pPr>
        <w:pStyle w:val="ListParagraph"/>
        <w:numPr>
          <w:ilvl w:val="0"/>
          <w:numId w:val="1"/>
        </w:numPr>
        <w:spacing w:after="100" w:line="300" w:lineRule="auto"/>
        <w:rPr>
          <w:rFonts w:ascii="Times New Roman" w:hAnsi="Times New Roman" w:cs="Times New Roman"/>
          <w:color w:val="000000" w:themeColor="text1"/>
          <w:sz w:val="24"/>
          <w:szCs w:val="24"/>
        </w:rPr>
      </w:pPr>
      <w:r w:rsidRPr="00B21B3E">
        <w:rPr>
          <w:rFonts w:ascii="Times New Roman" w:hAnsi="Times New Roman" w:cs="Times New Roman"/>
          <w:color w:val="000000" w:themeColor="text1"/>
          <w:sz w:val="24"/>
          <w:szCs w:val="24"/>
        </w:rPr>
        <w:t>Track evolving digital rights jurisprudence: Since cases like Anuradha Bhasin have extended free-speech protections into related areas such as internet access, businesses operating in India should stay alert to how constitutional principles continue to shape regulation of digital platforms and services.</w:t>
      </w:r>
    </w:p>
    <w:p w:rsidRPr="00B21B3E" w:rsidR="005D3C47" w:rsidRDefault="00000000" w14:paraId="56364BF6" w14:textId="77777777">
      <w:pPr>
        <w:pStyle w:val="ListParagraph"/>
        <w:numPr>
          <w:ilvl w:val="0"/>
          <w:numId w:val="1"/>
        </w:numPr>
        <w:spacing w:after="100" w:line="300" w:lineRule="auto"/>
        <w:rPr>
          <w:rFonts w:ascii="Times New Roman" w:hAnsi="Times New Roman" w:cs="Times New Roman"/>
          <w:color w:val="000000" w:themeColor="text1"/>
          <w:sz w:val="24"/>
          <w:szCs w:val="24"/>
        </w:rPr>
      </w:pPr>
      <w:r w:rsidRPr="00B21B3E">
        <w:rPr>
          <w:rFonts w:ascii="Times New Roman" w:hAnsi="Times New Roman" w:cs="Times New Roman"/>
          <w:color w:val="000000" w:themeColor="text1"/>
          <w:sz w:val="24"/>
          <w:szCs w:val="24"/>
        </w:rPr>
        <w:t>Build proportionate compliance processes: When responding to government requests for content removal or user information, platforms should ensure such requests are backed by clear legal authority and due process, consistent with the structured safeguards the court upheld under Section 69A.</w:t>
      </w:r>
    </w:p>
    <w:p w:rsidRPr="00B21B3E" w:rsidR="005D3C47" w:rsidRDefault="00000000" w14:paraId="7C0CF155" w14:textId="77777777">
      <w:pPr>
        <w:pStyle w:val="Heading1"/>
        <w:pBdr>
          <w:bottom w:val="single" w:color="1F3864" w:sz="6" w:space="4"/>
        </w:pBdr>
        <w:spacing w:before="360" w:after="200"/>
        <w:rPr>
          <w:rFonts w:ascii="Times New Roman" w:hAnsi="Times New Roman" w:cs="Times New Roman"/>
          <w:color w:val="000000" w:themeColor="text1"/>
          <w:sz w:val="24"/>
          <w:szCs w:val="24"/>
        </w:rPr>
      </w:pPr>
      <w:r w:rsidRPr="00B21B3E">
        <w:rPr>
          <w:rFonts w:ascii="Times New Roman" w:hAnsi="Times New Roman" w:cs="Times New Roman"/>
          <w:b/>
          <w:bCs/>
          <w:color w:val="000000" w:themeColor="text1"/>
          <w:sz w:val="24"/>
          <w:szCs w:val="24"/>
        </w:rPr>
        <w:t>7. Conclusion</w:t>
      </w:r>
    </w:p>
    <w:p w:rsidRPr="00B21B3E" w:rsidR="005D3C47" w:rsidRDefault="00000000" w14:paraId="17934956" w14:textId="77777777">
      <w:pPr>
        <w:pStyle w:val="Heading2"/>
        <w:spacing w:before="280" w:after="140"/>
        <w:rPr>
          <w:rFonts w:ascii="Times New Roman" w:hAnsi="Times New Roman" w:cs="Times New Roman"/>
          <w:color w:val="000000" w:themeColor="text1"/>
          <w:sz w:val="24"/>
          <w:szCs w:val="24"/>
        </w:rPr>
      </w:pPr>
      <w:r w:rsidRPr="00B21B3E">
        <w:rPr>
          <w:rFonts w:ascii="Times New Roman" w:hAnsi="Times New Roman" w:cs="Times New Roman"/>
          <w:b/>
          <w:bCs/>
          <w:color w:val="000000" w:themeColor="text1"/>
          <w:sz w:val="24"/>
          <w:szCs w:val="24"/>
        </w:rPr>
        <w:lastRenderedPageBreak/>
        <w:t>7.1 Personal Learning and Observations</w:t>
      </w:r>
    </w:p>
    <w:p w:rsidRPr="00B21B3E" w:rsidR="005D3C47" w:rsidRDefault="00000000" w14:paraId="08711AAC" w14:textId="77777777">
      <w:pPr>
        <w:spacing w:after="180" w:line="300" w:lineRule="auto"/>
        <w:jc w:val="both"/>
        <w:rPr>
          <w:rFonts w:ascii="Times New Roman" w:hAnsi="Times New Roman" w:cs="Times New Roman"/>
          <w:color w:val="000000" w:themeColor="text1"/>
          <w:sz w:val="24"/>
          <w:szCs w:val="24"/>
        </w:rPr>
      </w:pPr>
      <w:r w:rsidRPr="00B21B3E">
        <w:rPr>
          <w:rFonts w:ascii="Times New Roman" w:hAnsi="Times New Roman" w:cs="Times New Roman"/>
          <w:color w:val="000000" w:themeColor="text1"/>
          <w:sz w:val="24"/>
          <w:szCs w:val="24"/>
        </w:rPr>
        <w:t>Studying Shreya Singhal v. Union of India has helped me understand that constitutional protections for free speech are not confined to newspapers, books, or public speeches; they extend fully into the digital spaces where most of us now express ourselves every day. What stood out most to me is how the Supreme Court focused so closely on the actual wording of Section 66A, showing that even a law with a seemingly reasonable purpose, discouraging genuinely abusive online messages, can become unconstitutional if it is written so vaguely that it ends up capturing ordinary, legitimate speech as well.</w:t>
      </w:r>
    </w:p>
    <w:p w:rsidRPr="00B21B3E" w:rsidR="005D3C47" w:rsidRDefault="00000000" w14:paraId="7618F553" w14:textId="77777777">
      <w:pPr>
        <w:spacing w:after="180" w:line="300" w:lineRule="auto"/>
        <w:jc w:val="both"/>
        <w:rPr>
          <w:rFonts w:ascii="Times New Roman" w:hAnsi="Times New Roman" w:cs="Times New Roman"/>
          <w:color w:val="000000" w:themeColor="text1"/>
          <w:sz w:val="24"/>
          <w:szCs w:val="24"/>
        </w:rPr>
      </w:pPr>
      <w:r w:rsidRPr="00B21B3E">
        <w:rPr>
          <w:rFonts w:ascii="Times New Roman" w:hAnsi="Times New Roman" w:cs="Times New Roman"/>
          <w:color w:val="000000" w:themeColor="text1"/>
          <w:sz w:val="24"/>
          <w:szCs w:val="24"/>
        </w:rPr>
        <w:t>I also found the concept of a 'chilling effect' particularly powerful; the idea that people might silence themselves out of fear of an unclear law, even before any actual prosecution takes place, shows how vagueness in law can be just as damaging to free expression as an outright ban. As someone studying commerce and financial technology, I think this case is essential for understanding the legal environment in which digital businesses operate in India: platforms must balance protecting users from genuine harm with respecting the strong constitutional protection given to online speech, and this case sets an important boundary that any content-related law or policy, whether made by the government or by a private company, should not cross.</w:t>
      </w:r>
    </w:p>
    <w:p w:rsidRPr="00B21B3E" w:rsidR="005D3C47" w:rsidRDefault="00000000" w14:paraId="36885DE0" w14:textId="77777777">
      <w:pPr>
        <w:pStyle w:val="Heading1"/>
        <w:pBdr>
          <w:bottom w:val="single" w:color="1F3864" w:sz="6" w:space="4"/>
        </w:pBdr>
        <w:spacing w:before="360" w:after="200"/>
        <w:rPr>
          <w:rFonts w:ascii="Times New Roman" w:hAnsi="Times New Roman" w:cs="Times New Roman"/>
          <w:color w:val="000000" w:themeColor="text1"/>
          <w:sz w:val="24"/>
          <w:szCs w:val="24"/>
        </w:rPr>
      </w:pPr>
      <w:r w:rsidRPr="00B21B3E">
        <w:rPr>
          <w:rFonts w:ascii="Times New Roman" w:hAnsi="Times New Roman" w:cs="Times New Roman"/>
          <w:b/>
          <w:bCs/>
          <w:color w:val="000000" w:themeColor="text1"/>
          <w:sz w:val="24"/>
          <w:szCs w:val="24"/>
        </w:rPr>
        <w:t>Annexure: IRAC Summary</w:t>
      </w:r>
    </w:p>
    <w:p w:rsidRPr="00B21B3E" w:rsidR="005D3C47" w:rsidRDefault="00000000" w14:paraId="2886236F" w14:textId="77777777">
      <w:pPr>
        <w:spacing w:after="180" w:line="300" w:lineRule="auto"/>
        <w:jc w:val="both"/>
        <w:rPr>
          <w:rFonts w:ascii="Times New Roman" w:hAnsi="Times New Roman" w:cs="Times New Roman"/>
          <w:color w:val="000000" w:themeColor="text1"/>
          <w:sz w:val="24"/>
          <w:szCs w:val="24"/>
        </w:rPr>
      </w:pPr>
      <w:r w:rsidRPr="00B21B3E">
        <w:rPr>
          <w:rFonts w:ascii="Times New Roman" w:hAnsi="Times New Roman" w:cs="Times New Roman"/>
          <w:color w:val="000000" w:themeColor="text1"/>
          <w:sz w:val="24"/>
          <w:szCs w:val="24"/>
        </w:rPr>
        <w:t>The following table summarises the case using the IRAC (Issue, Rule, Application, Conclusion) method commonly used in legal case analysis:</w:t>
      </w:r>
    </w:p>
    <w:tbl>
      <w:tblPr>
        <w:tblW w:w="9350" w:type="dxa"/>
        <w:tblBorders>
          <w:top w:val="single" w:color="8C8C8C" w:sz="4" w:space="0"/>
          <w:left w:val="single" w:color="8C8C8C" w:sz="4" w:space="0"/>
          <w:bottom w:val="single" w:color="8C8C8C" w:sz="4" w:space="0"/>
          <w:right w:val="single" w:color="8C8C8C" w:sz="4" w:space="0"/>
          <w:insideH w:val="single" w:color="BFBFBF" w:sz="4" w:space="0"/>
          <w:insideV w:val="single" w:color="BFBFBF" w:sz="4" w:space="0"/>
        </w:tblBorders>
        <w:tblCellMar>
          <w:left w:w="10" w:type="dxa"/>
          <w:right w:w="10" w:type="dxa"/>
        </w:tblCellMar>
        <w:tblLook w:val="0000" w:firstRow="0" w:lastRow="0" w:firstColumn="0" w:lastColumn="0" w:noHBand="0" w:noVBand="0"/>
      </w:tblPr>
      <w:tblGrid>
        <w:gridCol w:w="1800"/>
        <w:gridCol w:w="7550"/>
      </w:tblGrid>
      <w:tr w:rsidRPr="00B21B3E" w:rsidR="005D3C47" w14:paraId="34260B41" w14:textId="77777777">
        <w:trPr>
          <w:tblHeader/>
        </w:trPr>
        <w:tc>
          <w:tcPr>
            <w:tcW w:w="1800" w:type="dxa"/>
            <w:shd w:val="clear" w:color="auto" w:fill="1F3864"/>
            <w:tcMar>
              <w:top w:w="100" w:type="dxa"/>
              <w:left w:w="150" w:type="dxa"/>
              <w:bottom w:w="100" w:type="dxa"/>
              <w:right w:w="150" w:type="dxa"/>
            </w:tcMar>
            <w:vAlign w:val="center"/>
          </w:tcPr>
          <w:p w:rsidRPr="00B21B3E" w:rsidR="005D3C47" w:rsidRDefault="00000000" w14:paraId="3D0A109F" w14:textId="77777777">
            <w:pPr>
              <w:rPr>
                <w:rFonts w:ascii="Times New Roman" w:hAnsi="Times New Roman" w:cs="Times New Roman"/>
                <w:color w:val="000000" w:themeColor="text1"/>
                <w:sz w:val="24"/>
                <w:szCs w:val="24"/>
              </w:rPr>
            </w:pPr>
            <w:r w:rsidRPr="00B21B3E">
              <w:rPr>
                <w:rFonts w:ascii="Times New Roman" w:hAnsi="Times New Roman" w:cs="Times New Roman"/>
                <w:b/>
                <w:bCs/>
                <w:color w:val="000000" w:themeColor="text1"/>
                <w:sz w:val="24"/>
                <w:szCs w:val="24"/>
              </w:rPr>
              <w:t>Element</w:t>
            </w:r>
          </w:p>
        </w:tc>
        <w:tc>
          <w:tcPr>
            <w:tcW w:w="7550" w:type="dxa"/>
            <w:shd w:val="clear" w:color="auto" w:fill="1F3864"/>
            <w:tcMar>
              <w:top w:w="100" w:type="dxa"/>
              <w:left w:w="150" w:type="dxa"/>
              <w:bottom w:w="100" w:type="dxa"/>
              <w:right w:w="150" w:type="dxa"/>
            </w:tcMar>
            <w:vAlign w:val="center"/>
          </w:tcPr>
          <w:p w:rsidRPr="00B21B3E" w:rsidR="005D3C47" w:rsidRDefault="00000000" w14:paraId="462C7F8C" w14:textId="77777777">
            <w:pPr>
              <w:rPr>
                <w:rFonts w:ascii="Times New Roman" w:hAnsi="Times New Roman" w:cs="Times New Roman"/>
                <w:color w:val="000000" w:themeColor="text1"/>
                <w:sz w:val="24"/>
                <w:szCs w:val="24"/>
              </w:rPr>
            </w:pPr>
            <w:r w:rsidRPr="00B21B3E">
              <w:rPr>
                <w:rFonts w:ascii="Times New Roman" w:hAnsi="Times New Roman" w:cs="Times New Roman"/>
                <w:b/>
                <w:bCs/>
                <w:color w:val="000000" w:themeColor="text1"/>
                <w:sz w:val="24"/>
                <w:szCs w:val="24"/>
              </w:rPr>
              <w:t>Application to Shreya Singhal v. Union of India</w:t>
            </w:r>
          </w:p>
        </w:tc>
      </w:tr>
      <w:tr w:rsidRPr="00B21B3E" w:rsidR="005D3C47" w14:paraId="6DC5AF04" w14:textId="77777777">
        <w:tc>
          <w:tcPr>
            <w:tcW w:w="1800" w:type="dxa"/>
            <w:shd w:val="clear" w:color="auto" w:fill="F2F2F2"/>
            <w:tcMar>
              <w:top w:w="100" w:type="dxa"/>
              <w:left w:w="150" w:type="dxa"/>
              <w:bottom w:w="100" w:type="dxa"/>
              <w:right w:w="150" w:type="dxa"/>
            </w:tcMar>
            <w:vAlign w:val="center"/>
          </w:tcPr>
          <w:p w:rsidRPr="00B21B3E" w:rsidR="005D3C47" w:rsidRDefault="00000000" w14:paraId="328A9DF2" w14:textId="77777777">
            <w:pPr>
              <w:rPr>
                <w:rFonts w:ascii="Times New Roman" w:hAnsi="Times New Roman" w:cs="Times New Roman"/>
                <w:color w:val="000000" w:themeColor="text1"/>
                <w:sz w:val="24"/>
                <w:szCs w:val="24"/>
              </w:rPr>
            </w:pPr>
            <w:r w:rsidRPr="00B21B3E">
              <w:rPr>
                <w:rFonts w:ascii="Times New Roman" w:hAnsi="Times New Roman" w:cs="Times New Roman"/>
                <w:b/>
                <w:bCs/>
                <w:color w:val="000000" w:themeColor="text1"/>
                <w:sz w:val="24"/>
                <w:szCs w:val="24"/>
              </w:rPr>
              <w:t>Issue</w:t>
            </w:r>
          </w:p>
        </w:tc>
        <w:tc>
          <w:tcPr>
            <w:tcW w:w="7550" w:type="dxa"/>
            <w:shd w:val="clear" w:color="auto" w:fill="F2F2F2"/>
            <w:tcMar>
              <w:top w:w="100" w:type="dxa"/>
              <w:left w:w="150" w:type="dxa"/>
              <w:bottom w:w="100" w:type="dxa"/>
              <w:right w:w="150" w:type="dxa"/>
            </w:tcMar>
            <w:vAlign w:val="center"/>
          </w:tcPr>
          <w:p w:rsidRPr="00B21B3E" w:rsidR="005D3C47" w:rsidRDefault="00000000" w14:paraId="0ADA24E2" w14:textId="77777777">
            <w:pPr>
              <w:rPr>
                <w:rFonts w:ascii="Times New Roman" w:hAnsi="Times New Roman" w:cs="Times New Roman"/>
                <w:color w:val="000000" w:themeColor="text1"/>
                <w:sz w:val="24"/>
                <w:szCs w:val="24"/>
              </w:rPr>
            </w:pPr>
            <w:r w:rsidRPr="00B21B3E">
              <w:rPr>
                <w:rFonts w:ascii="Times New Roman" w:hAnsi="Times New Roman" w:cs="Times New Roman"/>
                <w:color w:val="000000" w:themeColor="text1"/>
                <w:sz w:val="24"/>
                <w:szCs w:val="24"/>
              </w:rPr>
              <w:t>Was Section 66A of the Information Technology Act, 2000 unconstitutional for violating the freedom of speech and expression guaranteed under Article 19(1)(a) of the Constitution?</w:t>
            </w:r>
          </w:p>
        </w:tc>
      </w:tr>
      <w:tr w:rsidRPr="00B21B3E" w:rsidR="005D3C47" w14:paraId="6CF09109" w14:textId="77777777">
        <w:tc>
          <w:tcPr>
            <w:tcW w:w="1800" w:type="dxa"/>
            <w:shd w:val="clear" w:color="auto" w:fill="FFFFFF"/>
            <w:tcMar>
              <w:top w:w="100" w:type="dxa"/>
              <w:left w:w="150" w:type="dxa"/>
              <w:bottom w:w="100" w:type="dxa"/>
              <w:right w:w="150" w:type="dxa"/>
            </w:tcMar>
            <w:vAlign w:val="center"/>
          </w:tcPr>
          <w:p w:rsidRPr="00B21B3E" w:rsidR="005D3C47" w:rsidRDefault="00000000" w14:paraId="53D82024" w14:textId="77777777">
            <w:pPr>
              <w:rPr>
                <w:rFonts w:ascii="Times New Roman" w:hAnsi="Times New Roman" w:cs="Times New Roman"/>
                <w:color w:val="000000" w:themeColor="text1"/>
                <w:sz w:val="24"/>
                <w:szCs w:val="24"/>
              </w:rPr>
            </w:pPr>
            <w:r w:rsidRPr="00B21B3E">
              <w:rPr>
                <w:rFonts w:ascii="Times New Roman" w:hAnsi="Times New Roman" w:cs="Times New Roman"/>
                <w:b/>
                <w:bCs/>
                <w:color w:val="000000" w:themeColor="text1"/>
                <w:sz w:val="24"/>
                <w:szCs w:val="24"/>
              </w:rPr>
              <w:t>Rule</w:t>
            </w:r>
          </w:p>
        </w:tc>
        <w:tc>
          <w:tcPr>
            <w:tcW w:w="7550" w:type="dxa"/>
            <w:shd w:val="clear" w:color="auto" w:fill="FFFFFF"/>
            <w:tcMar>
              <w:top w:w="100" w:type="dxa"/>
              <w:left w:w="150" w:type="dxa"/>
              <w:bottom w:w="100" w:type="dxa"/>
              <w:right w:w="150" w:type="dxa"/>
            </w:tcMar>
            <w:vAlign w:val="center"/>
          </w:tcPr>
          <w:p w:rsidRPr="00B21B3E" w:rsidR="005D3C47" w:rsidRDefault="00000000" w14:paraId="2555F04D" w14:textId="77777777">
            <w:pPr>
              <w:rPr>
                <w:rFonts w:ascii="Times New Roman" w:hAnsi="Times New Roman" w:cs="Times New Roman"/>
                <w:color w:val="000000" w:themeColor="text1"/>
                <w:sz w:val="24"/>
                <w:szCs w:val="24"/>
              </w:rPr>
            </w:pPr>
            <w:r w:rsidRPr="00B21B3E">
              <w:rPr>
                <w:rFonts w:ascii="Times New Roman" w:hAnsi="Times New Roman" w:cs="Times New Roman"/>
                <w:color w:val="000000" w:themeColor="text1"/>
                <w:sz w:val="24"/>
                <w:szCs w:val="24"/>
              </w:rPr>
              <w:t>Restrictions on free speech are valid only if they fall within the specific grounds listed under Article 19(2); a criminal law restricting speech must also be clearly and precisely worded, not vague or overbroad.</w:t>
            </w:r>
          </w:p>
        </w:tc>
      </w:tr>
      <w:tr w:rsidRPr="00B21B3E" w:rsidR="005D3C47" w14:paraId="04C5E709" w14:textId="77777777">
        <w:tc>
          <w:tcPr>
            <w:tcW w:w="1800" w:type="dxa"/>
            <w:shd w:val="clear" w:color="auto" w:fill="F2F2F2"/>
            <w:tcMar>
              <w:top w:w="100" w:type="dxa"/>
              <w:left w:w="150" w:type="dxa"/>
              <w:bottom w:w="100" w:type="dxa"/>
              <w:right w:w="150" w:type="dxa"/>
            </w:tcMar>
            <w:vAlign w:val="center"/>
          </w:tcPr>
          <w:p w:rsidRPr="00B21B3E" w:rsidR="005D3C47" w:rsidRDefault="00000000" w14:paraId="63F90904" w14:textId="77777777">
            <w:pPr>
              <w:rPr>
                <w:rFonts w:ascii="Times New Roman" w:hAnsi="Times New Roman" w:cs="Times New Roman"/>
                <w:color w:val="000000" w:themeColor="text1"/>
                <w:sz w:val="24"/>
                <w:szCs w:val="24"/>
              </w:rPr>
            </w:pPr>
            <w:r w:rsidRPr="00B21B3E">
              <w:rPr>
                <w:rFonts w:ascii="Times New Roman" w:hAnsi="Times New Roman" w:cs="Times New Roman"/>
                <w:b/>
                <w:bCs/>
                <w:color w:val="000000" w:themeColor="text1"/>
                <w:sz w:val="24"/>
                <w:szCs w:val="24"/>
              </w:rPr>
              <w:t>Application</w:t>
            </w:r>
          </w:p>
        </w:tc>
        <w:tc>
          <w:tcPr>
            <w:tcW w:w="7550" w:type="dxa"/>
            <w:shd w:val="clear" w:color="auto" w:fill="F2F2F2"/>
            <w:tcMar>
              <w:top w:w="100" w:type="dxa"/>
              <w:left w:w="150" w:type="dxa"/>
              <w:bottom w:w="100" w:type="dxa"/>
              <w:right w:w="150" w:type="dxa"/>
            </w:tcMar>
            <w:vAlign w:val="center"/>
          </w:tcPr>
          <w:p w:rsidRPr="00B21B3E" w:rsidR="005D3C47" w:rsidRDefault="00000000" w14:paraId="63DBDD4E" w14:textId="77777777">
            <w:pPr>
              <w:rPr>
                <w:rFonts w:ascii="Times New Roman" w:hAnsi="Times New Roman" w:cs="Times New Roman"/>
                <w:color w:val="000000" w:themeColor="text1"/>
                <w:sz w:val="24"/>
                <w:szCs w:val="24"/>
              </w:rPr>
            </w:pPr>
            <w:r w:rsidRPr="00B21B3E">
              <w:rPr>
                <w:rFonts w:ascii="Times New Roman" w:hAnsi="Times New Roman" w:cs="Times New Roman"/>
                <w:color w:val="000000" w:themeColor="text1"/>
                <w:sz w:val="24"/>
                <w:szCs w:val="24"/>
              </w:rPr>
              <w:t>Section 66A used undefined, subjective terms such as 'annoying' and 'grossly offensive', did not fall within any Article 19(2) ground, and created a chilling effect by exposing ordinary online speech to arbitrary prosecution.</w:t>
            </w:r>
          </w:p>
        </w:tc>
      </w:tr>
      <w:tr w:rsidRPr="00B21B3E" w:rsidR="005D3C47" w14:paraId="0F1B8937" w14:textId="77777777">
        <w:tc>
          <w:tcPr>
            <w:tcW w:w="1800" w:type="dxa"/>
            <w:shd w:val="clear" w:color="auto" w:fill="FFFFFF"/>
            <w:tcMar>
              <w:top w:w="100" w:type="dxa"/>
              <w:left w:w="150" w:type="dxa"/>
              <w:bottom w:w="100" w:type="dxa"/>
              <w:right w:w="150" w:type="dxa"/>
            </w:tcMar>
            <w:vAlign w:val="center"/>
          </w:tcPr>
          <w:p w:rsidRPr="00B21B3E" w:rsidR="005D3C47" w:rsidRDefault="00000000" w14:paraId="373CF4C0" w14:textId="77777777">
            <w:pPr>
              <w:rPr>
                <w:rFonts w:ascii="Times New Roman" w:hAnsi="Times New Roman" w:cs="Times New Roman"/>
                <w:color w:val="000000" w:themeColor="text1"/>
                <w:sz w:val="24"/>
                <w:szCs w:val="24"/>
              </w:rPr>
            </w:pPr>
            <w:r w:rsidRPr="00B21B3E">
              <w:rPr>
                <w:rFonts w:ascii="Times New Roman" w:hAnsi="Times New Roman" w:cs="Times New Roman"/>
                <w:b/>
                <w:bCs/>
                <w:color w:val="000000" w:themeColor="text1"/>
                <w:sz w:val="24"/>
                <w:szCs w:val="24"/>
              </w:rPr>
              <w:t>Conclusion</w:t>
            </w:r>
          </w:p>
        </w:tc>
        <w:tc>
          <w:tcPr>
            <w:tcW w:w="7550" w:type="dxa"/>
            <w:shd w:val="clear" w:color="auto" w:fill="FFFFFF"/>
            <w:tcMar>
              <w:top w:w="100" w:type="dxa"/>
              <w:left w:w="150" w:type="dxa"/>
              <w:bottom w:w="100" w:type="dxa"/>
              <w:right w:w="150" w:type="dxa"/>
            </w:tcMar>
            <w:vAlign w:val="center"/>
          </w:tcPr>
          <w:p w:rsidRPr="00B21B3E" w:rsidR="005D3C47" w:rsidRDefault="00000000" w14:paraId="3886313B" w14:textId="77777777">
            <w:pPr>
              <w:rPr>
                <w:rFonts w:ascii="Times New Roman" w:hAnsi="Times New Roman" w:cs="Times New Roman"/>
                <w:color w:val="000000" w:themeColor="text1"/>
                <w:sz w:val="24"/>
                <w:szCs w:val="24"/>
              </w:rPr>
            </w:pPr>
            <w:r w:rsidRPr="00B21B3E">
              <w:rPr>
                <w:rFonts w:ascii="Times New Roman" w:hAnsi="Times New Roman" w:cs="Times New Roman"/>
                <w:color w:val="000000" w:themeColor="text1"/>
                <w:sz w:val="24"/>
                <w:szCs w:val="24"/>
              </w:rPr>
              <w:t>Section 66A was struck down in its entirety as unconstitutional. Online speech was confirmed to enjoy the same protection under Article 19(1)(a) as speech in traditional media.</w:t>
            </w:r>
          </w:p>
        </w:tc>
      </w:tr>
    </w:tbl>
    <w:p w:rsidRPr="00B21B3E" w:rsidR="00055CD9" w:rsidRDefault="00055CD9" w14:paraId="2E6BC239" w14:textId="77777777">
      <w:pPr>
        <w:rPr>
          <w:rFonts w:ascii="Times New Roman" w:hAnsi="Times New Roman" w:cs="Times New Roman"/>
          <w:color w:val="000000" w:themeColor="text1"/>
          <w:sz w:val="24"/>
          <w:szCs w:val="24"/>
        </w:rPr>
      </w:pPr>
    </w:p>
    <w:sectPr w:rsidRPr="00B21B3E" w:rsidR="00055CD9">
      <w:headerReference w:type="default" r:id="rId7"/>
      <w:footerReference w:type="default" r:id="rId8"/>
      <w:pgSz w:w="12240" w:h="15840" w:orient="portrait"/>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A3B4B" w:rsidRDefault="005A3B4B" w14:paraId="57F74B8D" w14:textId="77777777">
      <w:r>
        <w:separator/>
      </w:r>
    </w:p>
  </w:endnote>
  <w:endnote w:type="continuationSeparator" w:id="0">
    <w:p w:rsidR="005A3B4B" w:rsidRDefault="005A3B4B" w14:paraId="1C23931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3C47" w:rsidRDefault="00000000" w14:paraId="3486E864" w14:textId="76E9E55F">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9E08C7">
      <w:rPr>
        <w:noProof/>
        <w:color w:val="595959"/>
        <w:sz w:val="18"/>
        <w:szCs w:val="18"/>
      </w:rPr>
      <w:t>3</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9E08C7">
      <w:rPr>
        <w:noProof/>
        <w:color w:val="595959"/>
        <w:sz w:val="18"/>
        <w:szCs w:val="18"/>
      </w:rPr>
      <w:t>4</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A3B4B" w:rsidRDefault="005A3B4B" w14:paraId="7E22CFA0" w14:textId="77777777">
      <w:r>
        <w:separator/>
      </w:r>
    </w:p>
  </w:footnote>
  <w:footnote w:type="continuationSeparator" w:id="0">
    <w:p w:rsidR="005A3B4B" w:rsidRDefault="005A3B4B" w14:paraId="2252DB4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DD2953" w:rsidR="005D3C47" w:rsidP="00DD2953" w:rsidRDefault="005D3C47" w14:paraId="48044735" w14:textId="676CF3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223E5"/>
    <w:multiLevelType w:val="hybridMultilevel"/>
    <w:tmpl w:val="9984C71A"/>
    <w:lvl w:ilvl="0" w:tplc="DE82A0DA">
      <w:start w:val="1"/>
      <w:numFmt w:val="bullet"/>
      <w:lvlText w:val="•"/>
      <w:lvlJc w:val="left"/>
      <w:pPr>
        <w:ind w:left="720" w:hanging="360"/>
      </w:pPr>
    </w:lvl>
    <w:lvl w:ilvl="1" w:tplc="51E8A740">
      <w:numFmt w:val="decimal"/>
      <w:lvlText w:val=""/>
      <w:lvlJc w:val="left"/>
    </w:lvl>
    <w:lvl w:ilvl="2" w:tplc="BA0CF436">
      <w:numFmt w:val="decimal"/>
      <w:lvlText w:val=""/>
      <w:lvlJc w:val="left"/>
    </w:lvl>
    <w:lvl w:ilvl="3" w:tplc="7CE6E47C">
      <w:numFmt w:val="decimal"/>
      <w:lvlText w:val=""/>
      <w:lvlJc w:val="left"/>
    </w:lvl>
    <w:lvl w:ilvl="4" w:tplc="EF2AC040">
      <w:numFmt w:val="decimal"/>
      <w:lvlText w:val=""/>
      <w:lvlJc w:val="left"/>
    </w:lvl>
    <w:lvl w:ilvl="5" w:tplc="0D420BE2">
      <w:numFmt w:val="decimal"/>
      <w:lvlText w:val=""/>
      <w:lvlJc w:val="left"/>
    </w:lvl>
    <w:lvl w:ilvl="6" w:tplc="539E36C0">
      <w:numFmt w:val="decimal"/>
      <w:lvlText w:val=""/>
      <w:lvlJc w:val="left"/>
    </w:lvl>
    <w:lvl w:ilvl="7" w:tplc="E952A470">
      <w:numFmt w:val="decimal"/>
      <w:lvlText w:val=""/>
      <w:lvlJc w:val="left"/>
    </w:lvl>
    <w:lvl w:ilvl="8" w:tplc="D94E0C30">
      <w:numFmt w:val="decimal"/>
      <w:lvlText w:val=""/>
      <w:lvlJc w:val="left"/>
    </w:lvl>
  </w:abstractNum>
  <w:abstractNum w:abstractNumId="1" w15:restartNumberingAfterBreak="0">
    <w:nsid w:val="5F3666FC"/>
    <w:multiLevelType w:val="hybridMultilevel"/>
    <w:tmpl w:val="4C78FA18"/>
    <w:lvl w:ilvl="0" w:tplc="0E621402">
      <w:start w:val="1"/>
      <w:numFmt w:val="bullet"/>
      <w:lvlText w:val="●"/>
      <w:lvlJc w:val="left"/>
      <w:pPr>
        <w:ind w:left="720" w:hanging="360"/>
      </w:pPr>
    </w:lvl>
    <w:lvl w:ilvl="1" w:tplc="E0662946">
      <w:start w:val="1"/>
      <w:numFmt w:val="bullet"/>
      <w:lvlText w:val="○"/>
      <w:lvlJc w:val="left"/>
      <w:pPr>
        <w:ind w:left="1440" w:hanging="360"/>
      </w:pPr>
    </w:lvl>
    <w:lvl w:ilvl="2" w:tplc="DCA2F412">
      <w:start w:val="1"/>
      <w:numFmt w:val="bullet"/>
      <w:lvlText w:val="■"/>
      <w:lvlJc w:val="left"/>
      <w:pPr>
        <w:ind w:left="2160" w:hanging="360"/>
      </w:pPr>
    </w:lvl>
    <w:lvl w:ilvl="3" w:tplc="1186871E">
      <w:start w:val="1"/>
      <w:numFmt w:val="bullet"/>
      <w:lvlText w:val="●"/>
      <w:lvlJc w:val="left"/>
      <w:pPr>
        <w:ind w:left="2880" w:hanging="360"/>
      </w:pPr>
    </w:lvl>
    <w:lvl w:ilvl="4" w:tplc="24CAA01C">
      <w:start w:val="1"/>
      <w:numFmt w:val="bullet"/>
      <w:lvlText w:val="○"/>
      <w:lvlJc w:val="left"/>
      <w:pPr>
        <w:ind w:left="3600" w:hanging="360"/>
      </w:pPr>
    </w:lvl>
    <w:lvl w:ilvl="5" w:tplc="C5829434">
      <w:start w:val="1"/>
      <w:numFmt w:val="bullet"/>
      <w:lvlText w:val="■"/>
      <w:lvlJc w:val="left"/>
      <w:pPr>
        <w:ind w:left="4320" w:hanging="360"/>
      </w:pPr>
    </w:lvl>
    <w:lvl w:ilvl="6" w:tplc="01F68848">
      <w:start w:val="1"/>
      <w:numFmt w:val="bullet"/>
      <w:lvlText w:val="●"/>
      <w:lvlJc w:val="left"/>
      <w:pPr>
        <w:ind w:left="5040" w:hanging="360"/>
      </w:pPr>
    </w:lvl>
    <w:lvl w:ilvl="7" w:tplc="9146B568">
      <w:start w:val="1"/>
      <w:numFmt w:val="bullet"/>
      <w:lvlText w:val="●"/>
      <w:lvlJc w:val="left"/>
      <w:pPr>
        <w:ind w:left="5760" w:hanging="360"/>
      </w:pPr>
    </w:lvl>
    <w:lvl w:ilvl="8" w:tplc="E4F0648C">
      <w:start w:val="1"/>
      <w:numFmt w:val="bullet"/>
      <w:lvlText w:val="●"/>
      <w:lvlJc w:val="left"/>
      <w:pPr>
        <w:ind w:left="6480" w:hanging="360"/>
      </w:pPr>
    </w:lvl>
  </w:abstractNum>
  <w:num w:numId="1" w16cid:durableId="10232846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C47"/>
    <w:rsid w:val="00055CD9"/>
    <w:rsid w:val="00057D55"/>
    <w:rsid w:val="001078B0"/>
    <w:rsid w:val="005A3B4B"/>
    <w:rsid w:val="005D3C47"/>
    <w:rsid w:val="006A633D"/>
    <w:rsid w:val="009E08C7"/>
    <w:rsid w:val="00A72A53"/>
    <w:rsid w:val="00B21B3E"/>
    <w:rsid w:val="00B737C0"/>
    <w:rsid w:val="00BA4AD2"/>
    <w:rsid w:val="00DD2953"/>
    <w:rsid w:val="2F1315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C8939"/>
  <w15:docId w15:val="{78A72874-B9CE-454E-8A39-D3025708E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737C0"/>
    <w:pPr>
      <w:tabs>
        <w:tab w:val="center" w:pos="4513"/>
        <w:tab w:val="right" w:pos="9026"/>
      </w:tabs>
    </w:pPr>
  </w:style>
  <w:style w:type="character" w:styleId="HeaderChar" w:customStyle="1">
    <w:name w:val="Header Char"/>
    <w:basedOn w:val="DefaultParagraphFont"/>
    <w:link w:val="Header"/>
    <w:uiPriority w:val="99"/>
    <w:rsid w:val="00B737C0"/>
  </w:style>
  <w:style w:type="paragraph" w:styleId="Footer">
    <w:name w:val="footer"/>
    <w:basedOn w:val="Normal"/>
    <w:link w:val="FooterChar"/>
    <w:uiPriority w:val="99"/>
    <w:unhideWhenUsed/>
    <w:rsid w:val="00B737C0"/>
    <w:pPr>
      <w:tabs>
        <w:tab w:val="center" w:pos="4513"/>
        <w:tab w:val="right" w:pos="9026"/>
      </w:tabs>
    </w:pPr>
  </w:style>
  <w:style w:type="character" w:styleId="FooterChar" w:customStyle="1">
    <w:name w:val="Footer Char"/>
    <w:basedOn w:val="DefaultParagraphFont"/>
    <w:link w:val="Footer"/>
    <w:uiPriority w:val="99"/>
    <w:rsid w:val="00B737C0"/>
  </w:style>
  <w:style w:type="character" w:styleId="Heading1Char" w:customStyle="1">
    <w:name w:val="Heading 1 Char"/>
    <w:basedOn w:val="DefaultParagraphFont"/>
    <w:link w:val="Heading1"/>
    <w:uiPriority w:val="9"/>
    <w:rsid w:val="00057D55"/>
    <w:rPr>
      <w:color w:val="2E74B5"/>
      <w:sz w:val="32"/>
      <w:szCs w:val="32"/>
    </w:rPr>
  </w:style>
  <w:style w:type="table" w:styleId="TableGrid">
    <w:name w:val="Table Grid"/>
    <w:basedOn w:val="TableNormal"/>
    <w:uiPriority w:val="39"/>
    <w:rsid w:val="00057D5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Guest User</lastModifiedBy>
  <revision>9</revision>
  <dcterms:created xsi:type="dcterms:W3CDTF">2026-08-21T06:20:00.0000000Z</dcterms:created>
  <dcterms:modified xsi:type="dcterms:W3CDTF">2026-08-28T04:24:06.7394911Z</dcterms:modified>
</coreProperties>
</file>