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ACC7" w14:textId="77777777" w:rsidR="007512E1" w:rsidRDefault="007512E1">
      <w:pPr>
        <w:spacing w:before="2200"/>
      </w:pPr>
    </w:p>
    <w:p w14:paraId="035854DE" w14:textId="77777777" w:rsidR="007512E1" w:rsidRDefault="00187C09">
      <w:pPr>
        <w:spacing w:after="80"/>
        <w:jc w:val="center"/>
      </w:pPr>
      <w:r>
        <w:rPr>
          <w:b/>
          <w:bCs/>
          <w:sz w:val="36"/>
          <w:szCs w:val="36"/>
        </w:rPr>
        <w:t>CASE ANALYSIS REPORT</w:t>
      </w:r>
    </w:p>
    <w:p w14:paraId="6EBC84D0" w14:textId="77777777" w:rsidR="007512E1" w:rsidRDefault="00187C09">
      <w:pPr>
        <w:spacing w:after="600"/>
        <w:jc w:val="center"/>
      </w:pPr>
      <w:r>
        <w:rPr>
          <w:b/>
          <w:bCs/>
          <w:i/>
          <w:iCs/>
          <w:sz w:val="30"/>
          <w:szCs w:val="30"/>
        </w:rPr>
        <w:t xml:space="preserve">Justice K.S. </w:t>
      </w:r>
      <w:proofErr w:type="spellStart"/>
      <w:r>
        <w:rPr>
          <w:b/>
          <w:bCs/>
          <w:i/>
          <w:iCs/>
          <w:sz w:val="30"/>
          <w:szCs w:val="30"/>
        </w:rPr>
        <w:t>Puttaswamy</w:t>
      </w:r>
      <w:proofErr w:type="spellEnd"/>
      <w:r>
        <w:rPr>
          <w:b/>
          <w:bCs/>
          <w:i/>
          <w:iCs/>
          <w:sz w:val="30"/>
          <w:szCs w:val="30"/>
        </w:rPr>
        <w:t xml:space="preserve"> (Retd.) v. Union of India (2017) 10 SCC 1</w:t>
      </w:r>
    </w:p>
    <w:p w14:paraId="51401A4B" w14:textId="77777777" w:rsidR="007512E1" w:rsidRDefault="007512E1">
      <w:pPr>
        <w:spacing w:before="400"/>
      </w:pPr>
    </w:p>
    <w:p w14:paraId="233D9D78" w14:textId="77777777" w:rsidR="007512E1" w:rsidRDefault="00187C09">
      <w:pPr>
        <w:spacing w:after="180"/>
        <w:jc w:val="center"/>
      </w:pPr>
      <w:r>
        <w:rPr>
          <w:b/>
          <w:bCs/>
          <w:sz w:val="28"/>
          <w:szCs w:val="28"/>
        </w:rPr>
        <w:t xml:space="preserve">Student Name:  </w:t>
      </w:r>
      <w:r>
        <w:rPr>
          <w:sz w:val="28"/>
          <w:szCs w:val="28"/>
        </w:rPr>
        <w:t>Deenah N</w:t>
      </w:r>
    </w:p>
    <w:p w14:paraId="0DCEBF7E" w14:textId="77777777" w:rsidR="007512E1" w:rsidRDefault="00187C09">
      <w:pPr>
        <w:spacing w:after="180"/>
        <w:jc w:val="center"/>
      </w:pPr>
      <w:r>
        <w:rPr>
          <w:b/>
          <w:bCs/>
          <w:sz w:val="28"/>
          <w:szCs w:val="28"/>
        </w:rPr>
        <w:t xml:space="preserve">Register Number:  </w:t>
      </w:r>
      <w:r>
        <w:rPr>
          <w:sz w:val="28"/>
          <w:szCs w:val="28"/>
        </w:rPr>
        <w:t>5272510203</w:t>
      </w:r>
    </w:p>
    <w:p w14:paraId="4F94EF68" w14:textId="77777777" w:rsidR="007512E1" w:rsidRDefault="00187C09">
      <w:pPr>
        <w:spacing w:after="180"/>
        <w:jc w:val="center"/>
      </w:pPr>
      <w:r>
        <w:rPr>
          <w:b/>
          <w:bCs/>
          <w:sz w:val="28"/>
          <w:szCs w:val="28"/>
        </w:rPr>
        <w:t xml:space="preserve">Course:  </w:t>
      </w:r>
      <w:r>
        <w:rPr>
          <w:sz w:val="28"/>
          <w:szCs w:val="28"/>
        </w:rPr>
        <w:t>B.com Fintech with AI</w:t>
      </w:r>
    </w:p>
    <w:p w14:paraId="1FB1502F" w14:textId="77777777" w:rsidR="007512E1" w:rsidRDefault="007512E1">
      <w:pPr>
        <w:spacing w:before="2000"/>
      </w:pPr>
    </w:p>
    <w:p w14:paraId="705DE806" w14:textId="77777777" w:rsidR="007512E1" w:rsidRDefault="007512E1">
      <w:pPr>
        <w:sectPr w:rsidR="007512E1">
          <w:pgSz w:w="12240" w:h="15840"/>
          <w:pgMar w:top="1440" w:right="1440" w:bottom="1440" w:left="1440" w:header="708" w:footer="708" w:gutter="0"/>
          <w:cols w:space="720"/>
          <w:docGrid w:linePitch="360"/>
        </w:sectPr>
      </w:pPr>
    </w:p>
    <w:p w14:paraId="5D9B1CEC" w14:textId="77777777" w:rsidR="007512E1" w:rsidRDefault="00187C09">
      <w:pPr>
        <w:pBdr>
          <w:bottom w:val="single" w:sz="6" w:space="4" w:color="000000"/>
        </w:pBdr>
        <w:spacing w:after="300"/>
        <w:jc w:val="center"/>
      </w:pPr>
      <w:r>
        <w:rPr>
          <w:b/>
          <w:bCs/>
        </w:rPr>
        <w:lastRenderedPageBreak/>
        <w:t>Table of Contents</w:t>
      </w:r>
    </w:p>
    <w:p w14:paraId="22B1758F" w14:textId="77777777" w:rsidR="007512E1" w:rsidRDefault="007512E1">
      <w:pPr>
        <w:spacing w:before="200"/>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00"/>
        <w:gridCol w:w="8150"/>
      </w:tblGrid>
      <w:tr w:rsidR="007512E1" w14:paraId="27233623" w14:textId="77777777">
        <w:trPr>
          <w:tblHeader/>
        </w:trPr>
        <w:tc>
          <w:tcPr>
            <w:tcW w:w="1200" w:type="dxa"/>
            <w:tcMar>
              <w:top w:w="120" w:type="dxa"/>
              <w:left w:w="150" w:type="dxa"/>
              <w:bottom w:w="120" w:type="dxa"/>
              <w:right w:w="150" w:type="dxa"/>
            </w:tcMar>
            <w:vAlign w:val="center"/>
          </w:tcPr>
          <w:p w14:paraId="0CF7B10A" w14:textId="77777777" w:rsidR="007512E1" w:rsidRDefault="00187C09">
            <w:pPr>
              <w:jc w:val="center"/>
            </w:pPr>
            <w:r>
              <w:rPr>
                <w:b/>
                <w:bCs/>
              </w:rPr>
              <w:t>S.NO</w:t>
            </w:r>
          </w:p>
        </w:tc>
        <w:tc>
          <w:tcPr>
            <w:tcW w:w="8150" w:type="dxa"/>
            <w:tcMar>
              <w:top w:w="120" w:type="dxa"/>
              <w:left w:w="150" w:type="dxa"/>
              <w:bottom w:w="120" w:type="dxa"/>
              <w:right w:w="150" w:type="dxa"/>
            </w:tcMar>
            <w:vAlign w:val="center"/>
          </w:tcPr>
          <w:p w14:paraId="154F880E" w14:textId="77777777" w:rsidR="007512E1" w:rsidRDefault="00187C09">
            <w:pPr>
              <w:jc w:val="center"/>
            </w:pPr>
            <w:r>
              <w:rPr>
                <w:b/>
                <w:bCs/>
              </w:rPr>
              <w:t>Topics</w:t>
            </w:r>
          </w:p>
        </w:tc>
      </w:tr>
      <w:tr w:rsidR="007512E1" w14:paraId="72E056AB" w14:textId="77777777">
        <w:tc>
          <w:tcPr>
            <w:tcW w:w="1200" w:type="dxa"/>
            <w:tcMar>
              <w:top w:w="120" w:type="dxa"/>
              <w:left w:w="150" w:type="dxa"/>
              <w:bottom w:w="120" w:type="dxa"/>
              <w:right w:w="150" w:type="dxa"/>
            </w:tcMar>
            <w:vAlign w:val="center"/>
          </w:tcPr>
          <w:p w14:paraId="0CE0A746" w14:textId="77777777" w:rsidR="007512E1" w:rsidRDefault="00187C09">
            <w:r>
              <w:t>1</w:t>
            </w:r>
          </w:p>
        </w:tc>
        <w:tc>
          <w:tcPr>
            <w:tcW w:w="8150" w:type="dxa"/>
            <w:tcMar>
              <w:top w:w="120" w:type="dxa"/>
              <w:left w:w="150" w:type="dxa"/>
              <w:bottom w:w="120" w:type="dxa"/>
              <w:right w:w="150" w:type="dxa"/>
            </w:tcMar>
            <w:vAlign w:val="center"/>
          </w:tcPr>
          <w:p w14:paraId="217DD1A4" w14:textId="77777777" w:rsidR="007512E1" w:rsidRDefault="00187C09">
            <w:r>
              <w:t>Introduction</w:t>
            </w:r>
          </w:p>
        </w:tc>
      </w:tr>
      <w:tr w:rsidR="007512E1" w14:paraId="407BED8D" w14:textId="77777777">
        <w:tc>
          <w:tcPr>
            <w:tcW w:w="1200" w:type="dxa"/>
            <w:tcMar>
              <w:top w:w="120" w:type="dxa"/>
              <w:left w:w="150" w:type="dxa"/>
              <w:bottom w:w="120" w:type="dxa"/>
              <w:right w:w="150" w:type="dxa"/>
            </w:tcMar>
            <w:vAlign w:val="center"/>
          </w:tcPr>
          <w:p w14:paraId="2369D303" w14:textId="77777777" w:rsidR="007512E1" w:rsidRDefault="00187C09">
            <w:r>
              <w:t>2</w:t>
            </w:r>
          </w:p>
        </w:tc>
        <w:tc>
          <w:tcPr>
            <w:tcW w:w="8150" w:type="dxa"/>
            <w:tcMar>
              <w:top w:w="120" w:type="dxa"/>
              <w:left w:w="150" w:type="dxa"/>
              <w:bottom w:w="120" w:type="dxa"/>
              <w:right w:w="150" w:type="dxa"/>
            </w:tcMar>
            <w:vAlign w:val="center"/>
          </w:tcPr>
          <w:p w14:paraId="2DD0DB5B" w14:textId="77777777" w:rsidR="007512E1" w:rsidRDefault="00187C09">
            <w:r>
              <w:t>Facts of the case</w:t>
            </w:r>
          </w:p>
        </w:tc>
      </w:tr>
      <w:tr w:rsidR="007512E1" w14:paraId="60BC44F8" w14:textId="77777777">
        <w:tc>
          <w:tcPr>
            <w:tcW w:w="1200" w:type="dxa"/>
            <w:tcMar>
              <w:top w:w="120" w:type="dxa"/>
              <w:left w:w="150" w:type="dxa"/>
              <w:bottom w:w="120" w:type="dxa"/>
              <w:right w:w="150" w:type="dxa"/>
            </w:tcMar>
            <w:vAlign w:val="center"/>
          </w:tcPr>
          <w:p w14:paraId="6D551C9A" w14:textId="77777777" w:rsidR="007512E1" w:rsidRDefault="00187C09">
            <w:r>
              <w:t>3</w:t>
            </w:r>
          </w:p>
        </w:tc>
        <w:tc>
          <w:tcPr>
            <w:tcW w:w="8150" w:type="dxa"/>
            <w:tcMar>
              <w:top w:w="120" w:type="dxa"/>
              <w:left w:w="150" w:type="dxa"/>
              <w:bottom w:w="120" w:type="dxa"/>
              <w:right w:w="150" w:type="dxa"/>
            </w:tcMar>
            <w:vAlign w:val="center"/>
          </w:tcPr>
          <w:p w14:paraId="75372CBD" w14:textId="77777777" w:rsidR="007512E1" w:rsidRDefault="00187C09">
            <w:r>
              <w:t>Legal Issue</w:t>
            </w:r>
          </w:p>
        </w:tc>
      </w:tr>
      <w:tr w:rsidR="007512E1" w14:paraId="6E8B7D0A" w14:textId="77777777">
        <w:tc>
          <w:tcPr>
            <w:tcW w:w="1200" w:type="dxa"/>
            <w:tcMar>
              <w:top w:w="120" w:type="dxa"/>
              <w:left w:w="150" w:type="dxa"/>
              <w:bottom w:w="120" w:type="dxa"/>
              <w:right w:w="150" w:type="dxa"/>
            </w:tcMar>
            <w:vAlign w:val="center"/>
          </w:tcPr>
          <w:p w14:paraId="31AED71B" w14:textId="77777777" w:rsidR="007512E1" w:rsidRDefault="00187C09">
            <w:r>
              <w:t>4</w:t>
            </w:r>
          </w:p>
        </w:tc>
        <w:tc>
          <w:tcPr>
            <w:tcW w:w="8150" w:type="dxa"/>
            <w:tcMar>
              <w:top w:w="120" w:type="dxa"/>
              <w:left w:w="150" w:type="dxa"/>
              <w:bottom w:w="120" w:type="dxa"/>
              <w:right w:w="150" w:type="dxa"/>
            </w:tcMar>
            <w:vAlign w:val="center"/>
          </w:tcPr>
          <w:p w14:paraId="1B7EE7B3" w14:textId="77777777" w:rsidR="007512E1" w:rsidRDefault="00187C09">
            <w:r>
              <w:t>Judgement</w:t>
            </w:r>
          </w:p>
        </w:tc>
      </w:tr>
      <w:tr w:rsidR="007512E1" w14:paraId="04CE7A6D" w14:textId="77777777">
        <w:tc>
          <w:tcPr>
            <w:tcW w:w="1200" w:type="dxa"/>
            <w:tcMar>
              <w:top w:w="120" w:type="dxa"/>
              <w:left w:w="150" w:type="dxa"/>
              <w:bottom w:w="120" w:type="dxa"/>
              <w:right w:w="150" w:type="dxa"/>
            </w:tcMar>
            <w:vAlign w:val="center"/>
          </w:tcPr>
          <w:p w14:paraId="7848DF9E" w14:textId="77777777" w:rsidR="007512E1" w:rsidRDefault="00187C09">
            <w:r>
              <w:t>5</w:t>
            </w:r>
          </w:p>
        </w:tc>
        <w:tc>
          <w:tcPr>
            <w:tcW w:w="8150" w:type="dxa"/>
            <w:tcMar>
              <w:top w:w="120" w:type="dxa"/>
              <w:left w:w="150" w:type="dxa"/>
              <w:bottom w:w="120" w:type="dxa"/>
              <w:right w:w="150" w:type="dxa"/>
            </w:tcMar>
            <w:vAlign w:val="center"/>
          </w:tcPr>
          <w:p w14:paraId="1EB79B53" w14:textId="77777777" w:rsidR="007512E1" w:rsidRDefault="00187C09">
            <w:r>
              <w:t>Legal Principle: Privacy as a Fundamental Right</w:t>
            </w:r>
          </w:p>
        </w:tc>
      </w:tr>
      <w:tr w:rsidR="007512E1" w14:paraId="1576D5D6" w14:textId="77777777">
        <w:tc>
          <w:tcPr>
            <w:tcW w:w="1200" w:type="dxa"/>
            <w:tcMar>
              <w:top w:w="120" w:type="dxa"/>
              <w:left w:w="150" w:type="dxa"/>
              <w:bottom w:w="120" w:type="dxa"/>
              <w:right w:w="150" w:type="dxa"/>
            </w:tcMar>
            <w:vAlign w:val="center"/>
          </w:tcPr>
          <w:p w14:paraId="003B4EB7" w14:textId="77777777" w:rsidR="007512E1" w:rsidRDefault="00187C09">
            <w:r>
              <w:t>6</w:t>
            </w:r>
          </w:p>
        </w:tc>
        <w:tc>
          <w:tcPr>
            <w:tcW w:w="8150" w:type="dxa"/>
            <w:tcMar>
              <w:top w:w="120" w:type="dxa"/>
              <w:left w:w="150" w:type="dxa"/>
              <w:bottom w:w="120" w:type="dxa"/>
              <w:right w:w="150" w:type="dxa"/>
            </w:tcMar>
            <w:vAlign w:val="center"/>
          </w:tcPr>
          <w:p w14:paraId="7E476EE9" w14:textId="77777777" w:rsidR="007512E1" w:rsidRDefault="00187C09">
            <w:r>
              <w:t>Business Relevance</w:t>
            </w:r>
          </w:p>
        </w:tc>
      </w:tr>
      <w:tr w:rsidR="007512E1" w14:paraId="70018509" w14:textId="77777777">
        <w:tc>
          <w:tcPr>
            <w:tcW w:w="1200" w:type="dxa"/>
            <w:tcMar>
              <w:top w:w="120" w:type="dxa"/>
              <w:left w:w="150" w:type="dxa"/>
              <w:bottom w:w="120" w:type="dxa"/>
              <w:right w:w="150" w:type="dxa"/>
            </w:tcMar>
            <w:vAlign w:val="center"/>
          </w:tcPr>
          <w:p w14:paraId="0AF637E8" w14:textId="77777777" w:rsidR="007512E1" w:rsidRDefault="00187C09">
            <w:r>
              <w:t>7</w:t>
            </w:r>
          </w:p>
        </w:tc>
        <w:tc>
          <w:tcPr>
            <w:tcW w:w="8150" w:type="dxa"/>
            <w:tcMar>
              <w:top w:w="120" w:type="dxa"/>
              <w:left w:w="150" w:type="dxa"/>
              <w:bottom w:w="120" w:type="dxa"/>
              <w:right w:w="150" w:type="dxa"/>
            </w:tcMar>
            <w:vAlign w:val="center"/>
          </w:tcPr>
          <w:p w14:paraId="22CB657F" w14:textId="77777777" w:rsidR="007512E1" w:rsidRDefault="00187C09">
            <w:r>
              <w:t>Conclusion</w:t>
            </w:r>
          </w:p>
        </w:tc>
      </w:tr>
    </w:tbl>
    <w:p w14:paraId="0559AA8D" w14:textId="77777777" w:rsidR="007512E1" w:rsidRDefault="007512E1">
      <w:pPr>
        <w:sectPr w:rsidR="007512E1">
          <w:pgSz w:w="12240" w:h="15840"/>
          <w:pgMar w:top="1440" w:right="1440" w:bottom="1440" w:left="1440" w:header="708" w:footer="708" w:gutter="0"/>
          <w:cols w:space="720"/>
          <w:docGrid w:linePitch="360"/>
        </w:sectPr>
      </w:pPr>
    </w:p>
    <w:p w14:paraId="5BF09580" w14:textId="77777777" w:rsidR="007512E1" w:rsidRDefault="00187C09">
      <w:pPr>
        <w:pBdr>
          <w:bottom w:val="single" w:sz="6" w:space="4" w:color="000000"/>
        </w:pBdr>
        <w:spacing w:before="300" w:after="160"/>
      </w:pPr>
      <w:r>
        <w:rPr>
          <w:b/>
          <w:bCs/>
        </w:rPr>
        <w:lastRenderedPageBreak/>
        <w:t>1. Introduction</w:t>
      </w:r>
    </w:p>
    <w:p w14:paraId="37A424C5" w14:textId="77777777" w:rsidR="007512E1" w:rsidRDefault="00187C09">
      <w:pPr>
        <w:spacing w:before="220" w:after="120"/>
      </w:pPr>
      <w:r>
        <w:rPr>
          <w:b/>
          <w:bCs/>
        </w:rPr>
        <w:t>1.1 Case Citation &amp; Jurisdiction</w:t>
      </w:r>
    </w:p>
    <w:p w14:paraId="2F23682B" w14:textId="77777777" w:rsidR="007512E1" w:rsidRDefault="00187C09">
      <w:pPr>
        <w:spacing w:after="160" w:line="300" w:lineRule="auto"/>
        <w:jc w:val="both"/>
      </w:pPr>
      <w:r>
        <w:t xml:space="preserve">Case Name: Justice K.S. </w:t>
      </w:r>
      <w:proofErr w:type="spellStart"/>
      <w:r>
        <w:t>Puttaswamy</w:t>
      </w:r>
      <w:proofErr w:type="spellEnd"/>
      <w:r>
        <w:t xml:space="preserve"> (Retd.) &amp; </w:t>
      </w:r>
      <w:proofErr w:type="spellStart"/>
      <w:r>
        <w:t>Anr</w:t>
      </w:r>
      <w:proofErr w:type="spellEnd"/>
      <w:r>
        <w:t>. v. Union of India &amp; Ors.</w:t>
      </w:r>
    </w:p>
    <w:p w14:paraId="7C6001D9" w14:textId="77777777" w:rsidR="007512E1" w:rsidRDefault="00187C09">
      <w:pPr>
        <w:spacing w:after="160" w:line="300" w:lineRule="auto"/>
        <w:jc w:val="both"/>
      </w:pPr>
      <w:r>
        <w:t>Citation: (2017) 10 SCC 1.</w:t>
      </w:r>
    </w:p>
    <w:p w14:paraId="0A33E5EF" w14:textId="77777777" w:rsidR="007512E1" w:rsidRDefault="00187C09">
      <w:pPr>
        <w:spacing w:after="160" w:line="300" w:lineRule="auto"/>
        <w:jc w:val="both"/>
      </w:pPr>
      <w:r>
        <w:t xml:space="preserve">Court: Supreme Court of India, decided by a nine-judge Constitution Bench headed by Chief Justice J.S. Khehar, along with Justices J. </w:t>
      </w:r>
      <w:proofErr w:type="spellStart"/>
      <w:r>
        <w:t>Chelameswar</w:t>
      </w:r>
      <w:proofErr w:type="spellEnd"/>
      <w:r>
        <w:t>, S.A. Bobde, R.K. Agrawal, R.F. Nariman, A.M. Sapre, D.Y. Chandrachud, S.K. Kaul, and S. Abdul Nazeer.</w:t>
      </w:r>
    </w:p>
    <w:p w14:paraId="0408BE4C" w14:textId="77777777" w:rsidR="007512E1" w:rsidRDefault="00187C09">
      <w:pPr>
        <w:spacing w:after="160" w:line="300" w:lineRule="auto"/>
        <w:jc w:val="both"/>
      </w:pPr>
      <w:r>
        <w:t>Key Provisions: Articles 14, 19, and 21 and Part III of the Constitution of India; the Aadhaar (Targeted Delivery of Financial and Other Subsidies, Benefits and Services) Act, 2016.</w:t>
      </w:r>
    </w:p>
    <w:p w14:paraId="5E790D20" w14:textId="77777777" w:rsidR="007512E1" w:rsidRDefault="00187C09">
      <w:pPr>
        <w:spacing w:after="160" w:line="300" w:lineRule="auto"/>
        <w:jc w:val="both"/>
      </w:pPr>
      <w:r>
        <w:t>Date of Judgment: 24 August 2017.</w:t>
      </w:r>
    </w:p>
    <w:p w14:paraId="64F96235" w14:textId="77777777" w:rsidR="007512E1" w:rsidRDefault="00187C09">
      <w:pPr>
        <w:spacing w:before="220" w:after="120"/>
      </w:pPr>
      <w:r>
        <w:rPr>
          <w:b/>
          <w:bCs/>
        </w:rPr>
        <w:t>1.2 Brief Introduction to the Case</w:t>
      </w:r>
    </w:p>
    <w:p w14:paraId="4E39866F" w14:textId="77777777" w:rsidR="007512E1" w:rsidRDefault="00187C09">
      <w:pPr>
        <w:spacing w:after="160" w:line="300" w:lineRule="auto"/>
        <w:jc w:val="both"/>
      </w:pPr>
      <w:r>
        <w:t xml:space="preserve">Justice K.S. </w:t>
      </w:r>
      <w:proofErr w:type="spellStart"/>
      <w:r>
        <w:t>Puttaswamy</w:t>
      </w:r>
      <w:proofErr w:type="spellEnd"/>
      <w:r>
        <w:t xml:space="preserve"> v. Union of India is widely regarded as one of the most significant constitutional law decisions in India's history, since it settled, once and for all, a question that had remained unresolved for decades: does the Constitution of India guarantee its citizens a fundamental right to privacy? The case began when Justice K.S. Puttaswamy, a retired judge of the Karnataka High Court, along with several other petitioners, challenged the government's Aadhaar scheme, which required citizens to provide biometric information such as fingerprints and iris scans in exchange for a unique identification number used to access welfare benefits and services. The Union Government resisted the challenge partly by arguing that privacy was not actually a fundamental right under the Constitution, relying on older decisions from the 1950s and 1960s. Because of the scale of this constitutional question, the matter was referred to a nine-judge bench, the largest in decades to consider a question outside the basic structure doctrine. In a unanimous verdict, the Supreme Court held that the right to privacy is indeed a fundamental right, intrinsic to the right to life and personal liberty guaranteed under Article 21, reshaping the constitutional landscape for how India thinks about personal data, bodily autonomy, and individual freedom.</w:t>
      </w:r>
    </w:p>
    <w:p w14:paraId="0FE741D8" w14:textId="77777777" w:rsidR="007512E1" w:rsidRDefault="00187C09">
      <w:pPr>
        <w:pBdr>
          <w:bottom w:val="single" w:sz="6" w:space="4" w:color="000000"/>
        </w:pBdr>
        <w:spacing w:before="300" w:after="160"/>
      </w:pPr>
      <w:r>
        <w:rPr>
          <w:b/>
          <w:bCs/>
        </w:rPr>
        <w:t>2. Facts of the Case</w:t>
      </w:r>
    </w:p>
    <w:p w14:paraId="35D5B610" w14:textId="77777777" w:rsidR="007512E1" w:rsidRDefault="00187C09">
      <w:pPr>
        <w:spacing w:before="220" w:after="120"/>
      </w:pPr>
      <w:r>
        <w:rPr>
          <w:b/>
          <w:bCs/>
        </w:rPr>
        <w:t>2.1 Chronological Summary of Events</w:t>
      </w:r>
    </w:p>
    <w:p w14:paraId="62B65F4C" w14:textId="77777777" w:rsidR="007512E1" w:rsidRDefault="00187C09">
      <w:pPr>
        <w:pStyle w:val="ListParagraph"/>
        <w:numPr>
          <w:ilvl w:val="0"/>
          <w:numId w:val="1"/>
        </w:numPr>
        <w:spacing w:after="90" w:line="300" w:lineRule="auto"/>
      </w:pPr>
      <w:r>
        <w:t xml:space="preserve">2012: Justice K.S. </w:t>
      </w:r>
      <w:proofErr w:type="spellStart"/>
      <w:r>
        <w:t>Puttaswamy</w:t>
      </w:r>
      <w:proofErr w:type="spellEnd"/>
      <w:r>
        <w:t xml:space="preserve"> (Retd.), a retired judge of the Karnataka High Court, along with other petitioners, filed a writ petition before the Supreme Court challenging the constitutional validity of the government's Aadhaar scheme.</w:t>
      </w:r>
    </w:p>
    <w:p w14:paraId="0972DE80" w14:textId="77777777" w:rsidR="007512E1" w:rsidRDefault="00187C09">
      <w:pPr>
        <w:pStyle w:val="ListParagraph"/>
        <w:numPr>
          <w:ilvl w:val="0"/>
          <w:numId w:val="1"/>
        </w:numPr>
        <w:spacing w:after="90" w:line="300" w:lineRule="auto"/>
      </w:pPr>
      <w:r>
        <w:lastRenderedPageBreak/>
        <w:t>The petitioners argued that the scheme's mandatory collection of biometric data, including fingerprints and iris scans, by government agencies, without adequate legislative safeguards, infringed upon citizens' fundamental rights, particularly their right to privacy and equality.</w:t>
      </w:r>
    </w:p>
    <w:p w14:paraId="16CE7998" w14:textId="77777777" w:rsidR="007512E1" w:rsidRDefault="00187C09">
      <w:pPr>
        <w:pStyle w:val="ListParagraph"/>
        <w:numPr>
          <w:ilvl w:val="0"/>
          <w:numId w:val="1"/>
        </w:numPr>
        <w:spacing w:after="90" w:line="300" w:lineRule="auto"/>
      </w:pPr>
      <w:r>
        <w:t xml:space="preserve">The Union Government resisted the challenge by relying on two earlier Supreme Court decisions, M.P. Sharma v. Satish Chandra (1954), decided by an eight-judge bench, and </w:t>
      </w:r>
      <w:proofErr w:type="spellStart"/>
      <w:r>
        <w:t>Kharak</w:t>
      </w:r>
      <w:proofErr w:type="spellEnd"/>
      <w:r>
        <w:t xml:space="preserve"> Singh v. State of Uttar Pradesh (1962), decided by a six-judge bench, both of which had suggested that the Constitution did not expressly guarantee a fundamental right to privacy.</w:t>
      </w:r>
    </w:p>
    <w:p w14:paraId="0A1B6C54" w14:textId="77777777" w:rsidR="007512E1" w:rsidRDefault="00187C09">
      <w:pPr>
        <w:pStyle w:val="ListParagraph"/>
        <w:numPr>
          <w:ilvl w:val="0"/>
          <w:numId w:val="1"/>
        </w:numPr>
        <w:spacing w:after="90" w:line="300" w:lineRule="auto"/>
      </w:pPr>
      <w:r>
        <w:t>Because these two larger benches had cast doubt on the existence of a fundamental right to privacy, while several later, smaller benches had assumed or recognised such a right in cases like Gobind v. State of M.P. (1975), R. Rajagopal v. State of Tamil Nadu (1994), and PUCL v. Union of India (1997), a three-judge bench hearing the Aadhaar challenge felt it necessary to resolve this contradiction authoritatively.</w:t>
      </w:r>
    </w:p>
    <w:p w14:paraId="59177728" w14:textId="77777777" w:rsidR="007512E1" w:rsidRDefault="00187C09">
      <w:pPr>
        <w:pStyle w:val="ListParagraph"/>
        <w:numPr>
          <w:ilvl w:val="0"/>
          <w:numId w:val="1"/>
        </w:numPr>
        <w:spacing w:after="90" w:line="300" w:lineRule="auto"/>
      </w:pPr>
      <w:r>
        <w:t>On 18 July 2017, a Constitution Bench presided over by the Chief Justice decided that this foundational question should be resolved by a bench of nine judges, given that overturning the earlier eight-judge and six-judge bench decisions required an equal or larger bench.</w:t>
      </w:r>
    </w:p>
    <w:p w14:paraId="74430C8D" w14:textId="77777777" w:rsidR="007512E1" w:rsidRDefault="00187C09">
      <w:pPr>
        <w:pStyle w:val="ListParagraph"/>
        <w:numPr>
          <w:ilvl w:val="0"/>
          <w:numId w:val="1"/>
        </w:numPr>
        <w:spacing w:after="90" w:line="300" w:lineRule="auto"/>
      </w:pPr>
      <w:r>
        <w:t>The nine-judge bench heard extensive arguments over several days on whether privacy could be read into the fundamental rights guaranteed under Part III of the Constitution, particularly Articles 14, 19, and 21.</w:t>
      </w:r>
    </w:p>
    <w:p w14:paraId="4B4560F4" w14:textId="77777777" w:rsidR="007512E1" w:rsidRDefault="00187C09">
      <w:pPr>
        <w:pStyle w:val="ListParagraph"/>
        <w:numPr>
          <w:ilvl w:val="0"/>
          <w:numId w:val="1"/>
        </w:numPr>
        <w:spacing w:after="90" w:line="300" w:lineRule="auto"/>
      </w:pPr>
      <w:r>
        <w:t>On 24 August 2017, the nine-judge bench delivered its unanimous verdict, holding that the right to privacy is a fundamental right protected under the Constitution of India.</w:t>
      </w:r>
    </w:p>
    <w:p w14:paraId="3FA5417D" w14:textId="77777777" w:rsidR="007512E1" w:rsidRDefault="00187C09">
      <w:pPr>
        <w:spacing w:before="220" w:after="120"/>
      </w:pPr>
      <w:r>
        <w:rPr>
          <w:b/>
          <w:bCs/>
        </w:rPr>
        <w:t>2.2 Material Constitutional Context</w:t>
      </w:r>
    </w:p>
    <w:p w14:paraId="41CE31E0" w14:textId="77777777" w:rsidR="007512E1" w:rsidRDefault="00187C09">
      <w:pPr>
        <w:spacing w:after="160" w:line="300" w:lineRule="auto"/>
        <w:jc w:val="both"/>
      </w:pPr>
      <w:r>
        <w:t>Unlike the earlier cases examined in this series, which largely concerned private commercial transactions or company law, this case arose directly out of the relationship between the citizen and the State, specifically the extent to which the government could collect, store, and use sensitive personal data in the name of administrative efficiency and welfare delivery. The Aadhaar scheme sat at the centre of India's push towards digitising governance and welfare distribution, linking a single biometric identity to subsidies, bank accounts, mobile connections, and a wide range of other services. This created an unprecedented volume of centralised personal data, raising urgent constitutional questions about surveillance, bodily autonomy, and informational self-determination that the Constitution's framers, writing in an era long before biometric databases, had never explicitly addressed in the text of Part III.</w:t>
      </w:r>
    </w:p>
    <w:p w14:paraId="1E5C3392" w14:textId="77777777" w:rsidR="007512E1" w:rsidRDefault="00187C09">
      <w:pPr>
        <w:pBdr>
          <w:bottom w:val="single" w:sz="6" w:space="4" w:color="000000"/>
        </w:pBdr>
        <w:spacing w:before="300" w:after="160"/>
      </w:pPr>
      <w:r>
        <w:rPr>
          <w:b/>
          <w:bCs/>
        </w:rPr>
        <w:lastRenderedPageBreak/>
        <w:t>3. Legal Issue</w:t>
      </w:r>
    </w:p>
    <w:p w14:paraId="52332FAB" w14:textId="77777777" w:rsidR="007512E1" w:rsidRDefault="00187C09">
      <w:pPr>
        <w:spacing w:before="220" w:after="120"/>
      </w:pPr>
      <w:r>
        <w:rPr>
          <w:b/>
          <w:bCs/>
        </w:rPr>
        <w:t>3.1 Primary Question of Law</w:t>
      </w:r>
    </w:p>
    <w:p w14:paraId="10B8A5D7" w14:textId="77777777" w:rsidR="007512E1" w:rsidRDefault="00187C09">
      <w:pPr>
        <w:spacing w:after="160" w:line="300" w:lineRule="auto"/>
        <w:jc w:val="both"/>
      </w:pPr>
      <w:r>
        <w:t>The central legal question before the nine-judge bench was: Does the Constitution of India guarantee a fundamental right to privacy, either as an independent right or as an intrinsic part of the right to life and personal liberty under Article 21 and other rights protected under Part III?</w:t>
      </w:r>
    </w:p>
    <w:p w14:paraId="16BEE01B" w14:textId="77777777" w:rsidR="007512E1" w:rsidRDefault="00187C09">
      <w:pPr>
        <w:spacing w:after="160" w:line="300" w:lineRule="auto"/>
        <w:jc w:val="both"/>
      </w:pPr>
      <w:r>
        <w:t>This broad question can be broken down into related issues that the court also examined:</w:t>
      </w:r>
    </w:p>
    <w:p w14:paraId="33A82BB9" w14:textId="77777777" w:rsidR="007512E1" w:rsidRDefault="00187C09">
      <w:pPr>
        <w:pStyle w:val="ListParagraph"/>
        <w:numPr>
          <w:ilvl w:val="0"/>
          <w:numId w:val="1"/>
        </w:numPr>
        <w:spacing w:after="90" w:line="300" w:lineRule="auto"/>
      </w:pPr>
      <w:r>
        <w:t xml:space="preserve">Should the earlier decisions in M.P. Sharma (1954) and </w:t>
      </w:r>
      <w:proofErr w:type="spellStart"/>
      <w:r>
        <w:t>Kharak</w:t>
      </w:r>
      <w:proofErr w:type="spellEnd"/>
      <w:r>
        <w:t xml:space="preserve"> Singh (1962), which had suggested privacy was not a fundamental right, be overruled in light of later constitutional developments?</w:t>
      </w:r>
    </w:p>
    <w:p w14:paraId="55A22FB9" w14:textId="77777777" w:rsidR="007512E1" w:rsidRDefault="00187C09">
      <w:pPr>
        <w:pStyle w:val="ListParagraph"/>
        <w:numPr>
          <w:ilvl w:val="0"/>
          <w:numId w:val="1"/>
        </w:numPr>
        <w:spacing w:after="90" w:line="300" w:lineRule="auto"/>
      </w:pPr>
      <w:proofErr w:type="gramStart"/>
      <w:r>
        <w:t>Does</w:t>
      </w:r>
      <w:proofErr w:type="gramEnd"/>
      <w:r>
        <w:t xml:space="preserve"> the collection and storage of biometric data under schemes like Aadhaar potentially infringe upon an individual's bodily autonomy and informational privacy?</w:t>
      </w:r>
    </w:p>
    <w:p w14:paraId="4A0DAC0A" w14:textId="77777777" w:rsidR="007512E1" w:rsidRDefault="00187C09">
      <w:pPr>
        <w:pStyle w:val="ListParagraph"/>
        <w:numPr>
          <w:ilvl w:val="0"/>
          <w:numId w:val="1"/>
        </w:numPr>
        <w:spacing w:after="90" w:line="300" w:lineRule="auto"/>
      </w:pPr>
      <w:r>
        <w:t>If privacy is recognised as a fundamental right, is it an absolute right, or can it be restricted by the State, and if so, under what legal standard?</w:t>
      </w:r>
    </w:p>
    <w:p w14:paraId="098DE1B0" w14:textId="77777777" w:rsidR="007512E1" w:rsidRDefault="00187C09">
      <w:pPr>
        <w:spacing w:before="220" w:after="120"/>
      </w:pPr>
      <w:r>
        <w:rPr>
          <w:b/>
          <w:bCs/>
        </w:rPr>
        <w:t>3.2 Points of Contention</w:t>
      </w:r>
    </w:p>
    <w:p w14:paraId="2317DF8D" w14:textId="77777777" w:rsidR="007512E1" w:rsidRDefault="00187C09">
      <w:pPr>
        <w:spacing w:after="160" w:line="300" w:lineRule="auto"/>
        <w:jc w:val="both"/>
      </w:pPr>
      <w:r>
        <w:rPr>
          <w:b/>
          <w:bCs/>
        </w:rPr>
        <w:t xml:space="preserve">Arguments on behalf of the Petitioners (Justice </w:t>
      </w:r>
      <w:proofErr w:type="spellStart"/>
      <w:r>
        <w:rPr>
          <w:b/>
          <w:bCs/>
        </w:rPr>
        <w:t>Puttaswamy</w:t>
      </w:r>
      <w:proofErr w:type="spellEnd"/>
      <w:r>
        <w:rPr>
          <w:b/>
          <w:bCs/>
        </w:rPr>
        <w:t xml:space="preserve"> and Others):</w:t>
      </w:r>
    </w:p>
    <w:p w14:paraId="65E7EA0E" w14:textId="77777777" w:rsidR="007512E1" w:rsidRDefault="00187C09">
      <w:pPr>
        <w:pStyle w:val="ListParagraph"/>
        <w:numPr>
          <w:ilvl w:val="0"/>
          <w:numId w:val="1"/>
        </w:numPr>
        <w:spacing w:after="90" w:line="300" w:lineRule="auto"/>
      </w:pPr>
      <w:r>
        <w:t>Privacy is a natural and inalienable right, essential to human dignity, personal autonomy, and the meaningful exercise of other fundamental rights such as freedom of speech, movement, and personal liberty.</w:t>
      </w:r>
    </w:p>
    <w:p w14:paraId="0D0B0005" w14:textId="77777777" w:rsidR="007512E1" w:rsidRDefault="00187C09">
      <w:pPr>
        <w:pStyle w:val="ListParagraph"/>
        <w:numPr>
          <w:ilvl w:val="0"/>
          <w:numId w:val="1"/>
        </w:numPr>
        <w:spacing w:after="90" w:line="300" w:lineRule="auto"/>
      </w:pPr>
      <w:r>
        <w:t xml:space="preserve">The earlier decisions in M.P. Sharma and </w:t>
      </w:r>
      <w:proofErr w:type="spellStart"/>
      <w:r>
        <w:t>Kharak</w:t>
      </w:r>
      <w:proofErr w:type="spellEnd"/>
      <w:r>
        <w:t xml:space="preserve"> Singh had been decided without the benefit of the extensive constitutional and comparative jurisprudence that had developed since, and no longer reflected the correct constitutional position.</w:t>
      </w:r>
    </w:p>
    <w:p w14:paraId="7A0C66A0" w14:textId="77777777" w:rsidR="007512E1" w:rsidRDefault="00187C09">
      <w:pPr>
        <w:pStyle w:val="ListParagraph"/>
        <w:numPr>
          <w:ilvl w:val="0"/>
          <w:numId w:val="1"/>
        </w:numPr>
        <w:spacing w:after="90" w:line="300" w:lineRule="auto"/>
      </w:pPr>
      <w:r>
        <w:t>Mandatory collection of sensitive biometric data under the Aadhaar scheme, without robust statutory safeguards on its collection, storage, and use, posed serious risks of surveillance, data misuse, and exclusion of vulnerable citizens from essential services.</w:t>
      </w:r>
    </w:p>
    <w:p w14:paraId="48CA0BC6" w14:textId="77777777" w:rsidR="007512E1" w:rsidRDefault="00187C09">
      <w:pPr>
        <w:spacing w:after="160" w:line="300" w:lineRule="auto"/>
        <w:jc w:val="both"/>
      </w:pPr>
      <w:r>
        <w:rPr>
          <w:b/>
          <w:bCs/>
        </w:rPr>
        <w:t>Arguments on behalf of the Union of India (Respondent):</w:t>
      </w:r>
    </w:p>
    <w:p w14:paraId="0A328A51" w14:textId="77777777" w:rsidR="007512E1" w:rsidRDefault="00187C09">
      <w:pPr>
        <w:pStyle w:val="ListParagraph"/>
        <w:numPr>
          <w:ilvl w:val="0"/>
          <w:numId w:val="1"/>
        </w:numPr>
        <w:spacing w:after="90" w:line="300" w:lineRule="auto"/>
      </w:pPr>
      <w:r>
        <w:t>The Constitution of India did not expressly enumerate a fundamental right to privacy, and courts should be cautious about reading new, unenumerated rights into the constitutional text.</w:t>
      </w:r>
    </w:p>
    <w:p w14:paraId="4FF101AB" w14:textId="77777777" w:rsidR="007512E1" w:rsidRDefault="00187C09">
      <w:pPr>
        <w:pStyle w:val="ListParagraph"/>
        <w:numPr>
          <w:ilvl w:val="0"/>
          <w:numId w:val="1"/>
        </w:numPr>
        <w:spacing w:after="90" w:line="300" w:lineRule="auto"/>
      </w:pPr>
      <w:r>
        <w:t>Schemes like Aadhaar served important public purposes, including more efficient and accurate delivery of welfare subsidies and the prevention of fraud and duplication in government benefit programmes, which justified reasonable data collection.</w:t>
      </w:r>
    </w:p>
    <w:p w14:paraId="6BD9D875" w14:textId="77777777" w:rsidR="007512E1" w:rsidRDefault="00187C09">
      <w:pPr>
        <w:pStyle w:val="ListParagraph"/>
        <w:numPr>
          <w:ilvl w:val="0"/>
          <w:numId w:val="1"/>
        </w:numPr>
        <w:spacing w:after="90" w:line="300" w:lineRule="auto"/>
      </w:pPr>
      <w:r>
        <w:lastRenderedPageBreak/>
        <w:t>Even if some privacy protections existed, they should not be treated as absolute, since the State needed sufficient flexibility to pursue legitimate governance objectives, including national security and effective welfare administration.</w:t>
      </w:r>
    </w:p>
    <w:p w14:paraId="1F51EA74" w14:textId="77777777" w:rsidR="007512E1" w:rsidRDefault="00187C09">
      <w:pPr>
        <w:pBdr>
          <w:bottom w:val="single" w:sz="6" w:space="4" w:color="000000"/>
        </w:pBdr>
        <w:spacing w:before="300" w:after="160"/>
      </w:pPr>
      <w:r>
        <w:rPr>
          <w:b/>
          <w:bCs/>
        </w:rPr>
        <w:t>4. Judgement</w:t>
      </w:r>
    </w:p>
    <w:p w14:paraId="249C37FD" w14:textId="77777777" w:rsidR="007512E1" w:rsidRDefault="00187C09">
      <w:pPr>
        <w:spacing w:before="220" w:after="120"/>
      </w:pPr>
      <w:r>
        <w:rPr>
          <w:b/>
          <w:bCs/>
        </w:rPr>
        <w:t>4.1 Court's Decision</w:t>
      </w:r>
    </w:p>
    <w:p w14:paraId="181CA234" w14:textId="77777777" w:rsidR="007512E1" w:rsidRDefault="00187C09">
      <w:pPr>
        <w:spacing w:after="160" w:line="300" w:lineRule="auto"/>
        <w:jc w:val="both"/>
      </w:pPr>
      <w:r>
        <w:t xml:space="preserve">The nine-judge bench delivered a unanimous verdict, holding that the right to privacy is a fundamental right, protected as an intrinsic part of the right to life and personal liberty under Article 21, and as a part of the freedoms guaranteed by Part III of the Constitution more broadly. In doing so, the Court expressly overruled the earlier decisions in M.P. Sharma (1954) and </w:t>
      </w:r>
      <w:proofErr w:type="spellStart"/>
      <w:r>
        <w:t>Kharak</w:t>
      </w:r>
      <w:proofErr w:type="spellEnd"/>
      <w:r>
        <w:t xml:space="preserve"> Singh (1962) to the extent that they had held privacy was not a fundamental right.</w:t>
      </w:r>
    </w:p>
    <w:p w14:paraId="1D876EB3" w14:textId="77777777" w:rsidR="007512E1" w:rsidRDefault="00187C09">
      <w:pPr>
        <w:spacing w:before="220" w:after="120"/>
      </w:pPr>
      <w:r>
        <w:rPr>
          <w:b/>
          <w:bCs/>
        </w:rPr>
        <w:t>4.2 Ratio Decidendi (Judicial Reasoning)</w:t>
      </w:r>
    </w:p>
    <w:p w14:paraId="6FAE7947" w14:textId="77777777" w:rsidR="007512E1" w:rsidRDefault="00187C09">
      <w:pPr>
        <w:spacing w:after="160" w:line="300" w:lineRule="auto"/>
        <w:jc w:val="both"/>
      </w:pPr>
      <w:r>
        <w:t>On privacy as intrinsic to human dignity and liberty: The Court reasoned that privacy is not a luxury or a mere common law entitlement, but an essential attribute of human dignity, enabling individuals to make personal choices about their bodies, relationships, beliefs, and identities, free from unwarranted interference by the State or others. Since Article 21 protects the right to life and personal liberty, and dignity is a core element of a meaningful life, privacy had to be read as an inseparable part of that guarantee.</w:t>
      </w:r>
    </w:p>
    <w:p w14:paraId="136F9819" w14:textId="77777777" w:rsidR="007512E1" w:rsidRDefault="00187C09">
      <w:pPr>
        <w:spacing w:after="160" w:line="300" w:lineRule="auto"/>
        <w:jc w:val="both"/>
      </w:pPr>
      <w:r>
        <w:t xml:space="preserve">On overruling M.P. Sharma and </w:t>
      </w:r>
      <w:proofErr w:type="spellStart"/>
      <w:r>
        <w:t>Kharak</w:t>
      </w:r>
      <w:proofErr w:type="spellEnd"/>
      <w:r>
        <w:t xml:space="preserve"> Singh: The Court held that the reasoning in these earlier decisions, which had suggested that privacy was not expressly mentioned in the Constitution and therefore could not be protected, reflected an outdated and overly narrow approach to constitutional interpretation. Modern constitutional jurisprudence recognises that fundamental rights are not confined to what is explicitly written, but include rights that are necessary to give full meaning to the rights that are written, such as life, liberty, and equality.</w:t>
      </w:r>
    </w:p>
    <w:p w14:paraId="3B2AC1F0" w14:textId="77777777" w:rsidR="007512E1" w:rsidRDefault="00187C09">
      <w:pPr>
        <w:spacing w:after="160" w:line="300" w:lineRule="auto"/>
        <w:jc w:val="both"/>
      </w:pPr>
      <w:r>
        <w:t>On the multiple dimensions of privacy: The various concurring opinions collectively recognised that privacy is not a single, narrow concept, but a multi-dimensional right encompassing at least three overlapping aspects: physical or spatial privacy (freedom from intrusion into one's home or body), decisional or personal autonomy (the freedom to make intimate personal choices), and informational privacy (control over the collection, storage, and use of one's personal data).</w:t>
      </w:r>
    </w:p>
    <w:p w14:paraId="725ED945" w14:textId="77777777" w:rsidR="007512E1" w:rsidRDefault="00187C09">
      <w:pPr>
        <w:spacing w:after="160" w:line="300" w:lineRule="auto"/>
        <w:jc w:val="both"/>
      </w:pPr>
      <w:r>
        <w:t>On the non-absolute nature of the right: The Court made clear that while privacy is a fundamental right, it is not absolute and can be validly restricted by the State, provided such restrictions meet a specific constitutional standard designed to prevent arbitrary or excessive interference with individual freedom.</w:t>
      </w:r>
    </w:p>
    <w:p w14:paraId="3BC2180A" w14:textId="77777777" w:rsidR="007512E1" w:rsidRDefault="00187C09">
      <w:pPr>
        <w:pBdr>
          <w:left w:val="single" w:sz="12" w:space="8" w:color="000000"/>
        </w:pBdr>
        <w:spacing w:before="100" w:after="180" w:line="280" w:lineRule="auto"/>
        <w:ind w:left="500" w:right="500"/>
      </w:pPr>
      <w:r>
        <w:rPr>
          <w:i/>
          <w:iCs/>
        </w:rPr>
        <w:lastRenderedPageBreak/>
        <w:t>Privacy is a constitutionally protected right which emerges primarily from the guarantee of life and personal liberty in Article 21 of the Constitution... Privacy is not lost or surrendered merely because the individual is in a public place.</w:t>
      </w:r>
    </w:p>
    <w:p w14:paraId="202107BC" w14:textId="77777777" w:rsidR="007512E1" w:rsidRDefault="00187C09">
      <w:pPr>
        <w:spacing w:after="160" w:line="300" w:lineRule="auto"/>
        <w:jc w:val="both"/>
      </w:pPr>
      <w:r>
        <w:t>Taken together, the Court concluded that the right to privacy is firmly embedded in the constitutional guarantee of life and personal liberty, that the earlier contrary precedents no longer represented good law, and that any State action restricting this right would henceforth have to satisfy a defined, structured legal test.</w:t>
      </w:r>
    </w:p>
    <w:p w14:paraId="2E327171" w14:textId="77777777" w:rsidR="007512E1" w:rsidRDefault="00187C09">
      <w:pPr>
        <w:pBdr>
          <w:bottom w:val="single" w:sz="6" w:space="4" w:color="000000"/>
        </w:pBdr>
        <w:spacing w:before="300" w:after="160"/>
      </w:pPr>
      <w:r>
        <w:rPr>
          <w:b/>
          <w:bCs/>
        </w:rPr>
        <w:t>5. Legal Principle: Privacy as a Fundamental Right</w:t>
      </w:r>
    </w:p>
    <w:p w14:paraId="6036D417" w14:textId="77777777" w:rsidR="007512E1" w:rsidRDefault="00187C09">
      <w:pPr>
        <w:spacing w:after="160" w:line="300" w:lineRule="auto"/>
        <w:jc w:val="both"/>
      </w:pPr>
      <w:r>
        <w:t>This section breaks down the two central legal principles established in this case: the recognition of privacy as an intrinsic fundamental right, and the structured three-fold test that governs when the State may lawfully restrict that right.</w:t>
      </w:r>
    </w:p>
    <w:p w14:paraId="3273609B" w14:textId="77777777" w:rsidR="007512E1" w:rsidRDefault="00187C09">
      <w:pPr>
        <w:spacing w:before="220" w:after="120"/>
      </w:pPr>
      <w:r>
        <w:rPr>
          <w:b/>
          <w:bCs/>
        </w:rPr>
        <w:t>5.1 Privacy as Intrinsic to Article 21</w:t>
      </w:r>
    </w:p>
    <w:p w14:paraId="0F4DE384" w14:textId="77777777" w:rsidR="007512E1" w:rsidRDefault="00187C09">
      <w:pPr>
        <w:spacing w:after="160" w:line="300" w:lineRule="auto"/>
        <w:jc w:val="both"/>
      </w:pPr>
      <w:r>
        <w:t>The most significant and lasting contribution of this judgment is its clear holding that the right to privacy is not a separate, free-standing right that needed to be specially inserted into the Constitution, but rather an idea already inherent in the existing guarantee of life and personal liberty under Article 21, as well as in the freedoms protected under Articles 14 and 19. This meant that privacy did not require a constitutional amendment to be recognised; the Court found it was always implicit in the constitutional text, once properly and purposively interpreted. This approach reflects a broader principle in Indian constitutional law that fundamental rights are to be interpreted generously and in a manner that gives full effect to their underlying purpose, human dignity and liberty, rather than being limited strictly to their literal wording.</w:t>
      </w:r>
    </w:p>
    <w:p w14:paraId="3A1E0430" w14:textId="77777777" w:rsidR="007512E1" w:rsidRDefault="00187C09">
      <w:pPr>
        <w:spacing w:before="220" w:after="120"/>
      </w:pPr>
      <w:r>
        <w:rPr>
          <w:b/>
          <w:bCs/>
        </w:rPr>
        <w:t>5.2 The Three-Fold Test of Proportionality</w:t>
      </w:r>
    </w:p>
    <w:p w14:paraId="2C9378FC" w14:textId="77777777" w:rsidR="007512E1" w:rsidRDefault="00187C09">
      <w:pPr>
        <w:spacing w:after="160" w:line="300" w:lineRule="auto"/>
        <w:jc w:val="both"/>
      </w:pPr>
      <w:r>
        <w:t>Recognising that an absolute, unrestricted right to privacy would make it impossible for the State to govern effectively, the Court laid down a structured three-fold test that any law or State action restricting privacy must satisfy:</w:t>
      </w:r>
    </w:p>
    <w:p w14:paraId="30952354" w14:textId="77777777" w:rsidR="007512E1" w:rsidRDefault="00187C09">
      <w:pPr>
        <w:pStyle w:val="ListParagraph"/>
        <w:numPr>
          <w:ilvl w:val="0"/>
          <w:numId w:val="1"/>
        </w:numPr>
        <w:spacing w:after="90" w:line="300" w:lineRule="auto"/>
      </w:pPr>
      <w:r>
        <w:t>Legality: The action restricting privacy must be backed by the authority of an existing law; the State cannot restrict privacy merely through executive discretion or administrative convenience.</w:t>
      </w:r>
    </w:p>
    <w:p w14:paraId="647927CD" w14:textId="77777777" w:rsidR="007512E1" w:rsidRDefault="00187C09">
      <w:pPr>
        <w:pStyle w:val="ListParagraph"/>
        <w:numPr>
          <w:ilvl w:val="0"/>
          <w:numId w:val="1"/>
        </w:numPr>
        <w:spacing w:after="90" w:line="300" w:lineRule="auto"/>
      </w:pPr>
      <w:r>
        <w:t>Legitimate State Aim (Necessity): The restriction must be necessary to achieve a legitimate government objective, such as national security, prevention or detection of crime, protection of revenue, or effective delivery of social welfare benefits.</w:t>
      </w:r>
    </w:p>
    <w:p w14:paraId="16F8DEF5" w14:textId="77777777" w:rsidR="007512E1" w:rsidRDefault="00187C09">
      <w:pPr>
        <w:pStyle w:val="ListParagraph"/>
        <w:numPr>
          <w:ilvl w:val="0"/>
          <w:numId w:val="1"/>
        </w:numPr>
        <w:spacing w:after="90" w:line="300" w:lineRule="auto"/>
      </w:pPr>
      <w:r>
        <w:lastRenderedPageBreak/>
        <w:t>Proportionality: The extent and nature of the interference with privacy must be proportionate to the object being pursued; the State cannot use means that are excessive or disproportionate when a less intrusive method could achieve the same legitimate aim.</w:t>
      </w:r>
    </w:p>
    <w:p w14:paraId="648E1DAA" w14:textId="77777777" w:rsidR="007512E1" w:rsidRDefault="00187C09">
      <w:pPr>
        <w:spacing w:after="160" w:line="300" w:lineRule="auto"/>
        <w:jc w:val="both"/>
      </w:pPr>
      <w:r>
        <w:t>This three-fold test has since become the standard framework Indian courts use to evaluate any law, policy, or government programme that touches on personal privacy, including surveillance measures, data collection schemes, and restrictions on personal autonomy.</w:t>
      </w:r>
    </w:p>
    <w:p w14:paraId="3B14F998" w14:textId="77777777" w:rsidR="007512E1" w:rsidRDefault="00187C09">
      <w:pPr>
        <w:spacing w:before="220" w:after="120"/>
      </w:pPr>
      <w:r>
        <w:rPr>
          <w:b/>
          <w:bCs/>
        </w:rPr>
        <w:t>5.3 Ancillary Pillars &amp; Later Case Law</w:t>
      </w:r>
    </w:p>
    <w:p w14:paraId="2EB81935" w14:textId="77777777" w:rsidR="007512E1" w:rsidRDefault="00187C09">
      <w:pPr>
        <w:spacing w:after="160" w:line="300" w:lineRule="auto"/>
        <w:jc w:val="both"/>
      </w:pPr>
      <w:r>
        <w:t xml:space="preserve">The </w:t>
      </w:r>
      <w:proofErr w:type="spellStart"/>
      <w:r>
        <w:t>Puttaswamy</w:t>
      </w:r>
      <w:proofErr w:type="spellEnd"/>
      <w:r>
        <w:t xml:space="preserve"> judgment has had an extraordinary influence on subsequent Indian constitutional jurisprudence, extending well beyond the specific context of the Aadhaar scheme.</w:t>
      </w:r>
    </w:p>
    <w:p w14:paraId="67ABC9B0" w14:textId="77777777" w:rsidR="007512E1" w:rsidRDefault="00187C09">
      <w:pPr>
        <w:pStyle w:val="ListParagraph"/>
        <w:numPr>
          <w:ilvl w:val="0"/>
          <w:numId w:val="1"/>
        </w:numPr>
        <w:spacing w:after="90" w:line="300" w:lineRule="auto"/>
      </w:pPr>
      <w:r>
        <w:t xml:space="preserve">Navtej Singh Johar v. Union of India (2018): The Supreme Court relied heavily on the recognition of privacy and personal autonomy in </w:t>
      </w:r>
      <w:proofErr w:type="spellStart"/>
      <w:r>
        <w:t>Puttaswamy</w:t>
      </w:r>
      <w:proofErr w:type="spellEnd"/>
      <w:r>
        <w:t xml:space="preserve"> to decriminalise consensual same-sex relations between adults, reading down Section 377 of the Indian Penal Code as unconstitutional to that extent.</w:t>
      </w:r>
    </w:p>
    <w:p w14:paraId="4465510F" w14:textId="77777777" w:rsidR="007512E1" w:rsidRDefault="00187C09">
      <w:pPr>
        <w:pStyle w:val="ListParagraph"/>
        <w:numPr>
          <w:ilvl w:val="0"/>
          <w:numId w:val="1"/>
        </w:numPr>
        <w:spacing w:after="90" w:line="300" w:lineRule="auto"/>
      </w:pPr>
      <w:r>
        <w:t xml:space="preserve">Joseph Shine v. Union of India (2018): The Court again drew on the </w:t>
      </w:r>
      <w:proofErr w:type="spellStart"/>
      <w:r>
        <w:t>Puttaswamy</w:t>
      </w:r>
      <w:proofErr w:type="spellEnd"/>
      <w:r>
        <w:t xml:space="preserve"> reasoning concerning personal autonomy and dignity to strike down the criminal offence of adultery under Section 497 of the Indian Penal Code.</w:t>
      </w:r>
    </w:p>
    <w:p w14:paraId="7DE38A68" w14:textId="77777777" w:rsidR="007512E1" w:rsidRDefault="00187C09">
      <w:pPr>
        <w:pStyle w:val="ListParagraph"/>
        <w:numPr>
          <w:ilvl w:val="0"/>
          <w:numId w:val="1"/>
        </w:numPr>
        <w:spacing w:after="90" w:line="300" w:lineRule="auto"/>
      </w:pPr>
      <w:r>
        <w:t xml:space="preserve">Justice K.S. </w:t>
      </w:r>
      <w:proofErr w:type="spellStart"/>
      <w:r>
        <w:t>Puttaswamy</w:t>
      </w:r>
      <w:proofErr w:type="spellEnd"/>
      <w:r>
        <w:t xml:space="preserve"> (Aadhaar) v. Union of India (2018): In a subsequent, related judgment, a five-judge bench applied the proportionality framework established in this earlier privacy verdict to examine specific provisions of the Aadhaar Act, ultimately upholding the scheme's core validity for welfare distribution while striking down or reading down several provisions, including its mandatory linkage to bank accounts and mobile SIM cards, for failing the proportionality test.</w:t>
      </w:r>
    </w:p>
    <w:p w14:paraId="1D41AF72" w14:textId="77777777" w:rsidR="007512E1" w:rsidRDefault="00187C09">
      <w:pPr>
        <w:pStyle w:val="ListParagraph"/>
        <w:numPr>
          <w:ilvl w:val="0"/>
          <w:numId w:val="1"/>
        </w:numPr>
        <w:spacing w:after="90" w:line="300" w:lineRule="auto"/>
      </w:pPr>
      <w:r>
        <w:t>Foundations for a data protection law: The judgment's recognition of informational privacy directly influenced the eventual drafting and passage of India's Digital Personal Data Protection Act, 2023, which seeks to give statutory shape to the data protection principles the Court identified as constitutionally necessary.</w:t>
      </w:r>
    </w:p>
    <w:p w14:paraId="7BF45F09" w14:textId="77777777" w:rsidR="007512E1" w:rsidRDefault="00187C09">
      <w:pPr>
        <w:spacing w:after="160" w:line="300" w:lineRule="auto"/>
        <w:jc w:val="both"/>
      </w:pPr>
      <w:r>
        <w:t xml:space="preserve">Because of this wide-ranging influence, </w:t>
      </w:r>
      <w:proofErr w:type="spellStart"/>
      <w:r>
        <w:t>Puttaswamy</w:t>
      </w:r>
      <w:proofErr w:type="spellEnd"/>
      <w:r>
        <w:t xml:space="preserve"> is regarded not merely as a case about Aadhaar, but as a foundational judgment reshaping the constitutional protection of individual autonomy, dignity, and data rights across many areas of Indian law.</w:t>
      </w:r>
    </w:p>
    <w:p w14:paraId="68EEC611" w14:textId="77777777" w:rsidR="007512E1" w:rsidRDefault="00187C09">
      <w:pPr>
        <w:pBdr>
          <w:bottom w:val="single" w:sz="6" w:space="4" w:color="000000"/>
        </w:pBdr>
        <w:spacing w:before="300" w:after="160"/>
      </w:pPr>
      <w:r>
        <w:rPr>
          <w:b/>
          <w:bCs/>
        </w:rPr>
        <w:t>6. Business Relevance</w:t>
      </w:r>
    </w:p>
    <w:p w14:paraId="2B31664D" w14:textId="77777777" w:rsidR="007512E1" w:rsidRDefault="00187C09">
      <w:pPr>
        <w:spacing w:before="220" w:after="120"/>
      </w:pPr>
      <w:r>
        <w:rPr>
          <w:b/>
          <w:bCs/>
        </w:rPr>
        <w:t>6.1 Application in Modern Business</w:t>
      </w:r>
    </w:p>
    <w:p w14:paraId="212E4F92" w14:textId="77777777" w:rsidR="007512E1" w:rsidRDefault="00187C09">
      <w:pPr>
        <w:spacing w:after="160" w:line="300" w:lineRule="auto"/>
        <w:jc w:val="both"/>
      </w:pPr>
      <w:r>
        <w:t xml:space="preserve">The </w:t>
      </w:r>
      <w:proofErr w:type="spellStart"/>
      <w:r>
        <w:t>Puttaswamy</w:t>
      </w:r>
      <w:proofErr w:type="spellEnd"/>
      <w:r>
        <w:t xml:space="preserve"> judgment has direct and far-reaching consequences for how businesses in India collect, store, and use personal data, particularly in the fintech, e-commerce, and technology </w:t>
      </w:r>
      <w:r>
        <w:lastRenderedPageBreak/>
        <w:t>sectors. Any business that gathers personal or biometric information from customers, whether for identity verification, credit assessment, or personalised services, now operates within a constitutional framework that treats informational privacy as a fundamental right, not merely a matter of consumer preference or company policy.</w:t>
      </w:r>
    </w:p>
    <w:p w14:paraId="08AF6557" w14:textId="77777777" w:rsidR="007512E1" w:rsidRDefault="00187C09">
      <w:pPr>
        <w:spacing w:after="160" w:line="300" w:lineRule="auto"/>
        <w:jc w:val="both"/>
      </w:pPr>
      <w:r>
        <w:t>This is especially significant for fintech companies, digital lenders, and payment platforms that rely on Aadhaar-based authentication, video KYC, or other biometric and data-driven verification methods. Following this judgment, and the subsequent 2018 Aadhaar verdict applying the proportionality test to specific provisions, private companies faced new restrictions on using Aadhaar data for commercial purposes, pushing many fintech businesses to develop alternative, privacy-compliant methods of customer verification and data handling.</w:t>
      </w:r>
    </w:p>
    <w:p w14:paraId="4BCF7127" w14:textId="77777777" w:rsidR="007512E1" w:rsidRDefault="00187C09">
      <w:pPr>
        <w:spacing w:before="220" w:after="120"/>
      </w:pPr>
      <w:r>
        <w:rPr>
          <w:b/>
          <w:bCs/>
        </w:rPr>
        <w:t>6.2 Risk Management &amp; Operational Compliance</w:t>
      </w:r>
    </w:p>
    <w:p w14:paraId="7034C7FF" w14:textId="77777777" w:rsidR="007512E1" w:rsidRDefault="00187C09">
      <w:pPr>
        <w:spacing w:after="160" w:line="300" w:lineRule="auto"/>
        <w:jc w:val="both"/>
      </w:pPr>
      <w:r>
        <w:t>Several practical lessons for businesses, especially in the technology and financial services sectors, follow from this case:</w:t>
      </w:r>
    </w:p>
    <w:p w14:paraId="33E971E1" w14:textId="77777777" w:rsidR="007512E1" w:rsidRDefault="00187C09">
      <w:pPr>
        <w:pStyle w:val="ListParagraph"/>
        <w:numPr>
          <w:ilvl w:val="0"/>
          <w:numId w:val="1"/>
        </w:numPr>
        <w:spacing w:after="90" w:line="300" w:lineRule="auto"/>
      </w:pPr>
      <w:r>
        <w:t>Apply data minimisation principles: Businesses should collect only the personal data genuinely necessary for a specific, legitimate purpose, reflecting the 'necessity' limb of the proportionality test the Court established for the State, which increasingly shapes regulatory expectations for private actors as well.</w:t>
      </w:r>
    </w:p>
    <w:p w14:paraId="1DC2A27A" w14:textId="77777777" w:rsidR="007512E1" w:rsidRDefault="00187C09">
      <w:pPr>
        <w:pStyle w:val="ListParagraph"/>
        <w:numPr>
          <w:ilvl w:val="0"/>
          <w:numId w:val="1"/>
        </w:numPr>
        <w:spacing w:after="90" w:line="300" w:lineRule="auto"/>
      </w:pPr>
      <w:r>
        <w:t>Build lawful, transparent data practices: Given the constitutional emphasis on legality, businesses should ensure their data collection and processing practices are clearly backed by appropriate consent, contractual terms, or statutory authority, and are transparently communicated to users.</w:t>
      </w:r>
    </w:p>
    <w:p w14:paraId="4EDFDEB6" w14:textId="77777777" w:rsidR="007512E1" w:rsidRDefault="00187C09">
      <w:pPr>
        <w:pStyle w:val="ListParagraph"/>
        <w:numPr>
          <w:ilvl w:val="0"/>
          <w:numId w:val="1"/>
        </w:numPr>
        <w:spacing w:after="90" w:line="300" w:lineRule="auto"/>
      </w:pPr>
      <w:r>
        <w:t>Assess proportionality in data-driven products: When designing products that use sensitive data, such as biometric authentication, location tracking, or behavioural profiling, businesses should evaluate whether less intrusive alternatives could achieve the same business objective.</w:t>
      </w:r>
    </w:p>
    <w:p w14:paraId="7D6FD563" w14:textId="77777777" w:rsidR="007512E1" w:rsidRDefault="00187C09">
      <w:pPr>
        <w:pStyle w:val="ListParagraph"/>
        <w:numPr>
          <w:ilvl w:val="0"/>
          <w:numId w:val="1"/>
        </w:numPr>
        <w:spacing w:after="90" w:line="300" w:lineRule="auto"/>
      </w:pPr>
      <w:r>
        <w:t>Prepare for evolving data protection regulation: Since this judgment directly influenced the development of India's Digital Personal Data Protection Act, 2023, businesses should stay closely attuned to the compliance obligations, consent requirements, and data fiduciary responsibilities emerging from this evolving legal framework.</w:t>
      </w:r>
    </w:p>
    <w:p w14:paraId="465A3F09" w14:textId="77777777" w:rsidR="007512E1" w:rsidRDefault="00187C09">
      <w:pPr>
        <w:pStyle w:val="ListParagraph"/>
        <w:numPr>
          <w:ilvl w:val="0"/>
          <w:numId w:val="1"/>
        </w:numPr>
        <w:spacing w:after="90" w:line="300" w:lineRule="auto"/>
      </w:pPr>
      <w:r>
        <w:t>Recognise reputational and legal stakes of data breaches: As privacy is now a constitutionally protected right, businesses that mishandle personal data may face not only regulatory penalties but also significant reputational damage and potential litigation grounded in this expanded understanding of privacy.</w:t>
      </w:r>
    </w:p>
    <w:p w14:paraId="0F3110B8" w14:textId="77777777" w:rsidR="007512E1" w:rsidRDefault="00187C09">
      <w:pPr>
        <w:pBdr>
          <w:bottom w:val="single" w:sz="6" w:space="4" w:color="000000"/>
        </w:pBdr>
        <w:spacing w:before="300" w:after="160"/>
      </w:pPr>
      <w:r>
        <w:rPr>
          <w:b/>
          <w:bCs/>
        </w:rPr>
        <w:lastRenderedPageBreak/>
        <w:t>7. Conclusion</w:t>
      </w:r>
    </w:p>
    <w:p w14:paraId="685B0B27" w14:textId="77777777" w:rsidR="007512E1" w:rsidRDefault="00187C09">
      <w:pPr>
        <w:spacing w:before="220" w:after="120"/>
      </w:pPr>
      <w:r>
        <w:rPr>
          <w:b/>
          <w:bCs/>
        </w:rPr>
        <w:t>7.1 Personal Learning and Observations</w:t>
      </w:r>
    </w:p>
    <w:p w14:paraId="07C7CCBC" w14:textId="77777777" w:rsidR="007512E1" w:rsidRDefault="00187C09">
      <w:pPr>
        <w:spacing w:after="160" w:line="300" w:lineRule="auto"/>
        <w:jc w:val="both"/>
      </w:pPr>
      <w:r>
        <w:t xml:space="preserve">Studying Justice K.S. </w:t>
      </w:r>
      <w:proofErr w:type="spellStart"/>
      <w:r>
        <w:t>Puttaswamy</w:t>
      </w:r>
      <w:proofErr w:type="spellEnd"/>
      <w:r>
        <w:t xml:space="preserve"> v. Union of India has helped me understand how a single constitutional judgment can reshape the legal landscape for an entire country, well beyond the specific dispute that brought it to court. What began as a challenge to a government identification scheme ended up settling a fundamental question about human dignity and personal autonomy that had remained unresolved for over sixty years. I found it striking that the Court did not need to amend the Constitution to recognise this right; it simply interpreted the existing guarantee of life and personal liberty in a way that reflected contemporary understanding of what a dignified life actually requires.</w:t>
      </w:r>
    </w:p>
    <w:p w14:paraId="1705FB8D" w14:textId="77777777" w:rsidR="007512E1" w:rsidRDefault="00187C09">
      <w:pPr>
        <w:spacing w:after="160" w:line="300" w:lineRule="auto"/>
        <w:jc w:val="both"/>
      </w:pPr>
      <w:r>
        <w:t>I also found the three-fold test of legality, necessity, and proportionality particularly useful, since it gives a clear, structured way to evaluate whether any law or policy that touches on personal privacy is constitutionally acceptable, rather than leaving the question to vague or subjective judgment. As someone studying commerce and financial technology, I think this case is essential to understanding the environment in which today's data-driven businesses operate in India: privacy is no longer just a matter of good customer service or corporate ethics, it is a constitutional right that every business collecting personal data must take seriously, and this judgment continues to shape everything from digital lending practices to India's emerging data protection law.</w:t>
      </w:r>
    </w:p>
    <w:sectPr w:rsidR="007512E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40254" w14:textId="77777777" w:rsidR="005D2DD3" w:rsidRDefault="005D2DD3">
      <w:r>
        <w:separator/>
      </w:r>
    </w:p>
  </w:endnote>
  <w:endnote w:type="continuationSeparator" w:id="0">
    <w:p w14:paraId="4C9B63EC" w14:textId="77777777" w:rsidR="005D2DD3" w:rsidRDefault="005D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DFEB" w14:textId="22483590" w:rsidR="007512E1" w:rsidRDefault="00187C0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A65D2">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A65D2">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F7CE" w14:textId="77777777" w:rsidR="005D2DD3" w:rsidRDefault="005D2DD3">
      <w:r>
        <w:separator/>
      </w:r>
    </w:p>
  </w:footnote>
  <w:footnote w:type="continuationSeparator" w:id="0">
    <w:p w14:paraId="63EAC7D8" w14:textId="77777777" w:rsidR="005D2DD3" w:rsidRDefault="005D2D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67536"/>
    <w:multiLevelType w:val="hybridMultilevel"/>
    <w:tmpl w:val="D7660AF6"/>
    <w:lvl w:ilvl="0" w:tplc="E700AF36">
      <w:start w:val="1"/>
      <w:numFmt w:val="bullet"/>
      <w:lvlText w:val="●"/>
      <w:lvlJc w:val="left"/>
      <w:pPr>
        <w:ind w:left="720" w:hanging="360"/>
      </w:pPr>
    </w:lvl>
    <w:lvl w:ilvl="1" w:tplc="358A7012">
      <w:start w:val="1"/>
      <w:numFmt w:val="bullet"/>
      <w:lvlText w:val="○"/>
      <w:lvlJc w:val="left"/>
      <w:pPr>
        <w:ind w:left="1440" w:hanging="360"/>
      </w:pPr>
    </w:lvl>
    <w:lvl w:ilvl="2" w:tplc="D5DE52C2">
      <w:start w:val="1"/>
      <w:numFmt w:val="bullet"/>
      <w:lvlText w:val="■"/>
      <w:lvlJc w:val="left"/>
      <w:pPr>
        <w:ind w:left="2160" w:hanging="360"/>
      </w:pPr>
    </w:lvl>
    <w:lvl w:ilvl="3" w:tplc="63ECDD04">
      <w:start w:val="1"/>
      <w:numFmt w:val="bullet"/>
      <w:lvlText w:val="●"/>
      <w:lvlJc w:val="left"/>
      <w:pPr>
        <w:ind w:left="2880" w:hanging="360"/>
      </w:pPr>
    </w:lvl>
    <w:lvl w:ilvl="4" w:tplc="74AEB3F0">
      <w:start w:val="1"/>
      <w:numFmt w:val="bullet"/>
      <w:lvlText w:val="○"/>
      <w:lvlJc w:val="left"/>
      <w:pPr>
        <w:ind w:left="3600" w:hanging="360"/>
      </w:pPr>
    </w:lvl>
    <w:lvl w:ilvl="5" w:tplc="9AE6F0BC">
      <w:start w:val="1"/>
      <w:numFmt w:val="bullet"/>
      <w:lvlText w:val="■"/>
      <w:lvlJc w:val="left"/>
      <w:pPr>
        <w:ind w:left="4320" w:hanging="360"/>
      </w:pPr>
    </w:lvl>
    <w:lvl w:ilvl="6" w:tplc="DA9E6A90">
      <w:start w:val="1"/>
      <w:numFmt w:val="bullet"/>
      <w:lvlText w:val="●"/>
      <w:lvlJc w:val="left"/>
      <w:pPr>
        <w:ind w:left="5040" w:hanging="360"/>
      </w:pPr>
    </w:lvl>
    <w:lvl w:ilvl="7" w:tplc="83F82EEC">
      <w:start w:val="1"/>
      <w:numFmt w:val="bullet"/>
      <w:lvlText w:val="●"/>
      <w:lvlJc w:val="left"/>
      <w:pPr>
        <w:ind w:left="5760" w:hanging="360"/>
      </w:pPr>
    </w:lvl>
    <w:lvl w:ilvl="8" w:tplc="615A244A">
      <w:start w:val="1"/>
      <w:numFmt w:val="bullet"/>
      <w:lvlText w:val="●"/>
      <w:lvlJc w:val="left"/>
      <w:pPr>
        <w:ind w:left="6480" w:hanging="360"/>
      </w:pPr>
    </w:lvl>
  </w:abstractNum>
  <w:num w:numId="1" w16cid:durableId="471170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E1"/>
    <w:rsid w:val="00187C09"/>
    <w:rsid w:val="005D2DD3"/>
    <w:rsid w:val="007512E1"/>
    <w:rsid w:val="00A32E48"/>
    <w:rsid w:val="00C5300F"/>
    <w:rsid w:val="00CA65D2"/>
    <w:rsid w:val="00FB4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557F"/>
  <w15:docId w15:val="{0CD3B226-40E5-4E82-9A36-86837659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2886</Words>
  <Characters>16452</Characters>
  <Application>Microsoft Office Word</Application>
  <DocSecurity>0</DocSecurity>
  <Lines>137</Lines>
  <Paragraphs>38</Paragraphs>
  <ScaleCrop>false</ScaleCrop>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3</cp:revision>
  <dcterms:created xsi:type="dcterms:W3CDTF">2026-09-15T08:28:00Z</dcterms:created>
  <dcterms:modified xsi:type="dcterms:W3CDTF">2026-09-15T08:30:00Z</dcterms:modified>
</cp:coreProperties>
</file>