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2C33" w14:textId="77777777" w:rsidR="00DF3190" w:rsidRPr="00315927" w:rsidRDefault="00DF3190">
      <w:pPr>
        <w:spacing w:before="2200"/>
        <w:rPr>
          <w:color w:val="000000" w:themeColor="text1"/>
        </w:rPr>
      </w:pPr>
    </w:p>
    <w:p w14:paraId="779D82AE" w14:textId="77777777" w:rsidR="00DF3190" w:rsidRPr="00315927" w:rsidRDefault="00000000">
      <w:pPr>
        <w:pBdr>
          <w:bottom w:val="single" w:sz="12" w:space="10" w:color="2E74B5"/>
        </w:pBdr>
        <w:spacing w:after="400"/>
        <w:jc w:val="center"/>
        <w:rPr>
          <w:color w:val="000000" w:themeColor="text1"/>
        </w:rPr>
      </w:pPr>
      <w:r w:rsidRPr="00315927">
        <w:rPr>
          <w:rFonts w:eastAsia="Calibri"/>
          <w:b/>
          <w:bCs/>
          <w:color w:val="000000" w:themeColor="text1"/>
          <w:sz w:val="56"/>
          <w:szCs w:val="56"/>
        </w:rPr>
        <w:t>BUSINESS INSIGHT REPORT</w:t>
      </w:r>
    </w:p>
    <w:p w14:paraId="70AB4B76" w14:textId="77777777" w:rsidR="00DF3190" w:rsidRPr="00315927" w:rsidRDefault="00000000">
      <w:pPr>
        <w:spacing w:before="600" w:after="200"/>
        <w:jc w:val="center"/>
        <w:rPr>
          <w:b/>
          <w:bCs/>
          <w:color w:val="000000" w:themeColor="text1"/>
          <w:sz w:val="40"/>
          <w:szCs w:val="40"/>
        </w:rPr>
      </w:pPr>
      <w:r w:rsidRPr="00315927">
        <w:rPr>
          <w:rFonts w:eastAsia="Calibri"/>
          <w:b/>
          <w:bCs/>
          <w:color w:val="000000" w:themeColor="text1"/>
          <w:sz w:val="40"/>
          <w:szCs w:val="40"/>
        </w:rPr>
        <w:t>Global Sales &amp; Financial Performance</w:t>
      </w:r>
    </w:p>
    <w:p w14:paraId="38362F55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712729D8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0DB3F995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10AF47A2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6E99DA17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724784F8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6F14535B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08BD1182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5DABDA10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44D8A61E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5C120AA5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1E3D3F2D" w14:textId="77777777" w:rsidR="00315927" w:rsidRPr="00315927" w:rsidRDefault="00315927">
      <w:pPr>
        <w:spacing w:before="300" w:after="100"/>
        <w:jc w:val="center"/>
        <w:rPr>
          <w:rFonts w:eastAsia="Calibri"/>
          <w:color w:val="000000" w:themeColor="text1"/>
          <w:sz w:val="24"/>
          <w:szCs w:val="24"/>
        </w:rPr>
      </w:pPr>
    </w:p>
    <w:p w14:paraId="656DB5E3" w14:textId="60B0322A" w:rsidR="00DF3190" w:rsidRPr="00315927" w:rsidRDefault="00315927">
      <w:pPr>
        <w:spacing w:before="300" w:after="100"/>
        <w:jc w:val="center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="00000000" w:rsidRPr="003D2BA1">
        <w:rPr>
          <w:rFonts w:eastAsia="Calibri"/>
          <w:b/>
          <w:bCs/>
          <w:color w:val="000000" w:themeColor="text1"/>
          <w:sz w:val="24"/>
          <w:szCs w:val="24"/>
        </w:rPr>
        <w:t>Student Name</w:t>
      </w:r>
      <w:r w:rsidR="00000000" w:rsidRPr="00315927">
        <w:rPr>
          <w:rFonts w:eastAsia="Calibri"/>
          <w:color w:val="000000" w:themeColor="text1"/>
          <w:sz w:val="24"/>
          <w:szCs w:val="24"/>
        </w:rPr>
        <w:t xml:space="preserve">: </w:t>
      </w:r>
      <w:r w:rsidRPr="00315927">
        <w:rPr>
          <w:rFonts w:eastAsia="Calibri"/>
          <w:color w:val="000000" w:themeColor="text1"/>
          <w:sz w:val="24"/>
          <w:szCs w:val="24"/>
        </w:rPr>
        <w:t>Deenah N</w:t>
      </w:r>
    </w:p>
    <w:p w14:paraId="3CE7B33C" w14:textId="5B4C70C5" w:rsidR="00DF3190" w:rsidRPr="00315927" w:rsidRDefault="00315927">
      <w:pPr>
        <w:spacing w:before="300"/>
        <w:jc w:val="center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Pr="00315927">
        <w:rPr>
          <w:rFonts w:eastAsia="Calibri"/>
          <w:color w:val="000000" w:themeColor="text1"/>
          <w:sz w:val="24"/>
          <w:szCs w:val="24"/>
        </w:rPr>
        <w:tab/>
      </w:r>
      <w:r w:rsidR="00000000" w:rsidRPr="003D2BA1">
        <w:rPr>
          <w:rFonts w:eastAsia="Calibri"/>
          <w:b/>
          <w:bCs/>
          <w:color w:val="000000" w:themeColor="text1"/>
          <w:sz w:val="24"/>
          <w:szCs w:val="24"/>
        </w:rPr>
        <w:t>D</w:t>
      </w:r>
      <w:r w:rsidRPr="003D2BA1">
        <w:rPr>
          <w:rFonts w:eastAsia="Calibri"/>
          <w:b/>
          <w:bCs/>
          <w:color w:val="000000" w:themeColor="text1"/>
          <w:sz w:val="24"/>
          <w:szCs w:val="24"/>
        </w:rPr>
        <w:t>ep</w:t>
      </w:r>
      <w:r w:rsidR="00000000" w:rsidRPr="00315927">
        <w:rPr>
          <w:rFonts w:eastAsia="Calibri"/>
          <w:color w:val="000000" w:themeColor="text1"/>
          <w:sz w:val="24"/>
          <w:szCs w:val="24"/>
        </w:rPr>
        <w:t>:</w:t>
      </w:r>
      <w:r w:rsidRPr="00315927">
        <w:rPr>
          <w:rFonts w:eastAsia="Calibri"/>
          <w:color w:val="000000" w:themeColor="text1"/>
          <w:sz w:val="24"/>
          <w:szCs w:val="24"/>
        </w:rPr>
        <w:t xml:space="preserve"> B.com Fintech with AI</w:t>
      </w:r>
    </w:p>
    <w:p w14:paraId="1FD3E29C" w14:textId="77777777" w:rsidR="00DF3190" w:rsidRPr="00315927" w:rsidRDefault="00000000">
      <w:pPr>
        <w:rPr>
          <w:color w:val="000000" w:themeColor="text1"/>
        </w:rPr>
      </w:pPr>
      <w:r w:rsidRPr="00315927">
        <w:rPr>
          <w:color w:val="000000" w:themeColor="text1"/>
        </w:rPr>
        <w:br w:type="page"/>
      </w:r>
    </w:p>
    <w:p w14:paraId="1EA93E09" w14:textId="77777777" w:rsidR="00DF3190" w:rsidRPr="00315927" w:rsidRDefault="00000000">
      <w:pPr>
        <w:pStyle w:val="Heading1"/>
        <w:pBdr>
          <w:bottom w:val="single" w:sz="6" w:space="4" w:color="2E74B5"/>
        </w:pBdr>
        <w:spacing w:before="300" w:after="20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lastRenderedPageBreak/>
        <w:t>2. Introduction</w:t>
      </w:r>
    </w:p>
    <w:p w14:paraId="5DBD9E0F" w14:textId="77777777" w:rsidR="00DF3190" w:rsidRPr="00315927" w:rsidRDefault="00000000">
      <w:pPr>
        <w:spacing w:after="160" w:line="276" w:lineRule="auto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This report presents a business insight analysis of the Global Sales &amp; Financial Performance dataset, visualized through an Interactive Sales Dashboard built in Power BI. The purpose of this report is to translate the dashboard's key metrics and visuals into a clear, structured narrative that highlights how the business is performing across products, time, geography, and people.</w:t>
      </w:r>
    </w:p>
    <w:p w14:paraId="4E658788" w14:textId="77777777" w:rsidR="00DF3190" w:rsidRPr="00315927" w:rsidRDefault="00000000">
      <w:pPr>
        <w:spacing w:after="160" w:line="276" w:lineRule="auto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dashboard consolidates sales, profit, cost, and quantity data across the 2019–2024 period and allows filtering by year, product category, and region. The following sections examine overall KPIs, category-level performance, monthly sales trends, regional distribution, and employee contribution, before closing with a set of practical business recommendations aimed at improving inventory planning, marketing strategy, regional expansion, employee performance, product portfolio decisions, and customer targeting.</w:t>
      </w:r>
    </w:p>
    <w:p w14:paraId="280D3D55" w14:textId="77777777" w:rsidR="00DF3190" w:rsidRPr="00315927" w:rsidRDefault="00000000">
      <w:pPr>
        <w:pStyle w:val="Heading1"/>
        <w:pBdr>
          <w:bottom w:val="single" w:sz="6" w:space="4" w:color="2E74B5"/>
        </w:pBdr>
        <w:spacing w:before="300" w:after="20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3. Dashboard Overview</w:t>
      </w:r>
    </w:p>
    <w:p w14:paraId="1EF69FF3" w14:textId="77777777" w:rsidR="00DF3190" w:rsidRPr="00315927" w:rsidRDefault="00000000">
      <w:pPr>
        <w:spacing w:after="200"/>
        <w:jc w:val="center"/>
        <w:rPr>
          <w:color w:val="000000" w:themeColor="text1"/>
        </w:rPr>
      </w:pPr>
      <w:r w:rsidRPr="00315927">
        <w:rPr>
          <w:noProof/>
          <w:color w:val="000000" w:themeColor="text1"/>
        </w:rPr>
        <w:drawing>
          <wp:inline distT="0" distB="0" distL="0" distR="0" wp14:anchorId="75747576" wp14:editId="0FCB18EC">
            <wp:extent cx="59055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FE59" w14:textId="73A4BF8D" w:rsidR="00DF3190" w:rsidRPr="00315927" w:rsidRDefault="00000000">
      <w:pPr>
        <w:spacing w:after="160" w:line="276" w:lineRule="auto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Interactive Sales Dashboard above brings together six headline KPI cards (Total Sales, Total Profit, Total Quantity, Total Cost, Order Count, and Average Sales) with five supporting visuals: Total Sales by Category, Total Sales by Month</w:t>
      </w:r>
      <w:r w:rsidR="00315927" w:rsidRPr="00315927">
        <w:rPr>
          <w:rFonts w:eastAsia="Calibri"/>
          <w:color w:val="000000" w:themeColor="text1"/>
          <w:sz w:val="22"/>
          <w:szCs w:val="22"/>
        </w:rPr>
        <w:t xml:space="preserve"> </w:t>
      </w:r>
      <w:r w:rsidRPr="00315927">
        <w:rPr>
          <w:rFonts w:eastAsia="Calibri"/>
          <w:color w:val="000000" w:themeColor="text1"/>
          <w:sz w:val="22"/>
          <w:szCs w:val="22"/>
        </w:rPr>
        <w:t>Name, Total Profit by Employee</w:t>
      </w:r>
      <w:r w:rsidR="00315927" w:rsidRPr="00315927">
        <w:rPr>
          <w:rFonts w:eastAsia="Calibri"/>
          <w:color w:val="000000" w:themeColor="text1"/>
          <w:sz w:val="22"/>
          <w:szCs w:val="22"/>
        </w:rPr>
        <w:t xml:space="preserve"> </w:t>
      </w:r>
      <w:r w:rsidRPr="00315927">
        <w:rPr>
          <w:rFonts w:eastAsia="Calibri"/>
          <w:color w:val="000000" w:themeColor="text1"/>
          <w:sz w:val="22"/>
          <w:szCs w:val="22"/>
        </w:rPr>
        <w:t>Name, Total Sales by Region, and a detailed product-level table. A Year slider (2019–2024) and Category and Region dropdown filters let users drill into specific slices of the business, making the dashboard a single, interactive view of overall company performance.</w:t>
      </w:r>
    </w:p>
    <w:p w14:paraId="4EC48AB3" w14:textId="77777777" w:rsidR="00DF3190" w:rsidRPr="00315927" w:rsidRDefault="00000000">
      <w:pPr>
        <w:pStyle w:val="Heading1"/>
        <w:pBdr>
          <w:bottom w:val="single" w:sz="6" w:space="4" w:color="2E74B5"/>
        </w:pBdr>
        <w:spacing w:before="300" w:after="20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4. KPI Analysis</w:t>
      </w:r>
    </w:p>
    <w:p w14:paraId="6509E44B" w14:textId="77777777" w:rsidR="00DF3190" w:rsidRPr="00315927" w:rsidRDefault="00000000">
      <w:pPr>
        <w:spacing w:after="160" w:line="276" w:lineRule="auto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six top-level KPI cards summarize the overall health of the business: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F3190" w:rsidRPr="00315927" w14:paraId="0317D7B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880755" w14:textId="77777777" w:rsidR="00DF3190" w:rsidRPr="00315927" w:rsidRDefault="00000000">
            <w:pPr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color w:val="000000" w:themeColor="text1"/>
                <w:sz w:val="18"/>
                <w:szCs w:val="18"/>
              </w:rPr>
              <w:lastRenderedPageBreak/>
              <w:t>Total Sales</w:t>
            </w:r>
          </w:p>
          <w:p w14:paraId="488E2BE8" w14:textId="77777777" w:rsidR="00DF3190" w:rsidRPr="00315927" w:rsidRDefault="00000000">
            <w:pPr>
              <w:spacing w:before="60"/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b/>
                <w:bCs/>
                <w:color w:val="000000" w:themeColor="text1"/>
                <w:sz w:val="30"/>
                <w:szCs w:val="30"/>
              </w:rPr>
              <w:t>60.62M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374FEE" w14:textId="77777777" w:rsidR="00DF3190" w:rsidRPr="00315927" w:rsidRDefault="00000000">
            <w:pPr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color w:val="000000" w:themeColor="text1"/>
                <w:sz w:val="18"/>
                <w:szCs w:val="18"/>
              </w:rPr>
              <w:t>Total Profit</w:t>
            </w:r>
          </w:p>
          <w:p w14:paraId="12021F7A" w14:textId="77777777" w:rsidR="00DF3190" w:rsidRPr="00315927" w:rsidRDefault="00000000">
            <w:pPr>
              <w:spacing w:before="60"/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b/>
                <w:bCs/>
                <w:color w:val="000000" w:themeColor="text1"/>
                <w:sz w:val="30"/>
                <w:szCs w:val="30"/>
              </w:rPr>
              <w:t>21.57M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7E3FC4" w14:textId="77777777" w:rsidR="00DF3190" w:rsidRPr="00315927" w:rsidRDefault="00000000">
            <w:pPr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color w:val="000000" w:themeColor="text1"/>
                <w:sz w:val="18"/>
                <w:szCs w:val="18"/>
              </w:rPr>
              <w:t>Total Cost</w:t>
            </w:r>
          </w:p>
          <w:p w14:paraId="64614819" w14:textId="77777777" w:rsidR="00DF3190" w:rsidRPr="00315927" w:rsidRDefault="00000000">
            <w:pPr>
              <w:spacing w:before="60"/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b/>
                <w:bCs/>
                <w:color w:val="000000" w:themeColor="text1"/>
                <w:sz w:val="30"/>
                <w:szCs w:val="30"/>
              </w:rPr>
              <w:t>39.05M</w:t>
            </w:r>
          </w:p>
        </w:tc>
      </w:tr>
      <w:tr w:rsidR="00DF3190" w:rsidRPr="00315927" w14:paraId="2378479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BAC817" w14:textId="77777777" w:rsidR="00DF3190" w:rsidRPr="00315927" w:rsidRDefault="00000000">
            <w:pPr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color w:val="000000" w:themeColor="text1"/>
                <w:sz w:val="18"/>
                <w:szCs w:val="18"/>
              </w:rPr>
              <w:t>Total Quantity</w:t>
            </w:r>
          </w:p>
          <w:p w14:paraId="4C9B00EF" w14:textId="77777777" w:rsidR="00DF3190" w:rsidRPr="00315927" w:rsidRDefault="00000000">
            <w:pPr>
              <w:spacing w:before="60"/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b/>
                <w:bCs/>
                <w:color w:val="000000" w:themeColor="text1"/>
                <w:sz w:val="30"/>
                <w:szCs w:val="30"/>
              </w:rPr>
              <w:t>257K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7FB4DA" w14:textId="77777777" w:rsidR="00DF3190" w:rsidRPr="00315927" w:rsidRDefault="00000000">
            <w:pPr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color w:val="000000" w:themeColor="text1"/>
                <w:sz w:val="18"/>
                <w:szCs w:val="18"/>
              </w:rPr>
              <w:t>Order Count</w:t>
            </w:r>
          </w:p>
          <w:p w14:paraId="4B49FBD7" w14:textId="77777777" w:rsidR="00DF3190" w:rsidRPr="00315927" w:rsidRDefault="00000000">
            <w:pPr>
              <w:spacing w:before="60"/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b/>
                <w:bCs/>
                <w:color w:val="000000" w:themeColor="text1"/>
                <w:sz w:val="30"/>
                <w:szCs w:val="30"/>
              </w:rPr>
              <w:t>86K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4F4FA1" w14:textId="77777777" w:rsidR="00DF3190" w:rsidRPr="00315927" w:rsidRDefault="00000000">
            <w:pPr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color w:val="000000" w:themeColor="text1"/>
                <w:sz w:val="18"/>
                <w:szCs w:val="18"/>
              </w:rPr>
              <w:t>Average Sales</w:t>
            </w:r>
          </w:p>
          <w:p w14:paraId="2DAEBC3D" w14:textId="77777777" w:rsidR="00DF3190" w:rsidRPr="00315927" w:rsidRDefault="00000000">
            <w:pPr>
              <w:spacing w:before="60"/>
              <w:jc w:val="center"/>
              <w:rPr>
                <w:color w:val="000000" w:themeColor="text1"/>
              </w:rPr>
            </w:pPr>
            <w:r w:rsidRPr="00315927">
              <w:rPr>
                <w:rFonts w:eastAsia="Calibri"/>
                <w:b/>
                <w:bCs/>
                <w:color w:val="000000" w:themeColor="text1"/>
                <w:sz w:val="30"/>
                <w:szCs w:val="30"/>
              </w:rPr>
              <w:t>707.60</w:t>
            </w:r>
          </w:p>
        </w:tc>
      </w:tr>
    </w:tbl>
    <w:p w14:paraId="585FB7CF" w14:textId="77777777" w:rsidR="00DF3190" w:rsidRPr="00315927" w:rsidRDefault="00DF3190">
      <w:pPr>
        <w:spacing w:before="200"/>
        <w:rPr>
          <w:color w:val="000000" w:themeColor="text1"/>
        </w:rPr>
      </w:pPr>
    </w:p>
    <w:p w14:paraId="6B1B6A5F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Overall profit margin: Total Profit ÷ Total Sales ≈ 21.57M ÷ 60.62M = 35.6%, indicating a healthy margin on revenue generated.</w:t>
      </w:r>
    </w:p>
    <w:p w14:paraId="15CCA71D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Cost ratio: Total Cost represents about 64.4% of Total Sales, which is consistent with the profit margin above and suggests cost control is reasonably stable.</w:t>
      </w:r>
    </w:p>
    <w:p w14:paraId="6733CCE3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Average Sales of 707.60 per order is consistent with Total Sales ÷ Order Count (60.62M ÷ 86K ≈ 705), confirming the KPI figures are internally consistent.</w:t>
      </w:r>
    </w:p>
    <w:p w14:paraId="49481A00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With 257K units sold across 86K orders, the average order carries roughly 3 units, suggesting most transactions are small-basket purchases rather than bulk orders.</w:t>
      </w:r>
    </w:p>
    <w:p w14:paraId="6E1A3D4D" w14:textId="77777777" w:rsidR="00DF3190" w:rsidRPr="00315927" w:rsidRDefault="00000000">
      <w:pPr>
        <w:pStyle w:val="Heading1"/>
        <w:pBdr>
          <w:bottom w:val="single" w:sz="6" w:space="4" w:color="2E74B5"/>
        </w:pBdr>
        <w:spacing w:before="300" w:after="20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5. Product Category Performance Analysis</w:t>
      </w:r>
    </w:p>
    <w:p w14:paraId="7FAEA1DD" w14:textId="77777777" w:rsidR="00DF3190" w:rsidRPr="00315927" w:rsidRDefault="00000000">
      <w:pPr>
        <w:spacing w:after="160" w:line="276" w:lineRule="auto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“Total Sales by Category” chart ranks six categories from highest to lowest revenue: Clothing (~12M), Accessories (~11M), Kitchen (~11M), Electronics (~9M), Outdoors (~8M), and Furniture (~8M).</w:t>
      </w:r>
    </w:p>
    <w:p w14:paraId="698494E4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Clothing is the strongest category, generating the highest total sales, followed closely by Accessories and Kitchen — together these three categories form the backbone of company revenue.</w:t>
      </w:r>
    </w:p>
    <w:p w14:paraId="1E50E78A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Electronics sits in the middle of the pack, while Outdoors and Furniture are the weakest performers, each trailing the top category by roughly a third.</w:t>
      </w:r>
    </w:p>
    <w:p w14:paraId="20CF6483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product-level table reinforces this pattern at the SKU level: products such as ACC-CAS-060 (516K in sales) and ACC-CAS-002 (474K in sales) are strong performers with healthy profit contributions (176K–178K), while ACC-CAS-055 and ACC-CAS-143 generate comparable or even higher sales volume but disproportionately low profit (under 21K each), pointing to a margin problem rather than a demand problem for those specific SKUs.</w:t>
      </w:r>
    </w:p>
    <w:p w14:paraId="4F4FC517" w14:textId="77777777" w:rsidR="00DF3190" w:rsidRPr="00315927" w:rsidRDefault="00000000">
      <w:pPr>
        <w:pStyle w:val="Heading1"/>
        <w:pBdr>
          <w:bottom w:val="single" w:sz="6" w:space="4" w:color="2E74B5"/>
        </w:pBdr>
        <w:spacing w:before="300" w:after="20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6. Monthly Sales Trend Analysis</w:t>
      </w:r>
    </w:p>
    <w:p w14:paraId="4248D27B" w14:textId="4AAC40AA" w:rsidR="00DF3190" w:rsidRPr="00315927" w:rsidRDefault="00000000">
      <w:pPr>
        <w:spacing w:after="160" w:line="276" w:lineRule="auto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“Total Sales by Month</w:t>
      </w:r>
      <w:r w:rsidR="005147AC">
        <w:rPr>
          <w:rFonts w:eastAsia="Calibri"/>
          <w:color w:val="000000" w:themeColor="text1"/>
          <w:sz w:val="22"/>
          <w:szCs w:val="22"/>
        </w:rPr>
        <w:t xml:space="preserve"> </w:t>
      </w:r>
      <w:r w:rsidRPr="00315927">
        <w:rPr>
          <w:rFonts w:eastAsia="Calibri"/>
          <w:color w:val="000000" w:themeColor="text1"/>
          <w:sz w:val="22"/>
          <w:szCs w:val="22"/>
        </w:rPr>
        <w:t>Name” line chart shows a gently declining trend when months are read from December through to February, moving from a peak of roughly 5.29M down to a low of roughly 4.86M.</w:t>
      </w:r>
    </w:p>
    <w:p w14:paraId="7EBF8B53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December stands out as the strongest month, consistent with seasonal, holiday-driven demand.</w:t>
      </w:r>
    </w:p>
    <w:p w14:paraId="1550FCC5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Sales taper gradually through the winter and spring months, with February representing the softest point on the chart.</w:t>
      </w:r>
    </w:p>
    <w:p w14:paraId="5EFDD0BB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relatively narrow band between the highest and lowest months (about 5.29M vs 4.86M, an 8% spread) indicates demand is fairly stable year-round, with only a modest seasonal lift rather than extreme spikes or troughs.</w:t>
      </w:r>
    </w:p>
    <w:p w14:paraId="4A3D747E" w14:textId="77777777" w:rsidR="00DF3190" w:rsidRPr="00315927" w:rsidRDefault="00000000">
      <w:pPr>
        <w:pStyle w:val="Heading1"/>
        <w:pBdr>
          <w:bottom w:val="single" w:sz="6" w:space="4" w:color="2E74B5"/>
        </w:pBdr>
        <w:spacing w:before="300" w:after="20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lastRenderedPageBreak/>
        <w:t>7. Regional Sales Analysis</w:t>
      </w:r>
    </w:p>
    <w:p w14:paraId="32AAE875" w14:textId="77777777" w:rsidR="00DF3190" w:rsidRPr="00315927" w:rsidRDefault="00000000">
      <w:pPr>
        <w:spacing w:after="160" w:line="276" w:lineRule="auto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“Total Sales by Region” donut chart shows an unusually even split of the 60.6M total across five regions: Central 12.22M (20.16%), North 12.15M (20.05%), West 12.13M (20.01%), South 12.11M (19.98%), and East 12.00M (19.80%).</w:t>
      </w:r>
    </w:p>
    <w:p w14:paraId="61A48C72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No single region dominates — the spread between the highest (Central) and lowest (East) region is less than half a percentage point, showing a well-diversified geographic footprint.</w:t>
      </w:r>
    </w:p>
    <w:p w14:paraId="00ACD73F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East is the only region trailing the 20% mark, making it the most natural candidate for targeted growth initiatives without materially affecting other regions.</w:t>
      </w:r>
    </w:p>
    <w:p w14:paraId="01CA3999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Because performance is so evenly distributed, regional risk is low: the business is not overexposed to any single geography.</w:t>
      </w:r>
    </w:p>
    <w:p w14:paraId="46104E6B" w14:textId="77777777" w:rsidR="00DF3190" w:rsidRPr="00315927" w:rsidRDefault="00000000">
      <w:pPr>
        <w:pStyle w:val="Heading1"/>
        <w:pBdr>
          <w:bottom w:val="single" w:sz="6" w:space="4" w:color="2E74B5"/>
        </w:pBdr>
        <w:spacing w:before="300" w:after="20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8. Employee Performance Analysis</w:t>
      </w:r>
    </w:p>
    <w:p w14:paraId="7A9D27CF" w14:textId="4D399F83" w:rsidR="00DF3190" w:rsidRPr="00315927" w:rsidRDefault="00000000">
      <w:pPr>
        <w:spacing w:after="160" w:line="276" w:lineRule="auto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“Total Profit by Employee</w:t>
      </w:r>
      <w:r w:rsidR="005147AC">
        <w:rPr>
          <w:rFonts w:eastAsia="Calibri"/>
          <w:color w:val="000000" w:themeColor="text1"/>
          <w:sz w:val="22"/>
          <w:szCs w:val="22"/>
        </w:rPr>
        <w:t xml:space="preserve"> </w:t>
      </w:r>
      <w:r w:rsidRPr="00315927">
        <w:rPr>
          <w:rFonts w:eastAsia="Calibri"/>
          <w:color w:val="000000" w:themeColor="text1"/>
          <w:sz w:val="22"/>
          <w:szCs w:val="22"/>
        </w:rPr>
        <w:t>Name” chart ranks six employees by profit contribution: Omar El-Sayed (0.87M), Khaled Hassan (0.85M), Hassan El-Sayed (0.85M), Ahmed Ibrahim (0.84M), John Smith (0.84M), and Mona Garcia (0.47M).</w:t>
      </w:r>
    </w:p>
    <w:p w14:paraId="7A0D25FC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Omar El-Sayed is the top performer, though the gap between the top five employees is narrow — all five sit within roughly 0.03M of each other.</w:t>
      </w:r>
    </w:p>
    <w:p w14:paraId="65772310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Mona Garcia's profit contribution (0.47M) is markedly lower — about 46% below the top performer — making this the most notable outlier in the dashboard.</w:t>
      </w:r>
    </w:p>
    <w:p w14:paraId="26891A05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The tight clustering among the top five suggests a consistent, well-performing core sales team, while the gap for the lowest performer points to a specific coaching or support opportunity rather than a team-wide issue.</w:t>
      </w:r>
    </w:p>
    <w:p w14:paraId="74B7F94C" w14:textId="77777777" w:rsidR="00DF3190" w:rsidRPr="00315927" w:rsidRDefault="00000000">
      <w:pPr>
        <w:pStyle w:val="Heading1"/>
        <w:pBdr>
          <w:bottom w:val="single" w:sz="6" w:space="4" w:color="2E74B5"/>
        </w:pBdr>
        <w:spacing w:before="300" w:after="20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9. Business Recommendations</w:t>
      </w:r>
    </w:p>
    <w:p w14:paraId="50E3BD63" w14:textId="77777777" w:rsidR="00DF3190" w:rsidRPr="00315927" w:rsidRDefault="00000000">
      <w:pPr>
        <w:pStyle w:val="Heading2"/>
        <w:spacing w:before="200" w:after="12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Inventory Planning</w:t>
      </w:r>
    </w:p>
    <w:p w14:paraId="4BE564A4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Increase stock levels ahead of the December peak season and scale back slightly for the February trough to avoid overstocking during the slower period.</w:t>
      </w:r>
    </w:p>
    <w:p w14:paraId="3A52D413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Prioritize inventory investment in Clothing, Accessories, and Kitchen — the three categories driving the majority of sales.</w:t>
      </w:r>
    </w:p>
    <w:p w14:paraId="169EB758" w14:textId="77777777" w:rsidR="00DF3190" w:rsidRPr="00315927" w:rsidRDefault="00000000">
      <w:pPr>
        <w:pStyle w:val="Heading2"/>
        <w:spacing w:before="200" w:after="12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Marketing Strategy</w:t>
      </w:r>
    </w:p>
    <w:p w14:paraId="61EC67A9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Run targeted promotions from January through March to counteract the seasonal dip identified in the monthly trend analysis.</w:t>
      </w:r>
    </w:p>
    <w:p w14:paraId="45519D2E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Use the strong December performance as a template for holiday campaigns in future cycles, and extend similar promotional pushes to Outdoors and Furniture to lift their comparatively weaker sales.</w:t>
      </w:r>
    </w:p>
    <w:p w14:paraId="6707BEEE" w14:textId="77777777" w:rsidR="00DF3190" w:rsidRPr="00315927" w:rsidRDefault="00000000">
      <w:pPr>
        <w:pStyle w:val="Heading2"/>
        <w:spacing w:before="200" w:after="12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Regional Expansion</w:t>
      </w:r>
    </w:p>
    <w:p w14:paraId="2F34ACC5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lastRenderedPageBreak/>
        <w:t>Since all five regions contribute close to an equal 20% share, expansion investment can be spread evenly; however, the East region (19.8%) is a reasonable first target for incremental growth campaigns.</w:t>
      </w:r>
    </w:p>
    <w:p w14:paraId="12D4C228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Replicate the operating practices of the top region (Central) in other regions, since the performance gap is small and likely addressable with process alignment.</w:t>
      </w:r>
    </w:p>
    <w:p w14:paraId="0729420A" w14:textId="77777777" w:rsidR="00DF3190" w:rsidRPr="00315927" w:rsidRDefault="00000000">
      <w:pPr>
        <w:pStyle w:val="Heading2"/>
        <w:spacing w:before="200" w:after="12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Employee Performance</w:t>
      </w:r>
    </w:p>
    <w:p w14:paraId="54D73460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Recognize and study the approach used by Omar El-Sayed and the other top performers to create a best-practice playbook for the wider team.</w:t>
      </w:r>
    </w:p>
    <w:p w14:paraId="5F01304C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Provide targeted coaching, mentoring, or resource support to Mona Garcia to close the performance gap with the rest of the team.</w:t>
      </w:r>
    </w:p>
    <w:p w14:paraId="4BA6C341" w14:textId="77777777" w:rsidR="00DF3190" w:rsidRPr="00315927" w:rsidRDefault="00000000">
      <w:pPr>
        <w:pStyle w:val="Heading2"/>
        <w:spacing w:before="200" w:after="12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Product Portfolio</w:t>
      </w:r>
    </w:p>
    <w:p w14:paraId="579D60D0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Review pricing and cost structure for low-margin, high-volume SKUs such as ACC-CAS-055 and ACC-CAS-143, where profit is disproportionately low relative to sales and quantity sold.</w:t>
      </w:r>
    </w:p>
    <w:p w14:paraId="4B980159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Consider phasing out or repositioning consistently weak categories (Outdoors, Furniture) if margin improvements cannot be achieved, or bundle them with top-selling categories to boost movement.</w:t>
      </w:r>
    </w:p>
    <w:p w14:paraId="2178A1DA" w14:textId="77777777" w:rsidR="00DF3190" w:rsidRPr="00315927" w:rsidRDefault="00000000">
      <w:pPr>
        <w:pStyle w:val="Heading2"/>
        <w:spacing w:before="200" w:after="120"/>
        <w:rPr>
          <w:color w:val="000000" w:themeColor="text1"/>
        </w:rPr>
      </w:pPr>
      <w:r w:rsidRPr="00315927">
        <w:rPr>
          <w:b/>
          <w:bCs/>
          <w:color w:val="000000" w:themeColor="text1"/>
        </w:rPr>
        <w:t>Customer Targeting</w:t>
      </w:r>
    </w:p>
    <w:p w14:paraId="2BE5FEF7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Use the average order value (707.60) as a benchmark to design upsell and cross-sell offers that nudge customers above this threshold.</w:t>
      </w:r>
    </w:p>
    <w:p w14:paraId="31730A3F" w14:textId="77777777" w:rsidR="00DF3190" w:rsidRPr="00315927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315927">
        <w:rPr>
          <w:rFonts w:eastAsia="Calibri"/>
          <w:color w:val="000000" w:themeColor="text1"/>
          <w:sz w:val="22"/>
          <w:szCs w:val="22"/>
        </w:rPr>
        <w:t>Target marketing toward customers who purchase in top-performing categories (Clothing, Accessories, Kitchen) with personalized offers, since these categories show the strongest existing demand.</w:t>
      </w:r>
    </w:p>
    <w:p w14:paraId="255CD56D" w14:textId="77777777" w:rsidR="00DF3190" w:rsidRPr="00315927" w:rsidRDefault="00DF3190">
      <w:pPr>
        <w:spacing w:before="300"/>
        <w:rPr>
          <w:color w:val="000000" w:themeColor="text1"/>
        </w:rPr>
      </w:pPr>
    </w:p>
    <w:sectPr w:rsidR="00DF3190" w:rsidRPr="003159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D62"/>
    <w:multiLevelType w:val="hybridMultilevel"/>
    <w:tmpl w:val="5314AD62"/>
    <w:lvl w:ilvl="0" w:tplc="00D095C4">
      <w:start w:val="1"/>
      <w:numFmt w:val="bullet"/>
      <w:lvlText w:val="•"/>
      <w:lvlJc w:val="left"/>
      <w:pPr>
        <w:ind w:left="504" w:hanging="288"/>
      </w:pPr>
    </w:lvl>
    <w:lvl w:ilvl="1" w:tplc="1B7244B2">
      <w:numFmt w:val="decimal"/>
      <w:lvlText w:val=""/>
      <w:lvlJc w:val="left"/>
    </w:lvl>
    <w:lvl w:ilvl="2" w:tplc="E2509168">
      <w:numFmt w:val="decimal"/>
      <w:lvlText w:val=""/>
      <w:lvlJc w:val="left"/>
    </w:lvl>
    <w:lvl w:ilvl="3" w:tplc="E858F3FA">
      <w:numFmt w:val="decimal"/>
      <w:lvlText w:val=""/>
      <w:lvlJc w:val="left"/>
    </w:lvl>
    <w:lvl w:ilvl="4" w:tplc="7B54A0EC">
      <w:numFmt w:val="decimal"/>
      <w:lvlText w:val=""/>
      <w:lvlJc w:val="left"/>
    </w:lvl>
    <w:lvl w:ilvl="5" w:tplc="F2FAE89A">
      <w:numFmt w:val="decimal"/>
      <w:lvlText w:val=""/>
      <w:lvlJc w:val="left"/>
    </w:lvl>
    <w:lvl w:ilvl="6" w:tplc="FDECD576">
      <w:numFmt w:val="decimal"/>
      <w:lvlText w:val=""/>
      <w:lvlJc w:val="left"/>
    </w:lvl>
    <w:lvl w:ilvl="7" w:tplc="D20EE780">
      <w:numFmt w:val="decimal"/>
      <w:lvlText w:val=""/>
      <w:lvlJc w:val="left"/>
    </w:lvl>
    <w:lvl w:ilvl="8" w:tplc="D814238E">
      <w:numFmt w:val="decimal"/>
      <w:lvlText w:val=""/>
      <w:lvlJc w:val="left"/>
    </w:lvl>
  </w:abstractNum>
  <w:abstractNum w:abstractNumId="1" w15:restartNumberingAfterBreak="0">
    <w:nsid w:val="31636CCD"/>
    <w:multiLevelType w:val="hybridMultilevel"/>
    <w:tmpl w:val="1A06B042"/>
    <w:lvl w:ilvl="0" w:tplc="53BA6AE2">
      <w:start w:val="1"/>
      <w:numFmt w:val="bullet"/>
      <w:lvlText w:val="●"/>
      <w:lvlJc w:val="left"/>
      <w:pPr>
        <w:ind w:left="720" w:hanging="360"/>
      </w:pPr>
    </w:lvl>
    <w:lvl w:ilvl="1" w:tplc="F55C4A2A">
      <w:start w:val="1"/>
      <w:numFmt w:val="bullet"/>
      <w:lvlText w:val="○"/>
      <w:lvlJc w:val="left"/>
      <w:pPr>
        <w:ind w:left="1440" w:hanging="360"/>
      </w:pPr>
    </w:lvl>
    <w:lvl w:ilvl="2" w:tplc="99B2AA50">
      <w:start w:val="1"/>
      <w:numFmt w:val="bullet"/>
      <w:lvlText w:val="■"/>
      <w:lvlJc w:val="left"/>
      <w:pPr>
        <w:ind w:left="2160" w:hanging="360"/>
      </w:pPr>
    </w:lvl>
    <w:lvl w:ilvl="3" w:tplc="4F8E7E88">
      <w:start w:val="1"/>
      <w:numFmt w:val="bullet"/>
      <w:lvlText w:val="●"/>
      <w:lvlJc w:val="left"/>
      <w:pPr>
        <w:ind w:left="2880" w:hanging="360"/>
      </w:pPr>
    </w:lvl>
    <w:lvl w:ilvl="4" w:tplc="9E661BAE">
      <w:start w:val="1"/>
      <w:numFmt w:val="bullet"/>
      <w:lvlText w:val="○"/>
      <w:lvlJc w:val="left"/>
      <w:pPr>
        <w:ind w:left="3600" w:hanging="360"/>
      </w:pPr>
    </w:lvl>
    <w:lvl w:ilvl="5" w:tplc="5352DBC0">
      <w:start w:val="1"/>
      <w:numFmt w:val="bullet"/>
      <w:lvlText w:val="■"/>
      <w:lvlJc w:val="left"/>
      <w:pPr>
        <w:ind w:left="4320" w:hanging="360"/>
      </w:pPr>
    </w:lvl>
    <w:lvl w:ilvl="6" w:tplc="E94A541C">
      <w:start w:val="1"/>
      <w:numFmt w:val="bullet"/>
      <w:lvlText w:val="●"/>
      <w:lvlJc w:val="left"/>
      <w:pPr>
        <w:ind w:left="5040" w:hanging="360"/>
      </w:pPr>
    </w:lvl>
    <w:lvl w:ilvl="7" w:tplc="185600F6">
      <w:start w:val="1"/>
      <w:numFmt w:val="bullet"/>
      <w:lvlText w:val="●"/>
      <w:lvlJc w:val="left"/>
      <w:pPr>
        <w:ind w:left="5760" w:hanging="360"/>
      </w:pPr>
    </w:lvl>
    <w:lvl w:ilvl="8" w:tplc="5AAA9728">
      <w:start w:val="1"/>
      <w:numFmt w:val="bullet"/>
      <w:lvlText w:val="●"/>
      <w:lvlJc w:val="left"/>
      <w:pPr>
        <w:ind w:left="6480" w:hanging="360"/>
      </w:pPr>
    </w:lvl>
  </w:abstractNum>
  <w:num w:numId="1" w16cid:durableId="1582375171">
    <w:abstractNumId w:val="1"/>
    <w:lvlOverride w:ilvl="0">
      <w:startOverride w:val="1"/>
    </w:lvlOverride>
  </w:num>
  <w:num w:numId="2" w16cid:durableId="1704556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190"/>
    <w:rsid w:val="00315927"/>
    <w:rsid w:val="003D2BA1"/>
    <w:rsid w:val="00407BDA"/>
    <w:rsid w:val="00457C1E"/>
    <w:rsid w:val="005147AC"/>
    <w:rsid w:val="008F6128"/>
    <w:rsid w:val="00DF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907F"/>
  <w15:docId w15:val="{DFDD1355-39F9-4352-9FA9-0A6C6E95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Deenah .N</cp:lastModifiedBy>
  <cp:revision>6</cp:revision>
  <dcterms:created xsi:type="dcterms:W3CDTF">2026-09-11T08:44:00Z</dcterms:created>
  <dcterms:modified xsi:type="dcterms:W3CDTF">2026-09-11T08:46:00Z</dcterms:modified>
</cp:coreProperties>
</file>