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@£349pp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22,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11, 12, 13, 14, 15,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12,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13,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@£379pp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18, 19, 21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7, 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26,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17,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11, 13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24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@£399pp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16,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5, 6, 9, 12, 13, 14,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22, 25, 27,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19,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Liverpool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29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@£429pp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11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23,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22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20,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15, 19, 20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6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17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@£449pp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21, 23, 24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13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23, 25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@£479pp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3, 4, 30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3, 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21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6, 12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4, 7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28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15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8, 11, 12,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22, 28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Leeds Bradford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12, 19</w:t>
      </w:r>
    </w:p>
    <w:p>
      <w:pPr>
        <w:spacing w:line="240" w:lineRule="auto"/>
      </w:pPr>
    </w:p>
    <w:p>
      <w:pPr>
        <w:spacing w:line="240" w:lineRule="auto"/>
      </w:pPr>
      <w:r>
        <w:rPr>
          <w:rFonts w:ascii="Calibri (Body)" w:hAnsi="Calibri (Body)"/>
          <w:b/>
          <w:color w:val="FF0000"/>
          <w:sz w:val="22"/>
        </w:rPr>
        <w:t>@£499pp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London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Apr 2025 – 15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10, 29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Jun 2025 – 2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20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Manchester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14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16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Edinburgh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Glasgow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May 2025 – 14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Bristol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Sep 2025 – 27</w:t>
      </w:r>
    </w:p>
    <w:p>
      <w:pPr>
        <w:spacing w:line="240" w:lineRule="auto"/>
      </w:pPr>
      <w:r>
        <w:rPr>
          <w:rFonts w:ascii="Calibri (Body)" w:hAnsi="Calibri (Body)"/>
          <w:b/>
          <w:color w:val="00B050"/>
          <w:sz w:val="22"/>
          <w:highlight w:val="yellow"/>
        </w:rPr>
        <w:t>Birmingham Departure</w:t>
      </w:r>
    </w:p>
    <w:p>
      <w:pPr>
        <w:spacing w:line="240" w:lineRule="auto"/>
      </w:pPr>
      <w:r>
        <w:rPr>
          <w:rFonts w:ascii="Calibri (Body)" w:hAnsi="Calibri (Body)"/>
          <w:b/>
          <w:color w:val="000000"/>
          <w:sz w:val="22"/>
        </w:rPr>
        <w:t>Oct 2025 – 12, 16</w:t>
      </w:r>
    </w:p>
    <w:p>
      <w:pPr>
        <w:spacing w:line="240" w:lineRule="auto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